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7E4BD" w:themeColor="accent3" w:themeTint="66"/>
  <w:body>
    <w:p>
      <w:pPr>
        <w:spacing w:line="360" w:lineRule="auto"/>
        <w:jc w:val="center"/>
        <w:rPr>
          <w:rFonts w:hAnsi="宋体"/>
          <w:b/>
          <w:sz w:val="44"/>
          <w:szCs w:val="44"/>
        </w:rPr>
      </w:pPr>
      <w:r>
        <w:rPr>
          <w:rFonts w:hint="eastAsia" w:hAnsi="宋体"/>
          <w:b/>
          <w:sz w:val="44"/>
          <w:szCs w:val="44"/>
        </w:rPr>
        <w:t xml:space="preserve">                                                                                                                                                                                       </w:t>
      </w:r>
    </w:p>
    <w:p>
      <w:pPr>
        <w:spacing w:line="360" w:lineRule="auto"/>
        <w:jc w:val="center"/>
        <w:rPr>
          <w:rFonts w:hAnsi="宋体"/>
          <w:b/>
          <w:bCs/>
          <w:sz w:val="36"/>
          <w:szCs w:val="36"/>
        </w:rPr>
      </w:pPr>
    </w:p>
    <w:p>
      <w:pPr>
        <w:spacing w:line="360" w:lineRule="auto"/>
        <w:jc w:val="center"/>
        <w:rPr>
          <w:b/>
          <w:sz w:val="36"/>
          <w:szCs w:val="36"/>
        </w:rPr>
      </w:pPr>
      <w:r>
        <w:rPr>
          <w:rFonts w:hint="eastAsia" w:hAnsi="宋体"/>
          <w:b/>
          <w:bCs/>
          <w:sz w:val="36"/>
          <w:szCs w:val="36"/>
        </w:rPr>
        <w:t>宁县太昌镇东风村易地扶贫搬迁附属工程建设项目</w:t>
      </w:r>
    </w:p>
    <w:p>
      <w:pPr>
        <w:spacing w:line="360" w:lineRule="auto"/>
        <w:jc w:val="center"/>
        <w:rPr>
          <w:b/>
          <w:spacing w:val="30"/>
          <w:sz w:val="92"/>
        </w:rPr>
      </w:pPr>
      <w:r>
        <w:rPr>
          <w:rFonts w:hAnsi="宋体"/>
          <w:b/>
          <w:spacing w:val="30"/>
          <w:sz w:val="92"/>
        </w:rPr>
        <w:t>环境影响报告</w:t>
      </w:r>
      <w:r>
        <w:rPr>
          <w:rFonts w:hint="eastAsia" w:hAnsi="宋体"/>
          <w:b/>
          <w:spacing w:val="30"/>
          <w:sz w:val="92"/>
        </w:rPr>
        <w:t>表</w:t>
      </w:r>
    </w:p>
    <w:p>
      <w:pPr>
        <w:spacing w:line="360" w:lineRule="auto"/>
        <w:jc w:val="center"/>
        <w:rPr>
          <w:b/>
          <w:spacing w:val="-1"/>
          <w:sz w:val="28"/>
          <w:szCs w:val="28"/>
        </w:rPr>
      </w:pPr>
      <w:r>
        <w:rPr>
          <w:rFonts w:hint="eastAsia"/>
          <w:b/>
          <w:spacing w:val="-1"/>
          <w:sz w:val="28"/>
          <w:szCs w:val="28"/>
        </w:rPr>
        <w:t>（报批稿）</w:t>
      </w:r>
    </w:p>
    <w:p>
      <w:pPr>
        <w:spacing w:line="360" w:lineRule="auto"/>
        <w:rPr>
          <w:b/>
          <w:spacing w:val="-1"/>
          <w:sz w:val="28"/>
          <w:szCs w:val="28"/>
        </w:rPr>
      </w:pPr>
    </w:p>
    <w:p>
      <w:pPr>
        <w:spacing w:line="360" w:lineRule="auto"/>
        <w:rPr>
          <w:b/>
          <w:spacing w:val="-1"/>
          <w:sz w:val="28"/>
          <w:szCs w:val="28"/>
        </w:rPr>
      </w:pPr>
    </w:p>
    <w:p>
      <w:pPr>
        <w:spacing w:line="360" w:lineRule="auto"/>
        <w:rPr>
          <w:b/>
          <w:spacing w:val="-1"/>
          <w:sz w:val="28"/>
          <w:szCs w:val="28"/>
        </w:rPr>
      </w:pPr>
    </w:p>
    <w:p>
      <w:pPr>
        <w:spacing w:line="360" w:lineRule="auto"/>
        <w:rPr>
          <w:b/>
          <w:spacing w:val="-1"/>
          <w:sz w:val="28"/>
          <w:szCs w:val="28"/>
        </w:rPr>
      </w:pPr>
    </w:p>
    <w:p>
      <w:pPr>
        <w:spacing w:line="360" w:lineRule="auto"/>
        <w:ind w:firstLine="1100" w:firstLineChars="394"/>
        <w:rPr>
          <w:b/>
          <w:spacing w:val="-1"/>
          <w:sz w:val="28"/>
          <w:szCs w:val="28"/>
        </w:rPr>
      </w:pPr>
    </w:p>
    <w:p>
      <w:pPr>
        <w:spacing w:line="360" w:lineRule="auto"/>
        <w:ind w:firstLine="1100" w:firstLineChars="394"/>
        <w:rPr>
          <w:b/>
          <w:spacing w:val="-1"/>
          <w:sz w:val="28"/>
          <w:szCs w:val="28"/>
        </w:rPr>
      </w:pPr>
    </w:p>
    <w:p>
      <w:pPr>
        <w:spacing w:line="360" w:lineRule="auto"/>
        <w:ind w:firstLine="1100" w:firstLineChars="394"/>
        <w:rPr>
          <w:b/>
          <w:spacing w:val="-1"/>
          <w:sz w:val="28"/>
          <w:szCs w:val="28"/>
        </w:rPr>
      </w:pPr>
    </w:p>
    <w:p>
      <w:pPr>
        <w:spacing w:line="360" w:lineRule="auto"/>
        <w:ind w:firstLine="1100" w:firstLineChars="394"/>
        <w:rPr>
          <w:b/>
          <w:spacing w:val="-1"/>
          <w:sz w:val="28"/>
          <w:szCs w:val="28"/>
        </w:rPr>
      </w:pPr>
    </w:p>
    <w:p>
      <w:pPr>
        <w:spacing w:line="360" w:lineRule="auto"/>
        <w:ind w:firstLine="1100" w:firstLineChars="394"/>
        <w:rPr>
          <w:b/>
          <w:spacing w:val="-1"/>
          <w:sz w:val="28"/>
          <w:szCs w:val="28"/>
        </w:rPr>
      </w:pPr>
    </w:p>
    <w:p>
      <w:pPr>
        <w:spacing w:line="360" w:lineRule="auto"/>
        <w:ind w:firstLine="1100" w:firstLineChars="394"/>
        <w:rPr>
          <w:b/>
          <w:spacing w:val="-1"/>
          <w:sz w:val="28"/>
          <w:szCs w:val="28"/>
        </w:rPr>
      </w:pPr>
    </w:p>
    <w:p>
      <w:pPr>
        <w:spacing w:line="360" w:lineRule="auto"/>
        <w:ind w:firstLine="1100" w:firstLineChars="394"/>
        <w:rPr>
          <w:b/>
          <w:spacing w:val="-1"/>
          <w:sz w:val="28"/>
          <w:szCs w:val="28"/>
        </w:rPr>
      </w:pPr>
    </w:p>
    <w:p>
      <w:pPr>
        <w:spacing w:line="360" w:lineRule="auto"/>
        <w:ind w:firstLine="1100" w:firstLineChars="394"/>
        <w:rPr>
          <w:b/>
          <w:spacing w:val="-1"/>
          <w:sz w:val="28"/>
          <w:szCs w:val="28"/>
        </w:rPr>
      </w:pPr>
    </w:p>
    <w:p>
      <w:pPr>
        <w:spacing w:line="360" w:lineRule="auto"/>
        <w:ind w:firstLine="1100" w:firstLineChars="394"/>
        <w:rPr>
          <w:b/>
          <w:spacing w:val="-1"/>
          <w:sz w:val="28"/>
          <w:szCs w:val="28"/>
        </w:rPr>
      </w:pPr>
    </w:p>
    <w:p>
      <w:pPr>
        <w:spacing w:line="360" w:lineRule="auto"/>
        <w:ind w:firstLine="1100" w:firstLineChars="394"/>
        <w:rPr>
          <w:b/>
          <w:spacing w:val="-1"/>
          <w:sz w:val="28"/>
          <w:szCs w:val="28"/>
        </w:rPr>
      </w:pPr>
    </w:p>
    <w:p>
      <w:pPr>
        <w:spacing w:line="360" w:lineRule="auto"/>
        <w:ind w:firstLine="1658" w:firstLineChars="594"/>
        <w:rPr>
          <w:b/>
          <w:spacing w:val="-1"/>
          <w:sz w:val="28"/>
          <w:szCs w:val="28"/>
        </w:rPr>
      </w:pPr>
      <w:r>
        <w:rPr>
          <w:rFonts w:hAnsi="宋体"/>
          <w:b/>
          <w:spacing w:val="-1"/>
          <w:sz w:val="28"/>
          <w:szCs w:val="28"/>
        </w:rPr>
        <w:t>建设单位：</w:t>
      </w:r>
      <w:r>
        <w:rPr>
          <w:rFonts w:hint="eastAsia" w:hAnsi="宋体"/>
          <w:b/>
          <w:spacing w:val="-1"/>
          <w:sz w:val="28"/>
          <w:szCs w:val="28"/>
        </w:rPr>
        <w:t>宁县太昌镇人民政府</w:t>
      </w:r>
    </w:p>
    <w:p>
      <w:pPr>
        <w:spacing w:line="360" w:lineRule="auto"/>
        <w:ind w:firstLine="1658" w:firstLineChars="594"/>
        <w:rPr>
          <w:rFonts w:hAnsi="宋体"/>
          <w:b/>
          <w:w w:val="90"/>
          <w:kern w:val="0"/>
          <w:sz w:val="28"/>
          <w:szCs w:val="28"/>
        </w:rPr>
      </w:pPr>
      <w:r>
        <w:rPr>
          <w:rFonts w:hAnsi="宋体"/>
          <w:b/>
          <w:spacing w:val="-1"/>
          <w:sz w:val="28"/>
          <w:szCs w:val="28"/>
        </w:rPr>
        <w:t>环评单位：</w:t>
      </w:r>
      <w:r>
        <w:rPr>
          <w:rFonts w:hint="eastAsia" w:hAnsi="宋体"/>
          <w:b/>
          <w:kern w:val="0"/>
          <w:sz w:val="28"/>
          <w:szCs w:val="28"/>
        </w:rPr>
        <w:t>江苏新清源环保有限公司</w:t>
      </w:r>
    </w:p>
    <w:p>
      <w:pPr>
        <w:spacing w:line="360" w:lineRule="auto"/>
        <w:jc w:val="center"/>
        <w:rPr>
          <w:rFonts w:hAnsi="宋体"/>
          <w:b/>
          <w:spacing w:val="-1"/>
          <w:sz w:val="28"/>
          <w:szCs w:val="28"/>
        </w:rPr>
      </w:pPr>
      <w:r>
        <w:rPr>
          <w:rFonts w:hAnsi="宋体"/>
          <w:b/>
          <w:spacing w:val="-1"/>
          <w:sz w:val="28"/>
          <w:szCs w:val="28"/>
        </w:rPr>
        <w:t>二〇一</w:t>
      </w:r>
      <w:r>
        <w:rPr>
          <w:rFonts w:hint="eastAsia" w:hAnsi="宋体"/>
          <w:b/>
          <w:spacing w:val="-1"/>
          <w:sz w:val="28"/>
          <w:szCs w:val="28"/>
        </w:rPr>
        <w:t>九</w:t>
      </w:r>
      <w:r>
        <w:rPr>
          <w:rFonts w:hAnsi="宋体"/>
          <w:b/>
          <w:spacing w:val="-1"/>
          <w:sz w:val="28"/>
          <w:szCs w:val="28"/>
        </w:rPr>
        <w:t>年</w:t>
      </w:r>
      <w:r>
        <w:rPr>
          <w:b/>
          <w:spacing w:val="-1"/>
          <w:sz w:val="28"/>
          <w:szCs w:val="28"/>
        </w:rPr>
        <w:t xml:space="preserve">  </w:t>
      </w:r>
      <w:r>
        <w:rPr>
          <w:rFonts w:hint="eastAsia" w:hAnsi="宋体"/>
          <w:b/>
          <w:spacing w:val="-1"/>
          <w:sz w:val="28"/>
          <w:szCs w:val="28"/>
        </w:rPr>
        <w:t>二</w:t>
      </w:r>
      <w:r>
        <w:rPr>
          <w:rFonts w:hAnsi="宋体"/>
          <w:b/>
          <w:spacing w:val="-1"/>
          <w:sz w:val="28"/>
          <w:szCs w:val="28"/>
        </w:rPr>
        <w:t>月</w:t>
      </w:r>
    </w:p>
    <w:p>
      <w:pPr>
        <w:spacing w:line="360" w:lineRule="auto"/>
        <w:jc w:val="center"/>
        <w:rPr>
          <w:rFonts w:hAnsi="宋体"/>
          <w:b/>
          <w:spacing w:val="-1"/>
          <w:sz w:val="28"/>
          <w:szCs w:val="28"/>
        </w:rPr>
      </w:pPr>
      <w:r>
        <w:rPr>
          <w:rFonts w:hAnsi="宋体"/>
          <w:b/>
          <w:spacing w:val="-1"/>
          <w:sz w:val="28"/>
          <w:szCs w:val="28"/>
        </w:rPr>
        <w:br w:type="page"/>
      </w:r>
    </w:p>
    <w:p>
      <w:pPr>
        <w:spacing w:line="360" w:lineRule="auto"/>
        <w:jc w:val="center"/>
        <w:rPr>
          <w:rFonts w:hAnsi="宋体"/>
          <w:b/>
          <w:spacing w:val="-1"/>
          <w:sz w:val="28"/>
          <w:szCs w:val="28"/>
        </w:rPr>
      </w:pPr>
    </w:p>
    <w:p>
      <w:pPr>
        <w:widowControl/>
        <w:jc w:val="left"/>
        <w:rPr>
          <w:b/>
          <w:sz w:val="28"/>
        </w:rPr>
      </w:pPr>
    </w:p>
    <w:p>
      <w:pPr>
        <w:spacing w:line="360" w:lineRule="auto"/>
        <w:jc w:val="center"/>
        <w:rPr>
          <w:b/>
          <w:sz w:val="28"/>
        </w:rPr>
      </w:pPr>
      <w:r>
        <w:rPr>
          <w:b/>
          <w:sz w:val="28"/>
        </w:rPr>
        <w:br w:type="page"/>
      </w:r>
    </w:p>
    <w:p>
      <w:pPr>
        <w:spacing w:line="360" w:lineRule="auto"/>
        <w:jc w:val="center"/>
        <w:rPr>
          <w:rFonts w:asciiTheme="minorEastAsia" w:hAnsiTheme="minorEastAsia" w:eastAsiaTheme="minorEastAsia"/>
          <w:b/>
          <w:bCs/>
          <w:sz w:val="28"/>
          <w:szCs w:val="28"/>
        </w:rPr>
      </w:pPr>
      <w:r>
        <w:rPr>
          <w:rFonts w:asciiTheme="minorEastAsia" w:hAnsiTheme="minorEastAsia" w:eastAsiaTheme="minorEastAsia"/>
          <w:b/>
          <w:bCs/>
          <w:sz w:val="28"/>
          <w:szCs w:val="28"/>
        </w:rPr>
        <w:t>《建设项目环境影响报告表》编制说明</w:t>
      </w:r>
    </w:p>
    <w:p>
      <w:pPr>
        <w:spacing w:line="360" w:lineRule="auto"/>
        <w:jc w:val="center"/>
        <w:rPr>
          <w:rFonts w:asciiTheme="minorEastAsia" w:hAnsiTheme="minorEastAsia" w:eastAsiaTheme="minorEastAsia"/>
          <w:b/>
          <w:bCs/>
          <w:sz w:val="24"/>
          <w:szCs w:val="24"/>
        </w:rPr>
      </w:pPr>
    </w:p>
    <w:p>
      <w:pPr>
        <w:pStyle w:val="14"/>
        <w:spacing w:line="360" w:lineRule="auto"/>
        <w:ind w:firstLine="461"/>
        <w:rPr>
          <w:rFonts w:asciiTheme="minorEastAsia" w:hAnsiTheme="minorEastAsia" w:eastAsiaTheme="minorEastAsia"/>
          <w:sz w:val="24"/>
          <w:szCs w:val="24"/>
        </w:rPr>
      </w:pPr>
      <w:r>
        <w:rPr>
          <w:rFonts w:asciiTheme="minorEastAsia" w:hAnsiTheme="minorEastAsia" w:eastAsiaTheme="minorEastAsia"/>
          <w:sz w:val="24"/>
          <w:szCs w:val="24"/>
        </w:rPr>
        <w:t>《建设项目环境影响报告表》由具有从事环境影响评价工作资质的单位编制。</w:t>
      </w:r>
    </w:p>
    <w:p>
      <w:pPr>
        <w:pStyle w:val="14"/>
        <w:spacing w:line="360" w:lineRule="auto"/>
        <w:ind w:firstLine="461"/>
        <w:rPr>
          <w:rFonts w:asciiTheme="minorEastAsia" w:hAnsiTheme="minorEastAsia" w:eastAsiaTheme="minorEastAsia"/>
          <w:sz w:val="24"/>
          <w:szCs w:val="24"/>
        </w:rPr>
      </w:pPr>
      <w:r>
        <w:rPr>
          <w:rFonts w:asciiTheme="minorEastAsia" w:hAnsiTheme="minorEastAsia" w:eastAsiaTheme="minorEastAsia"/>
          <w:sz w:val="24"/>
          <w:szCs w:val="24"/>
        </w:rPr>
        <w:t>1、项目名称——指项目立项批复时的名称，应不超过30个字（两个英文字段作一个汉字）。</w:t>
      </w:r>
    </w:p>
    <w:p>
      <w:pPr>
        <w:pStyle w:val="14"/>
        <w:spacing w:line="360" w:lineRule="auto"/>
        <w:ind w:firstLine="461"/>
        <w:rPr>
          <w:rFonts w:asciiTheme="minorEastAsia" w:hAnsiTheme="minorEastAsia" w:eastAsiaTheme="minorEastAsia"/>
          <w:sz w:val="24"/>
          <w:szCs w:val="24"/>
        </w:rPr>
      </w:pPr>
      <w:r>
        <w:rPr>
          <w:rFonts w:asciiTheme="minorEastAsia" w:hAnsiTheme="minorEastAsia" w:eastAsiaTheme="minorEastAsia"/>
          <w:sz w:val="24"/>
          <w:szCs w:val="24"/>
        </w:rPr>
        <w:t>2、建设地址——指项目所在地详细地址，公路、铁路应填写起止地点。</w:t>
      </w:r>
    </w:p>
    <w:p>
      <w:pPr>
        <w:pStyle w:val="14"/>
        <w:spacing w:line="360" w:lineRule="auto"/>
        <w:ind w:firstLine="461"/>
        <w:rPr>
          <w:rFonts w:asciiTheme="minorEastAsia" w:hAnsiTheme="minorEastAsia" w:eastAsiaTheme="minorEastAsia"/>
          <w:sz w:val="24"/>
          <w:szCs w:val="24"/>
        </w:rPr>
      </w:pPr>
      <w:r>
        <w:rPr>
          <w:rFonts w:asciiTheme="minorEastAsia" w:hAnsiTheme="minorEastAsia" w:eastAsiaTheme="minorEastAsia"/>
          <w:sz w:val="24"/>
          <w:szCs w:val="24"/>
        </w:rPr>
        <w:t>3、行业类别——按国标填写。</w:t>
      </w:r>
    </w:p>
    <w:p>
      <w:pPr>
        <w:pStyle w:val="14"/>
        <w:spacing w:line="360" w:lineRule="auto"/>
        <w:ind w:firstLine="461"/>
        <w:rPr>
          <w:rFonts w:asciiTheme="minorEastAsia" w:hAnsiTheme="minorEastAsia" w:eastAsiaTheme="minorEastAsia"/>
          <w:sz w:val="24"/>
          <w:szCs w:val="24"/>
        </w:rPr>
      </w:pPr>
      <w:r>
        <w:rPr>
          <w:rFonts w:asciiTheme="minorEastAsia" w:hAnsiTheme="minorEastAsia" w:eastAsiaTheme="minorEastAsia"/>
          <w:sz w:val="24"/>
          <w:szCs w:val="24"/>
        </w:rPr>
        <w:t>4、总投资——指项目投资总额。</w:t>
      </w:r>
    </w:p>
    <w:p>
      <w:pPr>
        <w:pStyle w:val="14"/>
        <w:spacing w:line="360" w:lineRule="auto"/>
        <w:ind w:firstLine="461"/>
        <w:rPr>
          <w:rFonts w:asciiTheme="minorEastAsia" w:hAnsiTheme="minorEastAsia" w:eastAsiaTheme="minorEastAsia"/>
          <w:sz w:val="24"/>
          <w:szCs w:val="24"/>
        </w:rPr>
      </w:pPr>
      <w:r>
        <w:rPr>
          <w:rFonts w:asciiTheme="minorEastAsia" w:hAnsiTheme="minorEastAsia" w:eastAsiaTheme="minorEastAsia"/>
          <w:sz w:val="24"/>
          <w:szCs w:val="24"/>
        </w:rPr>
        <w:t>5、主要环境保护目标——指项目区周围一定范围内集中居民住宅区、学校医院、保护文物、风景名胜区、水源地和生态敏感点等，应尽可能给出保护目标、性质、规模和距厂界距离等。</w:t>
      </w:r>
    </w:p>
    <w:p>
      <w:pPr>
        <w:pStyle w:val="14"/>
        <w:spacing w:line="360" w:lineRule="auto"/>
        <w:ind w:firstLine="461"/>
        <w:rPr>
          <w:rFonts w:asciiTheme="minorEastAsia" w:hAnsiTheme="minorEastAsia" w:eastAsiaTheme="minorEastAsia"/>
          <w:sz w:val="24"/>
          <w:szCs w:val="24"/>
        </w:rPr>
      </w:pPr>
      <w:r>
        <w:rPr>
          <w:rFonts w:asciiTheme="minorEastAsia" w:hAnsiTheme="minorEastAsia" w:eastAsiaTheme="minorEastAsia"/>
          <w:sz w:val="24"/>
          <w:szCs w:val="24"/>
        </w:rPr>
        <w:t>6、结论与建议——给出本项目清洁生产、达标排放和总量控制的分析结论，确定污染防治措施的有效性，说明本项目对环境造成的影响，给出建设项目环境可行性的明确结论。同时提出减少环境影响的其他建议。</w:t>
      </w:r>
    </w:p>
    <w:p>
      <w:pPr>
        <w:pStyle w:val="14"/>
        <w:spacing w:line="360" w:lineRule="auto"/>
        <w:ind w:firstLine="461"/>
        <w:rPr>
          <w:rFonts w:asciiTheme="minorEastAsia" w:hAnsiTheme="minorEastAsia" w:eastAsiaTheme="minorEastAsia"/>
          <w:sz w:val="24"/>
          <w:szCs w:val="24"/>
        </w:rPr>
      </w:pPr>
      <w:r>
        <w:rPr>
          <w:rFonts w:asciiTheme="minorEastAsia" w:hAnsiTheme="minorEastAsia" w:eastAsiaTheme="minorEastAsia"/>
          <w:sz w:val="24"/>
          <w:szCs w:val="24"/>
        </w:rPr>
        <w:t>7、预审意见——由行业主管部门填写答复意见，无主管部门项目，可不填。</w:t>
      </w:r>
    </w:p>
    <w:p>
      <w:pPr>
        <w:pStyle w:val="14"/>
        <w:spacing w:line="360" w:lineRule="auto"/>
        <w:ind w:firstLine="461"/>
        <w:rPr>
          <w:rFonts w:asciiTheme="minorEastAsia" w:hAnsiTheme="minorEastAsia" w:eastAsiaTheme="minorEastAsia"/>
          <w:sz w:val="24"/>
          <w:szCs w:val="24"/>
        </w:rPr>
        <w:sectPr>
          <w:footerReference r:id="rId3" w:type="default"/>
          <w:footerReference r:id="rId4" w:type="even"/>
          <w:pgSz w:w="11907" w:h="16840"/>
          <w:pgMar w:top="1418" w:right="1418" w:bottom="1418" w:left="1588" w:header="851" w:footer="680" w:gutter="0"/>
          <w:pgNumType w:start="1"/>
          <w:cols w:space="720" w:num="1"/>
        </w:sectPr>
      </w:pPr>
      <w:r>
        <w:rPr>
          <w:rFonts w:asciiTheme="minorEastAsia" w:hAnsiTheme="minorEastAsia" w:eastAsiaTheme="minorEastAsia"/>
          <w:sz w:val="24"/>
          <w:szCs w:val="24"/>
        </w:rPr>
        <w:t>8、审批意见——由负责审批该项目的环境保护行政主管部门批复。</w:t>
      </w:r>
    </w:p>
    <w:p>
      <w:pPr>
        <w:pStyle w:val="14"/>
        <w:spacing w:line="360" w:lineRule="auto"/>
        <w:ind w:firstLine="461"/>
        <w:rPr>
          <w:rFonts w:asciiTheme="minorEastAsia" w:hAnsiTheme="minorEastAsia" w:eastAsiaTheme="minorEastAsia"/>
          <w:sz w:val="24"/>
          <w:szCs w:val="24"/>
        </w:rPr>
      </w:pPr>
    </w:p>
    <w:p>
      <w:pPr>
        <w:pStyle w:val="14"/>
        <w:spacing w:line="360" w:lineRule="auto"/>
        <w:ind w:firstLine="461"/>
        <w:rPr>
          <w:rFonts w:asciiTheme="minorEastAsia" w:hAnsiTheme="minorEastAsia" w:eastAsiaTheme="minorEastAsia"/>
          <w:sz w:val="24"/>
          <w:szCs w:val="24"/>
        </w:rPr>
        <w:sectPr>
          <w:pgSz w:w="11907" w:h="16840"/>
          <w:pgMar w:top="1418" w:right="1418" w:bottom="1418" w:left="1588" w:header="851" w:footer="680" w:gutter="0"/>
          <w:pgNumType w:start="1"/>
          <w:cols w:space="720" w:num="1"/>
        </w:sectPr>
      </w:pPr>
      <w:r>
        <w:rPr>
          <w:rFonts w:asciiTheme="minorEastAsia" w:hAnsiTheme="minorEastAsia" w:eastAsiaTheme="minorEastAsia"/>
          <w:sz w:val="24"/>
          <w:szCs w:val="24"/>
        </w:rPr>
        <w:br w:type="page"/>
      </w:r>
    </w:p>
    <w:p>
      <w:pPr>
        <w:widowControl/>
        <w:jc w:val="left"/>
      </w:pPr>
      <w:r>
        <w:rPr>
          <w:rFonts w:hint="eastAsia"/>
          <w:b/>
          <w:sz w:val="32"/>
        </w:rPr>
        <w:t>建设项目基本情况</w:t>
      </w:r>
    </w:p>
    <w:tbl>
      <w:tblPr>
        <w:tblStyle w:val="35"/>
        <w:tblW w:w="911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36"/>
        <w:gridCol w:w="2268"/>
        <w:gridCol w:w="1193"/>
        <w:gridCol w:w="1245"/>
        <w:gridCol w:w="1284"/>
        <w:gridCol w:w="64"/>
        <w:gridCol w:w="16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8" w:hRule="exact"/>
          <w:jc w:val="center"/>
        </w:trPr>
        <w:tc>
          <w:tcPr>
            <w:tcW w:w="1436" w:type="dxa"/>
            <w:tcBorders>
              <w:top w:val="single" w:color="auto" w:sz="12" w:space="0"/>
            </w:tcBorders>
            <w:vAlign w:val="center"/>
          </w:tcPr>
          <w:p>
            <w:pPr>
              <w:jc w:val="center"/>
              <w:rPr>
                <w:b/>
                <w:sz w:val="24"/>
                <w:szCs w:val="24"/>
              </w:rPr>
            </w:pPr>
            <w:r>
              <w:rPr>
                <w:rFonts w:hint="eastAsia"/>
                <w:b/>
                <w:sz w:val="24"/>
                <w:szCs w:val="24"/>
              </w:rPr>
              <w:t>项目名称</w:t>
            </w:r>
          </w:p>
        </w:tc>
        <w:tc>
          <w:tcPr>
            <w:tcW w:w="7681" w:type="dxa"/>
            <w:gridSpan w:val="6"/>
            <w:tcBorders>
              <w:top w:val="single" w:color="auto" w:sz="12" w:space="0"/>
            </w:tcBorders>
            <w:vAlign w:val="center"/>
          </w:tcPr>
          <w:p>
            <w:pPr>
              <w:jc w:val="center"/>
              <w:rPr>
                <w:spacing w:val="-12"/>
                <w:sz w:val="24"/>
                <w:szCs w:val="24"/>
              </w:rPr>
            </w:pPr>
            <w:r>
              <w:rPr>
                <w:rFonts w:hint="eastAsia" w:hAnsi="宋体"/>
                <w:bCs/>
                <w:sz w:val="24"/>
              </w:rPr>
              <w:t>宁县太昌镇东风村易地扶贫搬迁附属工程建设项目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8" w:hRule="exact"/>
          <w:jc w:val="center"/>
        </w:trPr>
        <w:tc>
          <w:tcPr>
            <w:tcW w:w="1436" w:type="dxa"/>
            <w:vAlign w:val="center"/>
          </w:tcPr>
          <w:p>
            <w:pPr>
              <w:jc w:val="center"/>
              <w:rPr>
                <w:b/>
                <w:sz w:val="24"/>
                <w:szCs w:val="24"/>
              </w:rPr>
            </w:pPr>
            <w:r>
              <w:rPr>
                <w:rFonts w:hint="eastAsia"/>
                <w:b/>
                <w:sz w:val="24"/>
                <w:szCs w:val="24"/>
              </w:rPr>
              <w:t>建设单位</w:t>
            </w:r>
          </w:p>
        </w:tc>
        <w:tc>
          <w:tcPr>
            <w:tcW w:w="7681" w:type="dxa"/>
            <w:gridSpan w:val="6"/>
            <w:vAlign w:val="center"/>
          </w:tcPr>
          <w:p>
            <w:pPr>
              <w:jc w:val="center"/>
              <w:rPr>
                <w:spacing w:val="-12"/>
                <w:sz w:val="24"/>
                <w:szCs w:val="24"/>
              </w:rPr>
            </w:pPr>
            <w:r>
              <w:rPr>
                <w:rFonts w:hint="eastAsia" w:hAnsi="宋体"/>
                <w:bCs/>
                <w:sz w:val="24"/>
              </w:rPr>
              <w:t>宁县太昌镇人民政府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9" w:hRule="exact"/>
          <w:jc w:val="center"/>
        </w:trPr>
        <w:tc>
          <w:tcPr>
            <w:tcW w:w="1436" w:type="dxa"/>
            <w:vAlign w:val="center"/>
          </w:tcPr>
          <w:p>
            <w:pPr>
              <w:jc w:val="center"/>
              <w:rPr>
                <w:b/>
                <w:sz w:val="24"/>
                <w:szCs w:val="24"/>
              </w:rPr>
            </w:pPr>
            <w:r>
              <w:rPr>
                <w:rFonts w:hint="eastAsia"/>
                <w:b/>
                <w:sz w:val="24"/>
                <w:szCs w:val="24"/>
              </w:rPr>
              <w:t>法人代表</w:t>
            </w:r>
          </w:p>
        </w:tc>
        <w:tc>
          <w:tcPr>
            <w:tcW w:w="3461" w:type="dxa"/>
            <w:gridSpan w:val="2"/>
            <w:vAlign w:val="center"/>
          </w:tcPr>
          <w:p>
            <w:pPr>
              <w:jc w:val="center"/>
              <w:rPr>
                <w:sz w:val="24"/>
                <w:szCs w:val="24"/>
              </w:rPr>
            </w:pPr>
            <w:r>
              <w:rPr>
                <w:rFonts w:hint="eastAsia"/>
                <w:sz w:val="24"/>
                <w:szCs w:val="24"/>
              </w:rPr>
              <w:t>吴俊辉</w:t>
            </w:r>
          </w:p>
        </w:tc>
        <w:tc>
          <w:tcPr>
            <w:tcW w:w="1245" w:type="dxa"/>
            <w:vAlign w:val="center"/>
          </w:tcPr>
          <w:p>
            <w:pPr>
              <w:jc w:val="center"/>
              <w:rPr>
                <w:sz w:val="24"/>
                <w:szCs w:val="24"/>
              </w:rPr>
            </w:pPr>
            <w:r>
              <w:rPr>
                <w:rFonts w:hint="eastAsia"/>
                <w:b/>
                <w:sz w:val="24"/>
                <w:szCs w:val="24"/>
              </w:rPr>
              <w:t>联系人</w:t>
            </w:r>
          </w:p>
        </w:tc>
        <w:tc>
          <w:tcPr>
            <w:tcW w:w="2975" w:type="dxa"/>
            <w:gridSpan w:val="3"/>
            <w:vAlign w:val="center"/>
          </w:tcPr>
          <w:p>
            <w:pPr>
              <w:jc w:val="center"/>
              <w:rPr>
                <w:sz w:val="24"/>
                <w:szCs w:val="24"/>
              </w:rPr>
            </w:pPr>
            <w:r>
              <w:rPr>
                <w:rFonts w:hint="eastAsia"/>
                <w:sz w:val="24"/>
                <w:szCs w:val="24"/>
              </w:rPr>
              <w:t>左亚东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1" w:hRule="exact"/>
          <w:jc w:val="center"/>
        </w:trPr>
        <w:tc>
          <w:tcPr>
            <w:tcW w:w="1436" w:type="dxa"/>
            <w:vAlign w:val="center"/>
          </w:tcPr>
          <w:p>
            <w:pPr>
              <w:jc w:val="center"/>
              <w:rPr>
                <w:b/>
                <w:sz w:val="24"/>
                <w:szCs w:val="24"/>
              </w:rPr>
            </w:pPr>
            <w:r>
              <w:rPr>
                <w:rFonts w:hint="eastAsia"/>
                <w:b/>
                <w:sz w:val="24"/>
                <w:szCs w:val="24"/>
              </w:rPr>
              <w:t>通讯地址</w:t>
            </w:r>
          </w:p>
        </w:tc>
        <w:tc>
          <w:tcPr>
            <w:tcW w:w="7681" w:type="dxa"/>
            <w:gridSpan w:val="6"/>
            <w:vAlign w:val="center"/>
          </w:tcPr>
          <w:p>
            <w:pPr>
              <w:jc w:val="center"/>
              <w:rPr>
                <w:sz w:val="24"/>
                <w:szCs w:val="24"/>
              </w:rPr>
            </w:pPr>
            <w:r>
              <w:rPr>
                <w:rFonts w:hint="eastAsia"/>
                <w:sz w:val="24"/>
                <w:szCs w:val="24"/>
              </w:rPr>
              <w:t>宁县太昌镇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9" w:hRule="exact"/>
          <w:jc w:val="center"/>
        </w:trPr>
        <w:tc>
          <w:tcPr>
            <w:tcW w:w="1436" w:type="dxa"/>
            <w:vAlign w:val="center"/>
          </w:tcPr>
          <w:p>
            <w:pPr>
              <w:jc w:val="center"/>
              <w:rPr>
                <w:b/>
                <w:sz w:val="24"/>
                <w:szCs w:val="24"/>
              </w:rPr>
            </w:pPr>
            <w:r>
              <w:rPr>
                <w:rFonts w:hint="eastAsia"/>
                <w:b/>
                <w:sz w:val="24"/>
                <w:szCs w:val="24"/>
              </w:rPr>
              <w:t>联系电话</w:t>
            </w:r>
          </w:p>
        </w:tc>
        <w:tc>
          <w:tcPr>
            <w:tcW w:w="2268" w:type="dxa"/>
            <w:vAlign w:val="center"/>
          </w:tcPr>
          <w:p>
            <w:pPr>
              <w:jc w:val="center"/>
              <w:rPr>
                <w:sz w:val="24"/>
                <w:szCs w:val="24"/>
              </w:rPr>
            </w:pPr>
            <w:r>
              <w:rPr>
                <w:rFonts w:hint="eastAsia"/>
                <w:sz w:val="24"/>
                <w:szCs w:val="24"/>
              </w:rPr>
              <w:t>13919604166</w:t>
            </w:r>
          </w:p>
        </w:tc>
        <w:tc>
          <w:tcPr>
            <w:tcW w:w="1193" w:type="dxa"/>
            <w:vAlign w:val="center"/>
          </w:tcPr>
          <w:p>
            <w:pPr>
              <w:jc w:val="center"/>
              <w:rPr>
                <w:sz w:val="24"/>
                <w:szCs w:val="24"/>
                <w:u w:val="single"/>
              </w:rPr>
            </w:pPr>
            <w:r>
              <w:rPr>
                <w:rFonts w:hint="eastAsia"/>
                <w:b/>
                <w:sz w:val="24"/>
                <w:szCs w:val="24"/>
              </w:rPr>
              <w:t>传真</w:t>
            </w:r>
          </w:p>
        </w:tc>
        <w:tc>
          <w:tcPr>
            <w:tcW w:w="1245" w:type="dxa"/>
            <w:vAlign w:val="center"/>
          </w:tcPr>
          <w:p>
            <w:pPr>
              <w:jc w:val="center"/>
              <w:rPr>
                <w:b/>
                <w:sz w:val="24"/>
                <w:szCs w:val="24"/>
              </w:rPr>
            </w:pPr>
            <w:r>
              <w:rPr>
                <w:spacing w:val="-12"/>
                <w:sz w:val="24"/>
                <w:szCs w:val="24"/>
              </w:rPr>
              <w:t>-</w:t>
            </w:r>
          </w:p>
        </w:tc>
        <w:tc>
          <w:tcPr>
            <w:tcW w:w="1284" w:type="dxa"/>
            <w:vAlign w:val="center"/>
          </w:tcPr>
          <w:p>
            <w:pPr>
              <w:jc w:val="center"/>
              <w:rPr>
                <w:b/>
                <w:sz w:val="24"/>
                <w:szCs w:val="24"/>
              </w:rPr>
            </w:pPr>
            <w:r>
              <w:rPr>
                <w:rFonts w:hint="eastAsia"/>
                <w:b/>
                <w:sz w:val="24"/>
                <w:szCs w:val="24"/>
              </w:rPr>
              <w:t>邮编</w:t>
            </w:r>
          </w:p>
        </w:tc>
        <w:tc>
          <w:tcPr>
            <w:tcW w:w="1691" w:type="dxa"/>
            <w:gridSpan w:val="2"/>
            <w:vAlign w:val="center"/>
          </w:tcPr>
          <w:p>
            <w:pPr>
              <w:jc w:val="center"/>
              <w:rPr>
                <w:spacing w:val="-12"/>
                <w:sz w:val="24"/>
                <w:szCs w:val="24"/>
              </w:rPr>
            </w:pPr>
            <w:r>
              <w:rPr>
                <w:rFonts w:hint="eastAsia"/>
                <w:spacing w:val="-12"/>
                <w:sz w:val="24"/>
                <w:szCs w:val="24"/>
              </w:rPr>
              <w:t>745202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9" w:hRule="exact"/>
          <w:jc w:val="center"/>
        </w:trPr>
        <w:tc>
          <w:tcPr>
            <w:tcW w:w="1436" w:type="dxa"/>
            <w:vAlign w:val="center"/>
          </w:tcPr>
          <w:p>
            <w:pPr>
              <w:jc w:val="center"/>
              <w:rPr>
                <w:b/>
                <w:sz w:val="24"/>
                <w:szCs w:val="24"/>
              </w:rPr>
            </w:pPr>
            <w:r>
              <w:rPr>
                <w:rFonts w:hint="eastAsia"/>
                <w:b/>
                <w:sz w:val="24"/>
                <w:szCs w:val="24"/>
              </w:rPr>
              <w:t>建设地点</w:t>
            </w:r>
          </w:p>
        </w:tc>
        <w:tc>
          <w:tcPr>
            <w:tcW w:w="7681" w:type="dxa"/>
            <w:gridSpan w:val="6"/>
            <w:vAlign w:val="center"/>
          </w:tcPr>
          <w:p>
            <w:pPr>
              <w:jc w:val="center"/>
              <w:rPr>
                <w:sz w:val="24"/>
                <w:szCs w:val="24"/>
              </w:rPr>
            </w:pPr>
            <w:r>
              <w:rPr>
                <w:rFonts w:hint="eastAsia"/>
                <w:sz w:val="24"/>
                <w:szCs w:val="24"/>
              </w:rPr>
              <w:t>宁县太昌镇东风村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5" w:hRule="exact"/>
          <w:jc w:val="center"/>
        </w:trPr>
        <w:tc>
          <w:tcPr>
            <w:tcW w:w="1436" w:type="dxa"/>
            <w:vAlign w:val="center"/>
          </w:tcPr>
          <w:p>
            <w:pPr>
              <w:jc w:val="center"/>
              <w:rPr>
                <w:b/>
                <w:sz w:val="24"/>
                <w:szCs w:val="24"/>
              </w:rPr>
            </w:pPr>
            <w:r>
              <w:rPr>
                <w:rFonts w:hint="eastAsia"/>
                <w:b/>
                <w:sz w:val="24"/>
                <w:szCs w:val="24"/>
              </w:rPr>
              <w:t>立项审批</w:t>
            </w:r>
          </w:p>
          <w:p>
            <w:pPr>
              <w:jc w:val="center"/>
              <w:rPr>
                <w:b/>
                <w:sz w:val="24"/>
                <w:szCs w:val="24"/>
              </w:rPr>
            </w:pPr>
            <w:r>
              <w:rPr>
                <w:rFonts w:hint="eastAsia"/>
                <w:b/>
                <w:sz w:val="24"/>
                <w:szCs w:val="24"/>
              </w:rPr>
              <w:t>部门</w:t>
            </w:r>
          </w:p>
        </w:tc>
        <w:tc>
          <w:tcPr>
            <w:tcW w:w="3461" w:type="dxa"/>
            <w:gridSpan w:val="2"/>
            <w:vAlign w:val="center"/>
          </w:tcPr>
          <w:p>
            <w:pPr>
              <w:jc w:val="center"/>
              <w:rPr>
                <w:spacing w:val="-12"/>
                <w:sz w:val="24"/>
                <w:szCs w:val="24"/>
              </w:rPr>
            </w:pPr>
            <w:r>
              <w:rPr>
                <w:rFonts w:hint="eastAsia"/>
                <w:spacing w:val="-12"/>
                <w:sz w:val="24"/>
                <w:szCs w:val="24"/>
              </w:rPr>
              <w:t>宁县发展和改革局</w:t>
            </w:r>
          </w:p>
        </w:tc>
        <w:tc>
          <w:tcPr>
            <w:tcW w:w="1245" w:type="dxa"/>
            <w:vAlign w:val="center"/>
          </w:tcPr>
          <w:p>
            <w:pPr>
              <w:jc w:val="center"/>
              <w:rPr>
                <w:b/>
                <w:sz w:val="24"/>
                <w:szCs w:val="24"/>
              </w:rPr>
            </w:pPr>
            <w:r>
              <w:rPr>
                <w:rFonts w:hint="eastAsia"/>
                <w:b/>
                <w:sz w:val="24"/>
                <w:szCs w:val="24"/>
              </w:rPr>
              <w:t>批准文号</w:t>
            </w:r>
          </w:p>
        </w:tc>
        <w:tc>
          <w:tcPr>
            <w:tcW w:w="2975" w:type="dxa"/>
            <w:gridSpan w:val="3"/>
            <w:vAlign w:val="center"/>
          </w:tcPr>
          <w:p>
            <w:pPr>
              <w:jc w:val="center"/>
              <w:rPr>
                <w:sz w:val="24"/>
                <w:szCs w:val="24"/>
              </w:rPr>
            </w:pPr>
            <w:r>
              <w:rPr>
                <w:rFonts w:hint="eastAsia"/>
                <w:sz w:val="24"/>
                <w:szCs w:val="24"/>
              </w:rPr>
              <w:t>宁发改[2017]427号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9" w:hRule="atLeast"/>
          <w:jc w:val="center"/>
        </w:trPr>
        <w:tc>
          <w:tcPr>
            <w:tcW w:w="1436" w:type="dxa"/>
            <w:vAlign w:val="center"/>
          </w:tcPr>
          <w:p>
            <w:pPr>
              <w:jc w:val="center"/>
              <w:rPr>
                <w:b/>
                <w:sz w:val="24"/>
                <w:szCs w:val="24"/>
              </w:rPr>
            </w:pPr>
            <w:r>
              <w:rPr>
                <w:rFonts w:hint="eastAsia"/>
                <w:b/>
                <w:sz w:val="24"/>
                <w:szCs w:val="24"/>
              </w:rPr>
              <w:t>建设性质</w:t>
            </w:r>
          </w:p>
        </w:tc>
        <w:tc>
          <w:tcPr>
            <w:tcW w:w="3461" w:type="dxa"/>
            <w:gridSpan w:val="2"/>
            <w:vAlign w:val="center"/>
          </w:tcPr>
          <w:p>
            <w:pPr>
              <w:jc w:val="center"/>
              <w:rPr>
                <w:sz w:val="24"/>
                <w:szCs w:val="24"/>
              </w:rPr>
            </w:pPr>
            <w:r>
              <w:rPr>
                <w:rFonts w:hint="eastAsia"/>
                <w:spacing w:val="-12"/>
                <w:sz w:val="24"/>
                <w:szCs w:val="24"/>
              </w:rPr>
              <w:t>新建■改扩建□技改□</w:t>
            </w:r>
          </w:p>
        </w:tc>
        <w:tc>
          <w:tcPr>
            <w:tcW w:w="1245" w:type="dxa"/>
          </w:tcPr>
          <w:p>
            <w:pPr>
              <w:jc w:val="center"/>
              <w:rPr>
                <w:b/>
                <w:sz w:val="24"/>
                <w:szCs w:val="24"/>
              </w:rPr>
            </w:pPr>
            <w:r>
              <w:rPr>
                <w:rFonts w:hint="eastAsia"/>
                <w:b/>
                <w:sz w:val="24"/>
                <w:szCs w:val="24"/>
              </w:rPr>
              <w:t>行业类别及代码</w:t>
            </w:r>
          </w:p>
        </w:tc>
        <w:tc>
          <w:tcPr>
            <w:tcW w:w="2975" w:type="dxa"/>
            <w:gridSpan w:val="3"/>
            <w:vAlign w:val="center"/>
          </w:tcPr>
          <w:p>
            <w:pPr>
              <w:jc w:val="center"/>
              <w:rPr>
                <w:szCs w:val="21"/>
              </w:rPr>
            </w:pPr>
            <w:r>
              <w:rPr>
                <w:rFonts w:hint="eastAsia"/>
                <w:szCs w:val="21"/>
              </w:rPr>
              <w:t>E4819 其他道路、隧道和桥梁工程建筑、E4852 管道工程建筑、D4620 污水处理及其再生利用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6" w:hRule="atLeast"/>
          <w:jc w:val="center"/>
        </w:trPr>
        <w:tc>
          <w:tcPr>
            <w:tcW w:w="1436" w:type="dxa"/>
            <w:vAlign w:val="center"/>
          </w:tcPr>
          <w:p>
            <w:pPr>
              <w:jc w:val="center"/>
              <w:rPr>
                <w:b/>
                <w:sz w:val="24"/>
                <w:szCs w:val="24"/>
              </w:rPr>
            </w:pPr>
            <w:r>
              <w:rPr>
                <w:rFonts w:hint="eastAsia"/>
                <w:b/>
                <w:sz w:val="24"/>
                <w:szCs w:val="24"/>
              </w:rPr>
              <w:t>占地面积</w:t>
            </w:r>
          </w:p>
          <w:p>
            <w:pPr>
              <w:jc w:val="center"/>
              <w:rPr>
                <w:b/>
                <w:sz w:val="24"/>
                <w:szCs w:val="24"/>
              </w:rPr>
            </w:pPr>
            <w:r>
              <w:rPr>
                <w:rFonts w:hint="eastAsia"/>
                <w:b/>
                <w:sz w:val="24"/>
                <w:szCs w:val="24"/>
              </w:rPr>
              <w:t>（平方米）</w:t>
            </w:r>
          </w:p>
        </w:tc>
        <w:tc>
          <w:tcPr>
            <w:tcW w:w="3461" w:type="dxa"/>
            <w:gridSpan w:val="2"/>
            <w:vAlign w:val="center"/>
          </w:tcPr>
          <w:p>
            <w:pPr>
              <w:jc w:val="center"/>
              <w:rPr>
                <w:sz w:val="24"/>
                <w:szCs w:val="24"/>
              </w:rPr>
            </w:pPr>
            <w:r>
              <w:rPr>
                <w:rFonts w:hint="eastAsia"/>
                <w:sz w:val="24"/>
                <w:szCs w:val="24"/>
              </w:rPr>
              <w:t>16959.08</w:t>
            </w:r>
          </w:p>
        </w:tc>
        <w:tc>
          <w:tcPr>
            <w:tcW w:w="1245" w:type="dxa"/>
          </w:tcPr>
          <w:p>
            <w:pPr>
              <w:jc w:val="center"/>
              <w:rPr>
                <w:b/>
                <w:sz w:val="24"/>
                <w:szCs w:val="24"/>
              </w:rPr>
            </w:pPr>
            <w:r>
              <w:rPr>
                <w:rFonts w:hint="eastAsia"/>
                <w:b/>
                <w:sz w:val="24"/>
                <w:szCs w:val="24"/>
              </w:rPr>
              <w:t>绿化率</w:t>
            </w:r>
          </w:p>
          <w:p>
            <w:pPr>
              <w:jc w:val="center"/>
              <w:rPr>
                <w:b/>
                <w:sz w:val="24"/>
                <w:szCs w:val="24"/>
              </w:rPr>
            </w:pPr>
            <w:r>
              <w:rPr>
                <w:b/>
                <w:sz w:val="24"/>
                <w:szCs w:val="24"/>
              </w:rPr>
              <w:t>(%)</w:t>
            </w:r>
          </w:p>
        </w:tc>
        <w:tc>
          <w:tcPr>
            <w:tcW w:w="2975" w:type="dxa"/>
            <w:gridSpan w:val="3"/>
            <w:vAlign w:val="center"/>
          </w:tcPr>
          <w:p>
            <w:pPr>
              <w:jc w:val="center"/>
              <w:rPr>
                <w:sz w:val="24"/>
                <w:szCs w:val="24"/>
              </w:rPr>
            </w:pPr>
            <w:r>
              <w:rPr>
                <w:rFonts w:hint="eastAsia"/>
                <w:sz w:val="24"/>
                <w:szCs w:val="24"/>
              </w:rPr>
              <w:t>8.18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85" w:hRule="atLeast"/>
          <w:jc w:val="center"/>
        </w:trPr>
        <w:tc>
          <w:tcPr>
            <w:tcW w:w="1436" w:type="dxa"/>
            <w:vAlign w:val="center"/>
          </w:tcPr>
          <w:p>
            <w:pPr>
              <w:jc w:val="center"/>
              <w:rPr>
                <w:b/>
                <w:sz w:val="24"/>
                <w:szCs w:val="24"/>
              </w:rPr>
            </w:pPr>
            <w:r>
              <w:rPr>
                <w:rFonts w:hint="eastAsia"/>
                <w:b/>
                <w:sz w:val="24"/>
                <w:szCs w:val="24"/>
              </w:rPr>
              <w:t>总投资</w:t>
            </w:r>
          </w:p>
          <w:p>
            <w:pPr>
              <w:jc w:val="center"/>
              <w:rPr>
                <w:b/>
                <w:sz w:val="24"/>
                <w:szCs w:val="24"/>
              </w:rPr>
            </w:pPr>
            <w:r>
              <w:rPr>
                <w:b/>
                <w:sz w:val="24"/>
                <w:szCs w:val="24"/>
              </w:rPr>
              <w:t>(</w:t>
            </w:r>
            <w:r>
              <w:rPr>
                <w:rFonts w:hint="eastAsia"/>
                <w:b/>
                <w:sz w:val="24"/>
                <w:szCs w:val="24"/>
              </w:rPr>
              <w:t>万元</w:t>
            </w:r>
            <w:r>
              <w:rPr>
                <w:b/>
                <w:sz w:val="24"/>
                <w:szCs w:val="24"/>
              </w:rPr>
              <w:t>)</w:t>
            </w:r>
          </w:p>
        </w:tc>
        <w:tc>
          <w:tcPr>
            <w:tcW w:w="2268" w:type="dxa"/>
            <w:tcBorders>
              <w:bottom w:val="single" w:color="auto" w:sz="4" w:space="0"/>
            </w:tcBorders>
            <w:vAlign w:val="center"/>
          </w:tcPr>
          <w:p>
            <w:pPr>
              <w:spacing w:line="240" w:lineRule="atLeast"/>
              <w:jc w:val="center"/>
              <w:rPr>
                <w:sz w:val="24"/>
                <w:szCs w:val="24"/>
              </w:rPr>
            </w:pPr>
            <w:r>
              <w:rPr>
                <w:rFonts w:hint="eastAsia"/>
                <w:sz w:val="24"/>
                <w:szCs w:val="24"/>
              </w:rPr>
              <w:t>872.58</w:t>
            </w:r>
          </w:p>
        </w:tc>
        <w:tc>
          <w:tcPr>
            <w:tcW w:w="1193" w:type="dxa"/>
            <w:tcBorders>
              <w:bottom w:val="single" w:color="auto" w:sz="4" w:space="0"/>
            </w:tcBorders>
            <w:vAlign w:val="center"/>
          </w:tcPr>
          <w:p>
            <w:pPr>
              <w:jc w:val="center"/>
              <w:rPr>
                <w:b/>
                <w:sz w:val="24"/>
                <w:szCs w:val="24"/>
              </w:rPr>
            </w:pPr>
            <w:r>
              <w:rPr>
                <w:rFonts w:hint="eastAsia"/>
                <w:b/>
                <w:sz w:val="24"/>
                <w:szCs w:val="24"/>
              </w:rPr>
              <w:t>环保投资</w:t>
            </w:r>
            <w:r>
              <w:rPr>
                <w:b/>
                <w:sz w:val="24"/>
                <w:szCs w:val="24"/>
              </w:rPr>
              <w:t>(</w:t>
            </w:r>
            <w:r>
              <w:rPr>
                <w:rFonts w:hint="eastAsia"/>
                <w:b/>
                <w:sz w:val="24"/>
                <w:szCs w:val="24"/>
              </w:rPr>
              <w:t>万元</w:t>
            </w:r>
            <w:r>
              <w:rPr>
                <w:b/>
                <w:sz w:val="24"/>
                <w:szCs w:val="24"/>
              </w:rPr>
              <w:t>)</w:t>
            </w:r>
          </w:p>
        </w:tc>
        <w:tc>
          <w:tcPr>
            <w:tcW w:w="1245" w:type="dxa"/>
            <w:tcBorders>
              <w:right w:val="single" w:color="auto" w:sz="4" w:space="0"/>
            </w:tcBorders>
            <w:vAlign w:val="center"/>
          </w:tcPr>
          <w:p>
            <w:pPr>
              <w:spacing w:line="240" w:lineRule="atLeast"/>
              <w:jc w:val="center"/>
              <w:rPr>
                <w:sz w:val="24"/>
                <w:szCs w:val="24"/>
              </w:rPr>
            </w:pPr>
            <w:r>
              <w:rPr>
                <w:rFonts w:hint="eastAsia"/>
                <w:sz w:val="24"/>
                <w:szCs w:val="24"/>
              </w:rPr>
              <w:t>44</w:t>
            </w:r>
          </w:p>
        </w:tc>
        <w:tc>
          <w:tcPr>
            <w:tcW w:w="1348" w:type="dxa"/>
            <w:gridSpan w:val="2"/>
            <w:tcBorders>
              <w:left w:val="single" w:color="auto" w:sz="4" w:space="0"/>
            </w:tcBorders>
          </w:tcPr>
          <w:p>
            <w:pPr>
              <w:jc w:val="center"/>
              <w:rPr>
                <w:sz w:val="24"/>
                <w:szCs w:val="24"/>
              </w:rPr>
            </w:pPr>
            <w:r>
              <w:rPr>
                <w:rFonts w:hint="eastAsia"/>
                <w:b/>
                <w:sz w:val="24"/>
                <w:szCs w:val="24"/>
              </w:rPr>
              <w:t>环保投资占总投资比例</w:t>
            </w:r>
          </w:p>
        </w:tc>
        <w:tc>
          <w:tcPr>
            <w:tcW w:w="1627" w:type="dxa"/>
            <w:vAlign w:val="center"/>
          </w:tcPr>
          <w:p>
            <w:pPr>
              <w:spacing w:line="240" w:lineRule="atLeast"/>
              <w:jc w:val="center"/>
              <w:rPr>
                <w:sz w:val="24"/>
                <w:szCs w:val="24"/>
              </w:rPr>
            </w:pPr>
            <w:r>
              <w:rPr>
                <w:rFonts w:hint="eastAsia"/>
                <w:sz w:val="24"/>
                <w:szCs w:val="24"/>
              </w:rPr>
              <w:t>5.04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0" w:hRule="atLeast"/>
          <w:jc w:val="center"/>
        </w:trPr>
        <w:tc>
          <w:tcPr>
            <w:tcW w:w="9117" w:type="dxa"/>
            <w:gridSpan w:val="7"/>
            <w:tcBorders>
              <w:top w:val="single" w:color="auto" w:sz="12" w:space="0"/>
              <w:bottom w:val="single" w:color="auto" w:sz="12" w:space="0"/>
            </w:tcBorders>
          </w:tcPr>
          <w:p>
            <w:pPr>
              <w:tabs>
                <w:tab w:val="left" w:pos="6480"/>
              </w:tabs>
              <w:spacing w:beforeLines="50" w:line="360" w:lineRule="auto"/>
              <w:rPr>
                <w:sz w:val="24"/>
              </w:rPr>
            </w:pPr>
            <w:r>
              <w:rPr>
                <w:rFonts w:hint="eastAsia"/>
                <w:b/>
                <w:sz w:val="28"/>
              </w:rPr>
              <w:t>工程内容及规模：</w:t>
            </w:r>
          </w:p>
          <w:p>
            <w:pPr>
              <w:autoSpaceDE w:val="0"/>
              <w:autoSpaceDN w:val="0"/>
              <w:adjustRightInd w:val="0"/>
              <w:spacing w:line="360" w:lineRule="auto"/>
              <w:ind w:firstLine="482" w:firstLineChars="200"/>
              <w:rPr>
                <w:b/>
                <w:bCs/>
                <w:sz w:val="24"/>
                <w:szCs w:val="28"/>
              </w:rPr>
            </w:pPr>
            <w:r>
              <w:rPr>
                <w:b/>
                <w:bCs/>
                <w:sz w:val="24"/>
                <w:szCs w:val="28"/>
              </w:rPr>
              <w:t>1.项目</w:t>
            </w:r>
            <w:r>
              <w:rPr>
                <w:rFonts w:hint="eastAsia"/>
                <w:b/>
                <w:bCs/>
                <w:sz w:val="24"/>
                <w:szCs w:val="28"/>
              </w:rPr>
              <w:t>由来</w:t>
            </w:r>
          </w:p>
          <w:p>
            <w:pPr>
              <w:autoSpaceDE w:val="0"/>
              <w:autoSpaceDN w:val="0"/>
              <w:adjustRightInd w:val="0"/>
              <w:spacing w:line="360" w:lineRule="auto"/>
              <w:ind w:firstLine="480" w:firstLineChars="200"/>
              <w:rPr>
                <w:sz w:val="24"/>
                <w:szCs w:val="28"/>
              </w:rPr>
            </w:pPr>
            <w:r>
              <w:rPr>
                <w:rFonts w:hint="eastAsia"/>
                <w:sz w:val="24"/>
                <w:szCs w:val="28"/>
              </w:rPr>
              <w:t>太昌镇东风村现状道路差，道路通畅性不够；绿化及照明设施不完善；排水设施不完善，雨污合流，街道利用道路两侧明渠排泄，污水直排地表水体（老虎沟），污染水体和环境，严重影响了人民的生活质量。随着村镇的加快发展，居住人口的不断增加，现状道路及排水设施已不能满足使用要求，供排水工程的建设实施有利于增强村庄服务功能，增强村庄的吸纳力和辐射力，推动农业人口向城镇转移，能使人民群众的生产和生活得到极大改善，同时也对完善村庄路网功能起到很大的补充作用，社会经济效果比较显著。因此，</w:t>
            </w:r>
            <w:r>
              <w:rPr>
                <w:rFonts w:hint="eastAsia"/>
                <w:bCs/>
                <w:sz w:val="24"/>
                <w:szCs w:val="28"/>
              </w:rPr>
              <w:t>宁县太昌镇人民政府投资872.58万元建设宁县太昌镇东风村易地扶贫搬迁附属工程建设项目，改善人民生活环境，保护生态环境。</w:t>
            </w:r>
          </w:p>
          <w:p>
            <w:pPr>
              <w:autoSpaceDE w:val="0"/>
              <w:autoSpaceDN w:val="0"/>
              <w:adjustRightInd w:val="0"/>
              <w:spacing w:line="360" w:lineRule="auto"/>
              <w:ind w:firstLine="480" w:firstLineChars="200"/>
              <w:rPr>
                <w:sz w:val="24"/>
                <w:szCs w:val="28"/>
              </w:rPr>
            </w:pPr>
            <w:r>
              <w:rPr>
                <w:rFonts w:hint="eastAsia"/>
                <w:sz w:val="24"/>
                <w:szCs w:val="28"/>
              </w:rPr>
              <w:t>2017年9月19日，宁县发展和改革局以《关于太昌镇东风村易地扶贫搬迁附属工程建设项目可行性研究报告的批复》批复项目开展初步设计工作，并于2017年11月22日以《关于宁县太昌镇东风村易地扶贫搬迁附属工程建设项目初步设计的批复》同意建设该项目（附件2）；2017年11月10日，宁县城乡规划局以《中华人民共和国建设项目选址意见书》（选字第2017-028号）审核本建设项目符合城乡规划要求（附件3）；2017年11月22日，宁县城乡规划局以《中华人民共和国建设用地规划许可证》（地字第2017-021号）审核本用地项目符合城乡规划要求，并于2017年11月28日以《中华人民共和国建设工程规划许可证》（建字第2017-020号）审核本建设工程符合城乡规划要求（附件4）；2017年11月20日，宁县国土资源局以《证明》（宁国土资函字[2017]171号）批复项目实施范围在街区原国有土地基础上进行，无新增占用耕地，符合太昌镇城镇土地利用总体规划（附件5）。</w:t>
            </w:r>
          </w:p>
          <w:p>
            <w:pPr>
              <w:autoSpaceDE w:val="0"/>
              <w:autoSpaceDN w:val="0"/>
              <w:adjustRightInd w:val="0"/>
              <w:spacing w:line="360" w:lineRule="auto"/>
              <w:ind w:firstLine="480" w:firstLineChars="200"/>
              <w:rPr>
                <w:sz w:val="24"/>
                <w:szCs w:val="28"/>
              </w:rPr>
            </w:pPr>
            <w:r>
              <w:rPr>
                <w:rFonts w:hint="eastAsia"/>
                <w:bCs/>
                <w:sz w:val="24"/>
                <w:szCs w:val="28"/>
              </w:rPr>
              <w:t>根据《建设项目环境影响评价分类管理名录》（</w:t>
            </w:r>
            <w:r>
              <w:rPr>
                <w:bCs/>
                <w:sz w:val="24"/>
                <w:szCs w:val="28"/>
              </w:rPr>
              <w:t>201</w:t>
            </w:r>
            <w:r>
              <w:rPr>
                <w:rFonts w:hint="eastAsia"/>
                <w:bCs/>
                <w:sz w:val="24"/>
                <w:szCs w:val="28"/>
              </w:rPr>
              <w:t>8</w:t>
            </w:r>
            <w:r>
              <w:rPr>
                <w:bCs/>
                <w:sz w:val="24"/>
                <w:szCs w:val="28"/>
              </w:rPr>
              <w:t>.</w:t>
            </w:r>
            <w:r>
              <w:rPr>
                <w:rFonts w:hint="eastAsia"/>
                <w:bCs/>
                <w:sz w:val="24"/>
                <w:szCs w:val="28"/>
              </w:rPr>
              <w:t>4</w:t>
            </w:r>
            <w:r>
              <w:rPr>
                <w:bCs/>
                <w:sz w:val="24"/>
                <w:szCs w:val="28"/>
              </w:rPr>
              <w:t>.</w:t>
            </w:r>
            <w:r>
              <w:rPr>
                <w:rFonts w:hint="eastAsia"/>
                <w:bCs/>
                <w:sz w:val="24"/>
                <w:szCs w:val="28"/>
              </w:rPr>
              <w:t>28修订），“三十三、水的生产和供应业—96生活污水集中处理—其他”编制环境影响报告表；“四十九、交通运输业、管道运输业和仓储业—157等级公路（不含维护、不含改扩建四级公路）—配套设施、不涉及环境敏感区的四级公路”编制环境影响登记表；“四十九、交通运输业、管道运输业和仓储业—175城镇管网及管廊建设（不含1.6兆帕及以下的天然气管道）—新建”编制环境影响报告表。根据“跨行业、复合型建设项目，其环境影响评价类别按其中单项等级最高的确定”，本项目建设内容有道路工程、广场工程、给排水工程、照明工程、拆除工程以及污水处理站，因此，本项目应编制环境影响报告表。</w:t>
            </w:r>
          </w:p>
          <w:p>
            <w:pPr>
              <w:autoSpaceDE w:val="0"/>
              <w:autoSpaceDN w:val="0"/>
              <w:adjustRightInd w:val="0"/>
              <w:spacing w:line="360" w:lineRule="auto"/>
              <w:ind w:firstLine="480" w:firstLineChars="200"/>
              <w:rPr>
                <w:bCs/>
                <w:sz w:val="24"/>
                <w:szCs w:val="28"/>
              </w:rPr>
            </w:pPr>
            <w:r>
              <w:rPr>
                <w:rFonts w:hint="eastAsia"/>
                <w:bCs/>
                <w:sz w:val="24"/>
                <w:szCs w:val="28"/>
              </w:rPr>
              <w:t>为科学客观地评价项目对周围环境造成的影响，根据《中华人民共和国环境保护法》、《中华人民共和国环境影响评价法》、《甘肃省环境保护条例》等有关规定，宁县太昌镇人民政府于2018年11月委托江苏新清源环保有限公司承担“</w:t>
            </w:r>
            <w:r>
              <w:rPr>
                <w:rFonts w:hint="eastAsia" w:hAnsi="宋体"/>
                <w:bCs/>
                <w:sz w:val="24"/>
              </w:rPr>
              <w:t>宁县太昌镇东风村易地扶贫搬迁附属工程建设项目</w:t>
            </w:r>
            <w:r>
              <w:rPr>
                <w:rFonts w:hint="eastAsia"/>
                <w:bCs/>
                <w:sz w:val="24"/>
                <w:szCs w:val="28"/>
              </w:rPr>
              <w:t>”环境影响评价工作。我单位接受委托后，立即组织项目组踏勘现场，在深入研究建设单位提供的资料、全面细致的现场踏勘基础上，依据国家及甘肃省环境保护的有关规定，按照环境影响评价技术导则的要求，编制完成了《</w:t>
            </w:r>
            <w:r>
              <w:rPr>
                <w:rFonts w:hint="eastAsia" w:hAnsi="宋体"/>
                <w:bCs/>
                <w:sz w:val="24"/>
              </w:rPr>
              <w:t>宁县太昌镇东风村易地扶贫搬迁附属工程建设项目</w:t>
            </w:r>
            <w:r>
              <w:rPr>
                <w:rFonts w:hint="eastAsia"/>
                <w:bCs/>
                <w:sz w:val="24"/>
                <w:szCs w:val="28"/>
              </w:rPr>
              <w:t>环境影响报告表》，以便对项目的施工、运营和环保设施的建设、运行提供科学依据。</w:t>
            </w:r>
          </w:p>
          <w:p>
            <w:pPr>
              <w:autoSpaceDE w:val="0"/>
              <w:autoSpaceDN w:val="0"/>
              <w:adjustRightInd w:val="0"/>
              <w:spacing w:line="360" w:lineRule="auto"/>
              <w:ind w:firstLine="482" w:firstLineChars="200"/>
              <w:rPr>
                <w:b/>
                <w:bCs/>
                <w:sz w:val="24"/>
                <w:szCs w:val="28"/>
              </w:rPr>
            </w:pPr>
            <w:r>
              <w:rPr>
                <w:rFonts w:hint="eastAsia"/>
                <w:b/>
                <w:bCs/>
                <w:sz w:val="24"/>
                <w:szCs w:val="28"/>
              </w:rPr>
              <w:t>2、编制依据</w:t>
            </w:r>
          </w:p>
          <w:p>
            <w:pPr>
              <w:autoSpaceDE w:val="0"/>
              <w:autoSpaceDN w:val="0"/>
              <w:adjustRightInd w:val="0"/>
              <w:spacing w:line="360" w:lineRule="auto"/>
              <w:ind w:firstLine="480" w:firstLineChars="200"/>
              <w:rPr>
                <w:bCs/>
                <w:sz w:val="24"/>
                <w:szCs w:val="28"/>
              </w:rPr>
            </w:pPr>
            <w:r>
              <w:rPr>
                <w:rFonts w:hint="eastAsia"/>
                <w:bCs/>
                <w:sz w:val="24"/>
                <w:szCs w:val="28"/>
              </w:rPr>
              <w:t>（</w:t>
            </w:r>
            <w:r>
              <w:rPr>
                <w:bCs/>
                <w:sz w:val="24"/>
                <w:szCs w:val="28"/>
              </w:rPr>
              <w:t>1</w:t>
            </w:r>
            <w:r>
              <w:rPr>
                <w:rFonts w:hint="eastAsia"/>
                <w:bCs/>
                <w:sz w:val="24"/>
                <w:szCs w:val="28"/>
              </w:rPr>
              <w:t>）相关法律、法规</w:t>
            </w:r>
          </w:p>
          <w:p>
            <w:pPr>
              <w:autoSpaceDE w:val="0"/>
              <w:autoSpaceDN w:val="0"/>
              <w:adjustRightInd w:val="0"/>
              <w:spacing w:line="360" w:lineRule="auto"/>
              <w:ind w:firstLine="480" w:firstLineChars="200"/>
              <w:rPr>
                <w:bCs/>
                <w:sz w:val="24"/>
                <w:szCs w:val="28"/>
              </w:rPr>
            </w:pPr>
            <w:r>
              <w:rPr>
                <w:rFonts w:hint="eastAsia"/>
                <w:bCs/>
                <w:sz w:val="24"/>
                <w:szCs w:val="28"/>
              </w:rPr>
              <w:t>《中华人民共和国环境保护法》（</w:t>
            </w:r>
            <w:r>
              <w:rPr>
                <w:bCs/>
                <w:sz w:val="24"/>
                <w:szCs w:val="28"/>
              </w:rPr>
              <w:t>2015.1.1</w:t>
            </w:r>
            <w:r>
              <w:rPr>
                <w:rFonts w:hint="eastAsia"/>
                <w:bCs/>
                <w:sz w:val="24"/>
                <w:szCs w:val="28"/>
              </w:rPr>
              <w:t>施行）；</w:t>
            </w:r>
          </w:p>
          <w:p>
            <w:pPr>
              <w:autoSpaceDE w:val="0"/>
              <w:autoSpaceDN w:val="0"/>
              <w:adjustRightInd w:val="0"/>
              <w:spacing w:line="360" w:lineRule="auto"/>
              <w:ind w:firstLine="480" w:firstLineChars="200"/>
              <w:rPr>
                <w:bCs/>
                <w:sz w:val="24"/>
                <w:szCs w:val="28"/>
              </w:rPr>
            </w:pPr>
            <w:r>
              <w:rPr>
                <w:rFonts w:hint="eastAsia"/>
                <w:bCs/>
                <w:sz w:val="24"/>
                <w:szCs w:val="28"/>
              </w:rPr>
              <w:t>《中华人民共和国环境影响评价法》（</w:t>
            </w:r>
            <w:r>
              <w:rPr>
                <w:bCs/>
                <w:sz w:val="24"/>
                <w:szCs w:val="28"/>
              </w:rPr>
              <w:t>201</w:t>
            </w:r>
            <w:r>
              <w:rPr>
                <w:rFonts w:hint="eastAsia"/>
                <w:bCs/>
                <w:sz w:val="24"/>
                <w:szCs w:val="28"/>
              </w:rPr>
              <w:t>8</w:t>
            </w:r>
            <w:r>
              <w:rPr>
                <w:bCs/>
                <w:sz w:val="24"/>
                <w:szCs w:val="28"/>
              </w:rPr>
              <w:t>.</w:t>
            </w:r>
            <w:r>
              <w:rPr>
                <w:rFonts w:hint="eastAsia"/>
                <w:bCs/>
                <w:sz w:val="24"/>
                <w:szCs w:val="28"/>
              </w:rPr>
              <w:t>12</w:t>
            </w:r>
            <w:r>
              <w:rPr>
                <w:bCs/>
                <w:sz w:val="24"/>
                <w:szCs w:val="28"/>
              </w:rPr>
              <w:t>.</w:t>
            </w:r>
            <w:r>
              <w:rPr>
                <w:rFonts w:hint="eastAsia"/>
                <w:bCs/>
                <w:sz w:val="24"/>
                <w:szCs w:val="28"/>
              </w:rPr>
              <w:t>29修订）；</w:t>
            </w:r>
          </w:p>
          <w:p>
            <w:pPr>
              <w:autoSpaceDE w:val="0"/>
              <w:autoSpaceDN w:val="0"/>
              <w:adjustRightInd w:val="0"/>
              <w:spacing w:line="360" w:lineRule="auto"/>
              <w:ind w:firstLine="480" w:firstLineChars="200"/>
              <w:rPr>
                <w:bCs/>
                <w:sz w:val="24"/>
                <w:szCs w:val="28"/>
              </w:rPr>
            </w:pPr>
            <w:r>
              <w:rPr>
                <w:rFonts w:hint="eastAsia"/>
                <w:bCs/>
                <w:sz w:val="24"/>
                <w:szCs w:val="28"/>
              </w:rPr>
              <w:t>《中华人民共和国环境噪声污染防治法》（2018</w:t>
            </w:r>
            <w:r>
              <w:rPr>
                <w:bCs/>
                <w:sz w:val="24"/>
                <w:szCs w:val="28"/>
              </w:rPr>
              <w:t>.</w:t>
            </w:r>
            <w:r>
              <w:rPr>
                <w:rFonts w:hint="eastAsia"/>
                <w:bCs/>
                <w:sz w:val="24"/>
                <w:szCs w:val="28"/>
              </w:rPr>
              <w:t>12</w:t>
            </w:r>
            <w:r>
              <w:rPr>
                <w:bCs/>
                <w:sz w:val="24"/>
                <w:szCs w:val="28"/>
              </w:rPr>
              <w:t>.</w:t>
            </w:r>
            <w:r>
              <w:rPr>
                <w:rFonts w:hint="eastAsia"/>
                <w:bCs/>
                <w:sz w:val="24"/>
                <w:szCs w:val="28"/>
              </w:rPr>
              <w:t>29修订）；</w:t>
            </w:r>
          </w:p>
          <w:p>
            <w:pPr>
              <w:autoSpaceDE w:val="0"/>
              <w:autoSpaceDN w:val="0"/>
              <w:adjustRightInd w:val="0"/>
              <w:spacing w:line="360" w:lineRule="auto"/>
              <w:ind w:firstLine="480" w:firstLineChars="200"/>
              <w:rPr>
                <w:bCs/>
                <w:sz w:val="24"/>
                <w:szCs w:val="28"/>
              </w:rPr>
            </w:pPr>
            <w:r>
              <w:rPr>
                <w:rFonts w:hint="eastAsia"/>
                <w:bCs/>
                <w:sz w:val="24"/>
                <w:szCs w:val="28"/>
              </w:rPr>
              <w:t>《中华人民共和国大气污染防治法》（</w:t>
            </w:r>
            <w:r>
              <w:rPr>
                <w:bCs/>
                <w:sz w:val="24"/>
                <w:szCs w:val="28"/>
              </w:rPr>
              <w:t>201</w:t>
            </w:r>
            <w:r>
              <w:rPr>
                <w:rFonts w:hint="eastAsia"/>
                <w:bCs/>
                <w:sz w:val="24"/>
                <w:szCs w:val="28"/>
              </w:rPr>
              <w:t>8.10.26修订）；</w:t>
            </w:r>
          </w:p>
          <w:p>
            <w:pPr>
              <w:autoSpaceDE w:val="0"/>
              <w:autoSpaceDN w:val="0"/>
              <w:adjustRightInd w:val="0"/>
              <w:spacing w:line="360" w:lineRule="auto"/>
              <w:ind w:firstLine="480" w:firstLineChars="200"/>
              <w:rPr>
                <w:bCs/>
                <w:sz w:val="24"/>
                <w:szCs w:val="28"/>
              </w:rPr>
            </w:pPr>
            <w:r>
              <w:rPr>
                <w:rFonts w:hint="eastAsia"/>
                <w:bCs/>
                <w:sz w:val="24"/>
                <w:szCs w:val="28"/>
              </w:rPr>
              <w:t>《中华人民共和国水污染防治法》（</w:t>
            </w:r>
            <w:r>
              <w:rPr>
                <w:bCs/>
                <w:sz w:val="24"/>
                <w:szCs w:val="28"/>
              </w:rPr>
              <w:t>20</w:t>
            </w:r>
            <w:r>
              <w:rPr>
                <w:rFonts w:hint="eastAsia"/>
                <w:bCs/>
                <w:sz w:val="24"/>
                <w:szCs w:val="28"/>
              </w:rPr>
              <w:t>18.1.1施行）；</w:t>
            </w:r>
          </w:p>
          <w:p>
            <w:pPr>
              <w:autoSpaceDE w:val="0"/>
              <w:autoSpaceDN w:val="0"/>
              <w:adjustRightInd w:val="0"/>
              <w:spacing w:line="360" w:lineRule="auto"/>
              <w:ind w:firstLine="480" w:firstLineChars="200"/>
              <w:rPr>
                <w:bCs/>
                <w:sz w:val="24"/>
                <w:szCs w:val="28"/>
              </w:rPr>
            </w:pPr>
            <w:r>
              <w:rPr>
                <w:rFonts w:hint="eastAsia"/>
                <w:bCs/>
                <w:sz w:val="24"/>
                <w:szCs w:val="28"/>
              </w:rPr>
              <w:t>《中华人民共和国固体废物污染环境防治法》（2016.11.7修订）；</w:t>
            </w:r>
          </w:p>
          <w:p>
            <w:pPr>
              <w:autoSpaceDE w:val="0"/>
              <w:autoSpaceDN w:val="0"/>
              <w:adjustRightInd w:val="0"/>
              <w:spacing w:line="360" w:lineRule="auto"/>
              <w:ind w:firstLine="480" w:firstLineChars="200"/>
              <w:rPr>
                <w:bCs/>
                <w:sz w:val="24"/>
                <w:szCs w:val="28"/>
              </w:rPr>
            </w:pPr>
            <w:r>
              <w:rPr>
                <w:rFonts w:hint="eastAsia"/>
                <w:bCs/>
                <w:sz w:val="24"/>
                <w:szCs w:val="28"/>
              </w:rPr>
              <w:t>《中华人民共和国土壤污染防治法》（2019.1.1施行）；</w:t>
            </w:r>
          </w:p>
          <w:p>
            <w:pPr>
              <w:autoSpaceDE w:val="0"/>
              <w:autoSpaceDN w:val="0"/>
              <w:adjustRightInd w:val="0"/>
              <w:spacing w:line="360" w:lineRule="auto"/>
              <w:ind w:firstLine="480" w:firstLineChars="200"/>
              <w:rPr>
                <w:bCs/>
                <w:sz w:val="24"/>
                <w:szCs w:val="28"/>
              </w:rPr>
            </w:pPr>
            <w:r>
              <w:rPr>
                <w:rFonts w:hint="eastAsia"/>
                <w:bCs/>
                <w:sz w:val="24"/>
                <w:szCs w:val="28"/>
              </w:rPr>
              <w:t>《甘肃省环境保护条例》（</w:t>
            </w:r>
            <w:r>
              <w:rPr>
                <w:bCs/>
                <w:sz w:val="24"/>
                <w:szCs w:val="28"/>
              </w:rPr>
              <w:t>2004.6.4.</w:t>
            </w:r>
            <w:r>
              <w:rPr>
                <w:rFonts w:hint="eastAsia"/>
                <w:bCs/>
                <w:sz w:val="24"/>
                <w:szCs w:val="28"/>
              </w:rPr>
              <w:t>修订）；</w:t>
            </w:r>
          </w:p>
          <w:p>
            <w:pPr>
              <w:autoSpaceDE w:val="0"/>
              <w:autoSpaceDN w:val="0"/>
              <w:adjustRightInd w:val="0"/>
              <w:spacing w:line="360" w:lineRule="auto"/>
              <w:ind w:firstLine="480" w:firstLineChars="200"/>
              <w:rPr>
                <w:bCs/>
                <w:sz w:val="24"/>
                <w:szCs w:val="28"/>
              </w:rPr>
            </w:pPr>
            <w:r>
              <w:rPr>
                <w:rFonts w:hint="eastAsia"/>
                <w:bCs/>
                <w:sz w:val="24"/>
                <w:szCs w:val="28"/>
              </w:rPr>
              <w:t>（</w:t>
            </w:r>
            <w:r>
              <w:rPr>
                <w:bCs/>
                <w:sz w:val="24"/>
                <w:szCs w:val="28"/>
              </w:rPr>
              <w:t>2</w:t>
            </w:r>
            <w:r>
              <w:rPr>
                <w:rFonts w:hint="eastAsia"/>
                <w:bCs/>
                <w:sz w:val="24"/>
                <w:szCs w:val="28"/>
              </w:rPr>
              <w:t>）相关资源、环境保护政策</w:t>
            </w:r>
          </w:p>
          <w:p>
            <w:pPr>
              <w:autoSpaceDE w:val="0"/>
              <w:autoSpaceDN w:val="0"/>
              <w:adjustRightInd w:val="0"/>
              <w:spacing w:line="360" w:lineRule="auto"/>
              <w:ind w:firstLine="480" w:firstLineChars="200"/>
              <w:rPr>
                <w:bCs/>
                <w:sz w:val="24"/>
                <w:szCs w:val="28"/>
              </w:rPr>
            </w:pPr>
            <w:r>
              <w:rPr>
                <w:rFonts w:hint="eastAsia"/>
                <w:bCs/>
                <w:sz w:val="24"/>
                <w:szCs w:val="28"/>
              </w:rPr>
              <w:t>《产业结构调整指导目录（</w:t>
            </w:r>
            <w:r>
              <w:rPr>
                <w:bCs/>
                <w:sz w:val="24"/>
                <w:szCs w:val="28"/>
              </w:rPr>
              <w:t>2011</w:t>
            </w:r>
            <w:r>
              <w:rPr>
                <w:rFonts w:hint="eastAsia"/>
                <w:bCs/>
                <w:sz w:val="24"/>
                <w:szCs w:val="28"/>
              </w:rPr>
              <w:t>年本）（</w:t>
            </w:r>
            <w:r>
              <w:rPr>
                <w:bCs/>
                <w:sz w:val="24"/>
                <w:szCs w:val="28"/>
              </w:rPr>
              <w:t>2013</w:t>
            </w:r>
            <w:r>
              <w:rPr>
                <w:rFonts w:hint="eastAsia"/>
                <w:bCs/>
                <w:sz w:val="24"/>
                <w:szCs w:val="28"/>
              </w:rPr>
              <w:t>年修订）》（国家发改委第</w:t>
            </w:r>
            <w:r>
              <w:rPr>
                <w:bCs/>
                <w:sz w:val="24"/>
                <w:szCs w:val="28"/>
              </w:rPr>
              <w:t>21</w:t>
            </w:r>
            <w:r>
              <w:rPr>
                <w:rFonts w:hint="eastAsia"/>
                <w:bCs/>
                <w:sz w:val="24"/>
                <w:szCs w:val="28"/>
              </w:rPr>
              <w:t>号令）；</w:t>
            </w:r>
          </w:p>
          <w:p>
            <w:pPr>
              <w:autoSpaceDE w:val="0"/>
              <w:autoSpaceDN w:val="0"/>
              <w:adjustRightInd w:val="0"/>
              <w:spacing w:line="360" w:lineRule="auto"/>
              <w:ind w:firstLine="480" w:firstLineChars="200"/>
              <w:rPr>
                <w:bCs/>
                <w:sz w:val="24"/>
                <w:szCs w:val="28"/>
              </w:rPr>
            </w:pPr>
            <w:r>
              <w:rPr>
                <w:rFonts w:hint="eastAsia"/>
                <w:bCs/>
                <w:sz w:val="24"/>
                <w:szCs w:val="28"/>
              </w:rPr>
              <w:t>《建设项目环境影响评价分类管理名录》（</w:t>
            </w:r>
            <w:r>
              <w:rPr>
                <w:bCs/>
                <w:sz w:val="24"/>
                <w:szCs w:val="28"/>
              </w:rPr>
              <w:t>201</w:t>
            </w:r>
            <w:r>
              <w:rPr>
                <w:rFonts w:hint="eastAsia"/>
                <w:bCs/>
                <w:sz w:val="24"/>
                <w:szCs w:val="28"/>
              </w:rPr>
              <w:t>8</w:t>
            </w:r>
            <w:r>
              <w:rPr>
                <w:bCs/>
                <w:sz w:val="24"/>
                <w:szCs w:val="28"/>
              </w:rPr>
              <w:t>.</w:t>
            </w:r>
            <w:r>
              <w:rPr>
                <w:rFonts w:hint="eastAsia"/>
                <w:bCs/>
                <w:sz w:val="24"/>
                <w:szCs w:val="28"/>
              </w:rPr>
              <w:t>4</w:t>
            </w:r>
            <w:r>
              <w:rPr>
                <w:bCs/>
                <w:sz w:val="24"/>
                <w:szCs w:val="28"/>
              </w:rPr>
              <w:t>.</w:t>
            </w:r>
            <w:r>
              <w:rPr>
                <w:rFonts w:hint="eastAsia"/>
                <w:bCs/>
                <w:sz w:val="24"/>
                <w:szCs w:val="28"/>
              </w:rPr>
              <w:t>28修订）；</w:t>
            </w:r>
          </w:p>
          <w:p>
            <w:pPr>
              <w:autoSpaceDE w:val="0"/>
              <w:autoSpaceDN w:val="0"/>
              <w:adjustRightInd w:val="0"/>
              <w:spacing w:line="360" w:lineRule="auto"/>
              <w:ind w:firstLine="480" w:firstLineChars="200"/>
              <w:rPr>
                <w:bCs/>
                <w:sz w:val="24"/>
                <w:szCs w:val="28"/>
              </w:rPr>
            </w:pPr>
            <w:r>
              <w:rPr>
                <w:rFonts w:hint="eastAsia"/>
                <w:bCs/>
                <w:sz w:val="24"/>
                <w:szCs w:val="28"/>
              </w:rPr>
              <w:t>《关于加强西部地区环境影响评价工作的通知》（环发</w:t>
            </w:r>
            <w:r>
              <w:rPr>
                <w:bCs/>
                <w:sz w:val="24"/>
                <w:szCs w:val="28"/>
              </w:rPr>
              <w:t>[2011]150</w:t>
            </w:r>
            <w:r>
              <w:rPr>
                <w:rFonts w:hint="eastAsia"/>
                <w:bCs/>
                <w:sz w:val="24"/>
                <w:szCs w:val="28"/>
              </w:rPr>
              <w:t>号）；</w:t>
            </w:r>
          </w:p>
          <w:p>
            <w:pPr>
              <w:autoSpaceDE w:val="0"/>
              <w:autoSpaceDN w:val="0"/>
              <w:adjustRightInd w:val="0"/>
              <w:spacing w:line="360" w:lineRule="auto"/>
              <w:ind w:firstLine="480" w:firstLineChars="200"/>
              <w:rPr>
                <w:bCs/>
                <w:sz w:val="24"/>
                <w:szCs w:val="28"/>
              </w:rPr>
            </w:pPr>
            <w:r>
              <w:rPr>
                <w:rFonts w:hint="eastAsia"/>
                <w:bCs/>
                <w:sz w:val="24"/>
                <w:szCs w:val="28"/>
              </w:rPr>
              <w:t>《环境保护部关于进一步推进甘肃环境保护工作的意见》（环发</w:t>
            </w:r>
            <w:r>
              <w:rPr>
                <w:bCs/>
                <w:sz w:val="24"/>
                <w:szCs w:val="28"/>
              </w:rPr>
              <w:t>[2010]136</w:t>
            </w:r>
            <w:r>
              <w:rPr>
                <w:rFonts w:hint="eastAsia"/>
                <w:bCs/>
                <w:sz w:val="24"/>
                <w:szCs w:val="28"/>
              </w:rPr>
              <w:t>号）；</w:t>
            </w:r>
          </w:p>
          <w:p>
            <w:pPr>
              <w:autoSpaceDE w:val="0"/>
              <w:autoSpaceDN w:val="0"/>
              <w:adjustRightInd w:val="0"/>
              <w:spacing w:line="360" w:lineRule="auto"/>
              <w:ind w:firstLine="480" w:firstLineChars="200"/>
              <w:rPr>
                <w:bCs/>
                <w:sz w:val="24"/>
                <w:szCs w:val="28"/>
              </w:rPr>
            </w:pPr>
            <w:r>
              <w:rPr>
                <w:rFonts w:hint="eastAsia"/>
                <w:bCs/>
                <w:sz w:val="24"/>
                <w:szCs w:val="28"/>
              </w:rPr>
              <w:t>《甘肃省水环境功能区划》（甘政函</w:t>
            </w:r>
            <w:r>
              <w:rPr>
                <w:bCs/>
                <w:sz w:val="24"/>
                <w:szCs w:val="28"/>
              </w:rPr>
              <w:t>[2013]4</w:t>
            </w:r>
            <w:r>
              <w:rPr>
                <w:rFonts w:hint="eastAsia"/>
                <w:bCs/>
                <w:sz w:val="24"/>
                <w:szCs w:val="28"/>
              </w:rPr>
              <w:t>号）；</w:t>
            </w:r>
          </w:p>
          <w:p>
            <w:pPr>
              <w:autoSpaceDE w:val="0"/>
              <w:autoSpaceDN w:val="0"/>
              <w:adjustRightInd w:val="0"/>
              <w:spacing w:line="360" w:lineRule="auto"/>
              <w:ind w:firstLine="480" w:firstLineChars="200"/>
              <w:rPr>
                <w:bCs/>
                <w:sz w:val="24"/>
                <w:szCs w:val="28"/>
              </w:rPr>
            </w:pPr>
            <w:r>
              <w:rPr>
                <w:rFonts w:hint="eastAsia"/>
                <w:bCs/>
                <w:sz w:val="24"/>
                <w:szCs w:val="28"/>
              </w:rPr>
              <w:t>《水污染防治行动计划》（国发〔</w:t>
            </w:r>
            <w:r>
              <w:rPr>
                <w:bCs/>
                <w:sz w:val="24"/>
                <w:szCs w:val="28"/>
              </w:rPr>
              <w:t>2015</w:t>
            </w:r>
            <w:r>
              <w:rPr>
                <w:rFonts w:hint="eastAsia"/>
                <w:bCs/>
                <w:sz w:val="24"/>
                <w:szCs w:val="28"/>
              </w:rPr>
              <w:t>〕</w:t>
            </w:r>
            <w:r>
              <w:rPr>
                <w:bCs/>
                <w:sz w:val="24"/>
                <w:szCs w:val="28"/>
              </w:rPr>
              <w:t>17</w:t>
            </w:r>
            <w:r>
              <w:rPr>
                <w:rFonts w:hint="eastAsia"/>
                <w:bCs/>
                <w:sz w:val="24"/>
                <w:szCs w:val="28"/>
              </w:rPr>
              <w:t>号）；</w:t>
            </w:r>
          </w:p>
          <w:p>
            <w:pPr>
              <w:autoSpaceDE w:val="0"/>
              <w:autoSpaceDN w:val="0"/>
              <w:adjustRightInd w:val="0"/>
              <w:spacing w:line="360" w:lineRule="auto"/>
              <w:ind w:firstLine="480" w:firstLineChars="200"/>
              <w:rPr>
                <w:bCs/>
                <w:sz w:val="24"/>
                <w:szCs w:val="28"/>
              </w:rPr>
            </w:pPr>
            <w:r>
              <w:rPr>
                <w:rFonts w:hint="eastAsia"/>
                <w:bCs/>
                <w:sz w:val="24"/>
                <w:szCs w:val="28"/>
              </w:rPr>
              <w:t>《甘肃省水污染防治工作方案》（甘政发〔</w:t>
            </w:r>
            <w:r>
              <w:rPr>
                <w:bCs/>
                <w:sz w:val="24"/>
                <w:szCs w:val="28"/>
              </w:rPr>
              <w:t>2015</w:t>
            </w:r>
            <w:r>
              <w:rPr>
                <w:rFonts w:hint="eastAsia"/>
                <w:bCs/>
                <w:sz w:val="24"/>
                <w:szCs w:val="28"/>
              </w:rPr>
              <w:t>〕</w:t>
            </w:r>
            <w:r>
              <w:rPr>
                <w:bCs/>
                <w:sz w:val="24"/>
                <w:szCs w:val="28"/>
              </w:rPr>
              <w:t>103</w:t>
            </w:r>
            <w:r>
              <w:rPr>
                <w:rFonts w:hint="eastAsia"/>
                <w:bCs/>
                <w:sz w:val="24"/>
                <w:szCs w:val="28"/>
              </w:rPr>
              <w:t>号）；</w:t>
            </w:r>
          </w:p>
          <w:p>
            <w:pPr>
              <w:autoSpaceDE w:val="0"/>
              <w:autoSpaceDN w:val="0"/>
              <w:adjustRightInd w:val="0"/>
              <w:spacing w:line="360" w:lineRule="auto"/>
              <w:ind w:firstLine="480" w:firstLineChars="200"/>
              <w:rPr>
                <w:bCs/>
                <w:sz w:val="24"/>
                <w:szCs w:val="28"/>
              </w:rPr>
            </w:pPr>
            <w:r>
              <w:rPr>
                <w:rFonts w:hint="eastAsia"/>
                <w:bCs/>
                <w:sz w:val="24"/>
                <w:szCs w:val="28"/>
              </w:rPr>
              <w:t>《庆阳市水污染防治工作方案》（</w:t>
            </w:r>
            <w:r>
              <w:rPr>
                <w:bCs/>
                <w:sz w:val="24"/>
                <w:szCs w:val="28"/>
              </w:rPr>
              <w:t>庆政发〔2016〕11号</w:t>
            </w:r>
            <w:r>
              <w:rPr>
                <w:rFonts w:hint="eastAsia"/>
                <w:bCs/>
                <w:sz w:val="24"/>
                <w:szCs w:val="28"/>
              </w:rPr>
              <w:t>）；</w:t>
            </w:r>
          </w:p>
          <w:p>
            <w:pPr>
              <w:autoSpaceDE w:val="0"/>
              <w:autoSpaceDN w:val="0"/>
              <w:adjustRightInd w:val="0"/>
              <w:spacing w:line="360" w:lineRule="auto"/>
              <w:ind w:firstLine="480" w:firstLineChars="200"/>
              <w:rPr>
                <w:bCs/>
                <w:sz w:val="24"/>
                <w:szCs w:val="28"/>
              </w:rPr>
            </w:pPr>
            <w:r>
              <w:rPr>
                <w:rFonts w:hint="eastAsia"/>
                <w:bCs/>
                <w:sz w:val="24"/>
                <w:szCs w:val="28"/>
              </w:rPr>
              <w:t>《大气污染防治行动计划》（国发[2013]37号）；</w:t>
            </w:r>
          </w:p>
          <w:p>
            <w:pPr>
              <w:autoSpaceDE w:val="0"/>
              <w:autoSpaceDN w:val="0"/>
              <w:adjustRightInd w:val="0"/>
              <w:spacing w:line="360" w:lineRule="auto"/>
              <w:ind w:firstLine="480" w:firstLineChars="200"/>
              <w:rPr>
                <w:bCs/>
                <w:sz w:val="24"/>
                <w:szCs w:val="28"/>
              </w:rPr>
            </w:pPr>
            <w:r>
              <w:rPr>
                <w:rFonts w:hint="eastAsia"/>
                <w:bCs/>
                <w:sz w:val="24"/>
                <w:szCs w:val="28"/>
              </w:rPr>
              <w:t>《甘肃省地表水功能区划（</w:t>
            </w:r>
            <w:r>
              <w:rPr>
                <w:bCs/>
                <w:sz w:val="24"/>
                <w:szCs w:val="28"/>
              </w:rPr>
              <w:t>2012-2030</w:t>
            </w:r>
            <w:r>
              <w:rPr>
                <w:rFonts w:hint="eastAsia"/>
                <w:bCs/>
                <w:sz w:val="24"/>
                <w:szCs w:val="28"/>
              </w:rPr>
              <w:t>）》，（甘政函</w:t>
            </w:r>
            <w:r>
              <w:rPr>
                <w:bCs/>
                <w:sz w:val="24"/>
                <w:szCs w:val="28"/>
              </w:rPr>
              <w:t>[2013]4</w:t>
            </w:r>
            <w:r>
              <w:rPr>
                <w:rFonts w:hint="eastAsia"/>
                <w:bCs/>
                <w:sz w:val="24"/>
                <w:szCs w:val="28"/>
              </w:rPr>
              <w:t>号）；</w:t>
            </w:r>
          </w:p>
          <w:p>
            <w:pPr>
              <w:autoSpaceDE w:val="0"/>
              <w:autoSpaceDN w:val="0"/>
              <w:adjustRightInd w:val="0"/>
              <w:spacing w:line="360" w:lineRule="auto"/>
              <w:ind w:firstLine="480" w:firstLineChars="200"/>
              <w:rPr>
                <w:bCs/>
                <w:sz w:val="24"/>
                <w:szCs w:val="28"/>
              </w:rPr>
            </w:pPr>
            <w:r>
              <w:rPr>
                <w:rFonts w:hint="eastAsia"/>
                <w:bCs/>
                <w:sz w:val="24"/>
                <w:szCs w:val="28"/>
              </w:rPr>
              <w:t>《甘肃省城镇污水处理及再生利用设施建设“十三五”规划》（甘肃省发展改革委员会、省建设厅、省环保厅）；</w:t>
            </w:r>
          </w:p>
          <w:p>
            <w:pPr>
              <w:autoSpaceDE w:val="0"/>
              <w:autoSpaceDN w:val="0"/>
              <w:adjustRightInd w:val="0"/>
              <w:spacing w:line="360" w:lineRule="auto"/>
              <w:ind w:firstLine="480" w:firstLineChars="200"/>
              <w:rPr>
                <w:bCs/>
                <w:sz w:val="24"/>
                <w:szCs w:val="28"/>
              </w:rPr>
            </w:pPr>
            <w:r>
              <w:rPr>
                <w:rFonts w:hint="eastAsia"/>
                <w:bCs/>
                <w:sz w:val="24"/>
                <w:szCs w:val="28"/>
              </w:rPr>
              <w:t>（</w:t>
            </w:r>
            <w:r>
              <w:rPr>
                <w:bCs/>
                <w:sz w:val="24"/>
                <w:szCs w:val="28"/>
              </w:rPr>
              <w:t>3</w:t>
            </w:r>
            <w:r>
              <w:rPr>
                <w:rFonts w:hint="eastAsia"/>
                <w:bCs/>
                <w:sz w:val="24"/>
                <w:szCs w:val="28"/>
              </w:rPr>
              <w:t>）技术导则及相关技术规范</w:t>
            </w:r>
          </w:p>
          <w:p>
            <w:pPr>
              <w:autoSpaceDE w:val="0"/>
              <w:autoSpaceDN w:val="0"/>
              <w:adjustRightInd w:val="0"/>
              <w:spacing w:line="360" w:lineRule="auto"/>
              <w:ind w:firstLine="480" w:firstLineChars="200"/>
              <w:rPr>
                <w:bCs/>
                <w:sz w:val="24"/>
                <w:szCs w:val="28"/>
              </w:rPr>
            </w:pPr>
            <w:r>
              <w:rPr>
                <w:rFonts w:hint="eastAsia"/>
                <w:bCs/>
                <w:sz w:val="24"/>
                <w:szCs w:val="28"/>
              </w:rPr>
              <w:t>《建设项目环境影响评价技术导则 总纲》（</w:t>
            </w:r>
            <w:r>
              <w:rPr>
                <w:bCs/>
                <w:sz w:val="24"/>
                <w:szCs w:val="28"/>
              </w:rPr>
              <w:t>HJ2.1-201</w:t>
            </w:r>
            <w:r>
              <w:rPr>
                <w:rFonts w:hint="eastAsia"/>
                <w:bCs/>
                <w:sz w:val="24"/>
                <w:szCs w:val="28"/>
              </w:rPr>
              <w:t>6）；</w:t>
            </w:r>
          </w:p>
          <w:p>
            <w:pPr>
              <w:autoSpaceDE w:val="0"/>
              <w:autoSpaceDN w:val="0"/>
              <w:adjustRightInd w:val="0"/>
              <w:spacing w:line="360" w:lineRule="auto"/>
              <w:ind w:firstLine="480" w:firstLineChars="200"/>
              <w:rPr>
                <w:bCs/>
                <w:sz w:val="24"/>
                <w:szCs w:val="28"/>
              </w:rPr>
            </w:pPr>
            <w:r>
              <w:rPr>
                <w:rFonts w:hint="eastAsia"/>
                <w:bCs/>
                <w:sz w:val="24"/>
                <w:szCs w:val="28"/>
              </w:rPr>
              <w:t>《环境影响评价技术导则</w:t>
            </w:r>
            <w:r>
              <w:rPr>
                <w:bCs/>
                <w:sz w:val="24"/>
                <w:szCs w:val="28"/>
              </w:rPr>
              <w:t xml:space="preserve"> </w:t>
            </w:r>
            <w:r>
              <w:rPr>
                <w:rFonts w:hint="eastAsia"/>
                <w:bCs/>
                <w:sz w:val="24"/>
                <w:szCs w:val="28"/>
              </w:rPr>
              <w:t>大气环境》（</w:t>
            </w:r>
            <w:r>
              <w:rPr>
                <w:bCs/>
                <w:sz w:val="24"/>
                <w:szCs w:val="28"/>
              </w:rPr>
              <w:t>HJ2.2-20</w:t>
            </w:r>
            <w:r>
              <w:rPr>
                <w:rFonts w:hint="eastAsia"/>
                <w:bCs/>
                <w:sz w:val="24"/>
                <w:szCs w:val="28"/>
              </w:rPr>
              <w:t>1</w:t>
            </w:r>
            <w:r>
              <w:rPr>
                <w:bCs/>
                <w:sz w:val="24"/>
                <w:szCs w:val="28"/>
              </w:rPr>
              <w:t>8</w:t>
            </w:r>
            <w:r>
              <w:rPr>
                <w:rFonts w:hint="eastAsia"/>
                <w:bCs/>
                <w:sz w:val="24"/>
                <w:szCs w:val="28"/>
              </w:rPr>
              <w:t>）；</w:t>
            </w:r>
          </w:p>
          <w:p>
            <w:pPr>
              <w:autoSpaceDE w:val="0"/>
              <w:autoSpaceDN w:val="0"/>
              <w:adjustRightInd w:val="0"/>
              <w:spacing w:line="360" w:lineRule="auto"/>
              <w:ind w:firstLine="480" w:firstLineChars="200"/>
              <w:rPr>
                <w:bCs/>
                <w:sz w:val="24"/>
                <w:szCs w:val="28"/>
              </w:rPr>
            </w:pPr>
            <w:r>
              <w:rPr>
                <w:rFonts w:hint="eastAsia"/>
                <w:bCs/>
                <w:sz w:val="24"/>
                <w:szCs w:val="28"/>
              </w:rPr>
              <w:t>《环境影响评价技术导则</w:t>
            </w:r>
            <w:r>
              <w:rPr>
                <w:bCs/>
                <w:sz w:val="24"/>
                <w:szCs w:val="28"/>
              </w:rPr>
              <w:t xml:space="preserve"> </w:t>
            </w:r>
            <w:r>
              <w:rPr>
                <w:rFonts w:hint="eastAsia"/>
                <w:bCs/>
                <w:sz w:val="24"/>
                <w:szCs w:val="28"/>
              </w:rPr>
              <w:t>地面水环境》（</w:t>
            </w:r>
            <w:r>
              <w:rPr>
                <w:bCs/>
                <w:sz w:val="24"/>
                <w:szCs w:val="28"/>
              </w:rPr>
              <w:t>HJ/T2.3-93</w:t>
            </w:r>
            <w:r>
              <w:rPr>
                <w:rFonts w:hint="eastAsia"/>
                <w:bCs/>
                <w:sz w:val="24"/>
                <w:szCs w:val="28"/>
              </w:rPr>
              <w:t>）；</w:t>
            </w:r>
          </w:p>
          <w:p>
            <w:pPr>
              <w:autoSpaceDE w:val="0"/>
              <w:autoSpaceDN w:val="0"/>
              <w:adjustRightInd w:val="0"/>
              <w:spacing w:line="360" w:lineRule="auto"/>
              <w:ind w:firstLine="480" w:firstLineChars="200"/>
              <w:rPr>
                <w:bCs/>
                <w:sz w:val="24"/>
                <w:szCs w:val="28"/>
              </w:rPr>
            </w:pPr>
            <w:r>
              <w:rPr>
                <w:rFonts w:hint="eastAsia"/>
                <w:bCs/>
                <w:sz w:val="24"/>
                <w:szCs w:val="28"/>
              </w:rPr>
              <w:t>《环境影响评价技术导则</w:t>
            </w:r>
            <w:r>
              <w:rPr>
                <w:bCs/>
                <w:sz w:val="24"/>
                <w:szCs w:val="28"/>
              </w:rPr>
              <w:t xml:space="preserve"> </w:t>
            </w:r>
            <w:r>
              <w:rPr>
                <w:rFonts w:hint="eastAsia"/>
                <w:bCs/>
                <w:sz w:val="24"/>
                <w:szCs w:val="28"/>
              </w:rPr>
              <w:t>声环境》（</w:t>
            </w:r>
            <w:r>
              <w:rPr>
                <w:bCs/>
                <w:sz w:val="24"/>
                <w:szCs w:val="28"/>
              </w:rPr>
              <w:t>HJ2.4-2009</w:t>
            </w:r>
            <w:r>
              <w:rPr>
                <w:rFonts w:hint="eastAsia"/>
                <w:bCs/>
                <w:sz w:val="24"/>
                <w:szCs w:val="28"/>
              </w:rPr>
              <w:t>）；</w:t>
            </w:r>
          </w:p>
          <w:p>
            <w:pPr>
              <w:autoSpaceDE w:val="0"/>
              <w:autoSpaceDN w:val="0"/>
              <w:adjustRightInd w:val="0"/>
              <w:spacing w:line="360" w:lineRule="auto"/>
              <w:ind w:firstLine="480" w:firstLineChars="200"/>
              <w:rPr>
                <w:bCs/>
                <w:sz w:val="24"/>
                <w:szCs w:val="28"/>
              </w:rPr>
            </w:pPr>
            <w:r>
              <w:rPr>
                <w:rFonts w:hint="eastAsia"/>
                <w:bCs/>
                <w:sz w:val="24"/>
                <w:szCs w:val="28"/>
              </w:rPr>
              <w:t>《环境影响评价技术导则</w:t>
            </w:r>
            <w:r>
              <w:rPr>
                <w:bCs/>
                <w:sz w:val="24"/>
                <w:szCs w:val="28"/>
              </w:rPr>
              <w:t xml:space="preserve"> </w:t>
            </w:r>
            <w:r>
              <w:rPr>
                <w:rFonts w:hint="eastAsia"/>
                <w:bCs/>
                <w:sz w:val="24"/>
                <w:szCs w:val="28"/>
              </w:rPr>
              <w:t>地下水环境》（</w:t>
            </w:r>
            <w:r>
              <w:rPr>
                <w:bCs/>
                <w:sz w:val="24"/>
                <w:szCs w:val="28"/>
              </w:rPr>
              <w:t>HJ610-2016</w:t>
            </w:r>
            <w:r>
              <w:rPr>
                <w:rFonts w:hint="eastAsia"/>
                <w:bCs/>
                <w:sz w:val="24"/>
                <w:szCs w:val="28"/>
              </w:rPr>
              <w:t>）；</w:t>
            </w:r>
          </w:p>
          <w:p>
            <w:pPr>
              <w:autoSpaceDE w:val="0"/>
              <w:autoSpaceDN w:val="0"/>
              <w:adjustRightInd w:val="0"/>
              <w:spacing w:line="360" w:lineRule="auto"/>
              <w:ind w:firstLine="480" w:firstLineChars="200"/>
              <w:rPr>
                <w:bCs/>
                <w:sz w:val="24"/>
                <w:szCs w:val="28"/>
              </w:rPr>
            </w:pPr>
            <w:r>
              <w:rPr>
                <w:rFonts w:hint="eastAsia"/>
                <w:bCs/>
                <w:sz w:val="24"/>
                <w:szCs w:val="28"/>
              </w:rPr>
              <w:t>《建设项目环境风险评价技术导则》（</w:t>
            </w:r>
            <w:r>
              <w:rPr>
                <w:bCs/>
                <w:sz w:val="24"/>
                <w:szCs w:val="28"/>
              </w:rPr>
              <w:t>HJ/T169-2004</w:t>
            </w:r>
            <w:r>
              <w:rPr>
                <w:rFonts w:hint="eastAsia"/>
                <w:bCs/>
                <w:sz w:val="24"/>
                <w:szCs w:val="28"/>
              </w:rPr>
              <w:t>）；</w:t>
            </w:r>
          </w:p>
          <w:p>
            <w:pPr>
              <w:autoSpaceDE w:val="0"/>
              <w:autoSpaceDN w:val="0"/>
              <w:adjustRightInd w:val="0"/>
              <w:spacing w:line="360" w:lineRule="auto"/>
              <w:ind w:firstLine="480" w:firstLineChars="200"/>
              <w:rPr>
                <w:bCs/>
                <w:sz w:val="24"/>
                <w:szCs w:val="28"/>
              </w:rPr>
            </w:pPr>
            <w:r>
              <w:rPr>
                <w:bCs/>
                <w:sz w:val="24"/>
                <w:szCs w:val="28"/>
              </w:rPr>
              <w:t>《环境影响评价技术导则-生态影响》（HJ19-2011）</w:t>
            </w:r>
            <w:r>
              <w:rPr>
                <w:rFonts w:hint="eastAsia"/>
                <w:bCs/>
                <w:sz w:val="24"/>
                <w:szCs w:val="28"/>
              </w:rPr>
              <w:t>；</w:t>
            </w:r>
          </w:p>
          <w:p>
            <w:pPr>
              <w:autoSpaceDE w:val="0"/>
              <w:autoSpaceDN w:val="0"/>
              <w:adjustRightInd w:val="0"/>
              <w:spacing w:line="360" w:lineRule="auto"/>
              <w:ind w:firstLine="480" w:firstLineChars="200"/>
              <w:rPr>
                <w:bCs/>
                <w:sz w:val="24"/>
                <w:szCs w:val="28"/>
              </w:rPr>
            </w:pPr>
            <w:r>
              <w:rPr>
                <w:rFonts w:hint="eastAsia"/>
                <w:bCs/>
                <w:sz w:val="24"/>
                <w:szCs w:val="28"/>
              </w:rPr>
              <w:t>（4）其他资料</w:t>
            </w:r>
          </w:p>
          <w:p>
            <w:pPr>
              <w:autoSpaceDE w:val="0"/>
              <w:autoSpaceDN w:val="0"/>
              <w:adjustRightInd w:val="0"/>
              <w:spacing w:line="360" w:lineRule="auto"/>
              <w:ind w:firstLine="480" w:firstLineChars="200"/>
              <w:rPr>
                <w:bCs/>
                <w:sz w:val="24"/>
                <w:szCs w:val="28"/>
              </w:rPr>
            </w:pPr>
            <w:r>
              <w:rPr>
                <w:rFonts w:hint="eastAsia"/>
                <w:bCs/>
                <w:sz w:val="24"/>
                <w:szCs w:val="28"/>
              </w:rPr>
              <w:t>《宁县城总体规划（2010-2030）》（陕西省城乡规划设计研究院）；</w:t>
            </w:r>
          </w:p>
          <w:p>
            <w:pPr>
              <w:autoSpaceDE w:val="0"/>
              <w:autoSpaceDN w:val="0"/>
              <w:adjustRightInd w:val="0"/>
              <w:spacing w:line="360" w:lineRule="auto"/>
              <w:ind w:firstLine="480" w:firstLineChars="200"/>
              <w:rPr>
                <w:bCs/>
                <w:sz w:val="24"/>
                <w:szCs w:val="28"/>
              </w:rPr>
            </w:pPr>
            <w:r>
              <w:rPr>
                <w:rFonts w:hint="eastAsia"/>
                <w:bCs/>
                <w:sz w:val="24"/>
                <w:szCs w:val="28"/>
              </w:rPr>
              <w:t>《宁县太昌镇总体规划（2012-2030）》；</w:t>
            </w:r>
          </w:p>
          <w:p>
            <w:pPr>
              <w:autoSpaceDE w:val="0"/>
              <w:autoSpaceDN w:val="0"/>
              <w:adjustRightInd w:val="0"/>
              <w:spacing w:line="360" w:lineRule="auto"/>
              <w:ind w:firstLine="480" w:firstLineChars="200"/>
              <w:rPr>
                <w:bCs/>
                <w:sz w:val="24"/>
                <w:szCs w:val="28"/>
              </w:rPr>
            </w:pPr>
            <w:r>
              <w:rPr>
                <w:rFonts w:hint="eastAsia"/>
                <w:bCs/>
                <w:sz w:val="24"/>
                <w:szCs w:val="28"/>
              </w:rPr>
              <w:t>《宁县太昌镇东风村易地扶贫搬迁室外附属工程建设项目》（兰州新现代建筑设计有限公司）；</w:t>
            </w:r>
          </w:p>
          <w:p>
            <w:pPr>
              <w:autoSpaceDE w:val="0"/>
              <w:autoSpaceDN w:val="0"/>
              <w:adjustRightInd w:val="0"/>
              <w:spacing w:line="360" w:lineRule="auto"/>
              <w:ind w:firstLine="480" w:firstLineChars="200"/>
              <w:rPr>
                <w:bCs/>
                <w:sz w:val="24"/>
                <w:szCs w:val="28"/>
              </w:rPr>
            </w:pPr>
            <w:r>
              <w:rPr>
                <w:rFonts w:hint="eastAsia"/>
                <w:bCs/>
                <w:sz w:val="24"/>
                <w:szCs w:val="28"/>
              </w:rPr>
              <w:t>《庆阳市太昌镇污水处理工程建设项目可行性研究报告》（北京桑德环境工程有限公司）；</w:t>
            </w:r>
          </w:p>
          <w:p>
            <w:pPr>
              <w:autoSpaceDE w:val="0"/>
              <w:autoSpaceDN w:val="0"/>
              <w:adjustRightInd w:val="0"/>
              <w:spacing w:line="360" w:lineRule="auto"/>
              <w:ind w:firstLine="480" w:firstLineChars="200"/>
              <w:rPr>
                <w:bCs/>
                <w:sz w:val="24"/>
                <w:szCs w:val="28"/>
              </w:rPr>
            </w:pPr>
            <w:r>
              <w:rPr>
                <w:rFonts w:hint="eastAsia"/>
                <w:bCs/>
                <w:sz w:val="24"/>
                <w:szCs w:val="28"/>
              </w:rPr>
              <w:t>《宁县太昌镇东风村易地扶贫搬迁附属工程初步设计》（陕西冠程工程勘察设计有限公司）；</w:t>
            </w:r>
          </w:p>
          <w:p>
            <w:pPr>
              <w:autoSpaceDE w:val="0"/>
              <w:autoSpaceDN w:val="0"/>
              <w:adjustRightInd w:val="0"/>
              <w:spacing w:line="360" w:lineRule="auto"/>
              <w:ind w:firstLine="480" w:firstLineChars="200"/>
              <w:rPr>
                <w:bCs/>
                <w:sz w:val="24"/>
                <w:szCs w:val="28"/>
              </w:rPr>
            </w:pPr>
            <w:r>
              <w:rPr>
                <w:rFonts w:hint="eastAsia"/>
                <w:bCs/>
                <w:sz w:val="24"/>
                <w:szCs w:val="28"/>
              </w:rPr>
              <w:t>建设单位提供的其他资料。</w:t>
            </w:r>
          </w:p>
          <w:p>
            <w:pPr>
              <w:autoSpaceDE w:val="0"/>
              <w:autoSpaceDN w:val="0"/>
              <w:adjustRightInd w:val="0"/>
              <w:spacing w:line="360" w:lineRule="auto"/>
              <w:ind w:firstLine="482" w:firstLineChars="200"/>
              <w:rPr>
                <w:b/>
                <w:bCs/>
                <w:sz w:val="24"/>
                <w:szCs w:val="28"/>
              </w:rPr>
            </w:pPr>
            <w:r>
              <w:rPr>
                <w:rFonts w:hint="eastAsia"/>
                <w:b/>
                <w:bCs/>
                <w:sz w:val="24"/>
                <w:szCs w:val="28"/>
              </w:rPr>
              <w:t>3、环境功能区划</w:t>
            </w:r>
          </w:p>
          <w:p>
            <w:pPr>
              <w:autoSpaceDE w:val="0"/>
              <w:autoSpaceDN w:val="0"/>
              <w:adjustRightInd w:val="0"/>
              <w:spacing w:line="360" w:lineRule="auto"/>
              <w:ind w:firstLine="480" w:firstLineChars="200"/>
              <w:rPr>
                <w:bCs/>
                <w:sz w:val="24"/>
                <w:szCs w:val="28"/>
              </w:rPr>
            </w:pPr>
            <w:r>
              <w:rPr>
                <w:rFonts w:hint="eastAsia"/>
                <w:bCs/>
                <w:sz w:val="24"/>
                <w:szCs w:val="28"/>
              </w:rPr>
              <w:t>（</w:t>
            </w:r>
            <w:r>
              <w:rPr>
                <w:bCs/>
                <w:sz w:val="24"/>
                <w:szCs w:val="28"/>
              </w:rPr>
              <w:t>1</w:t>
            </w:r>
            <w:r>
              <w:rPr>
                <w:rFonts w:hint="eastAsia"/>
                <w:bCs/>
                <w:sz w:val="24"/>
                <w:szCs w:val="28"/>
              </w:rPr>
              <w:t>）环境空气</w:t>
            </w:r>
          </w:p>
          <w:p>
            <w:pPr>
              <w:autoSpaceDE w:val="0"/>
              <w:autoSpaceDN w:val="0"/>
              <w:adjustRightInd w:val="0"/>
              <w:spacing w:line="360" w:lineRule="auto"/>
              <w:ind w:firstLine="480" w:firstLineChars="200"/>
              <w:rPr>
                <w:bCs/>
                <w:sz w:val="24"/>
                <w:szCs w:val="28"/>
              </w:rPr>
            </w:pPr>
            <w:r>
              <w:rPr>
                <w:rFonts w:hint="eastAsia"/>
                <w:bCs/>
                <w:sz w:val="24"/>
                <w:szCs w:val="28"/>
              </w:rPr>
              <w:t>根据《关于印发</w:t>
            </w:r>
            <w:r>
              <w:rPr>
                <w:bCs/>
                <w:sz w:val="24"/>
                <w:szCs w:val="28"/>
              </w:rPr>
              <w:t>&lt;</w:t>
            </w:r>
            <w:r>
              <w:rPr>
                <w:rFonts w:hint="eastAsia"/>
                <w:bCs/>
                <w:sz w:val="24"/>
                <w:szCs w:val="28"/>
              </w:rPr>
              <w:t>庆阳地区环境空气质量功能区划分方案</w:t>
            </w:r>
            <w:r>
              <w:rPr>
                <w:bCs/>
                <w:sz w:val="24"/>
                <w:szCs w:val="28"/>
              </w:rPr>
              <w:t>&gt;</w:t>
            </w:r>
            <w:r>
              <w:rPr>
                <w:rFonts w:hint="eastAsia"/>
                <w:bCs/>
                <w:sz w:val="24"/>
                <w:szCs w:val="28"/>
              </w:rPr>
              <w:t>的通知》（庆阳署发〔</w:t>
            </w:r>
            <w:r>
              <w:rPr>
                <w:bCs/>
                <w:sz w:val="24"/>
                <w:szCs w:val="28"/>
              </w:rPr>
              <w:t>1999</w:t>
            </w:r>
            <w:r>
              <w:rPr>
                <w:rFonts w:hint="eastAsia"/>
                <w:bCs/>
                <w:sz w:val="24"/>
                <w:szCs w:val="28"/>
              </w:rPr>
              <w:t>〕</w:t>
            </w:r>
            <w:r>
              <w:rPr>
                <w:bCs/>
                <w:sz w:val="24"/>
                <w:szCs w:val="28"/>
              </w:rPr>
              <w:t xml:space="preserve">20 </w:t>
            </w:r>
            <w:r>
              <w:rPr>
                <w:rFonts w:hint="eastAsia"/>
                <w:bCs/>
                <w:sz w:val="24"/>
                <w:szCs w:val="28"/>
              </w:rPr>
              <w:t>号），方案划分庆阳市除子午岭林区为环境空气功能一类区外，其余均为二类区。根据划分结果，项目地环境空气功能区为二类功能区，环境空气质量评价执行《环境空气质量标准》（</w:t>
            </w:r>
            <w:r>
              <w:rPr>
                <w:bCs/>
                <w:sz w:val="24"/>
                <w:szCs w:val="28"/>
              </w:rPr>
              <w:t>GB3095-2012</w:t>
            </w:r>
            <w:r>
              <w:rPr>
                <w:rFonts w:hint="eastAsia"/>
                <w:bCs/>
                <w:sz w:val="24"/>
                <w:szCs w:val="28"/>
              </w:rPr>
              <w:t>）二级标准。</w:t>
            </w:r>
          </w:p>
          <w:p>
            <w:pPr>
              <w:autoSpaceDE w:val="0"/>
              <w:autoSpaceDN w:val="0"/>
              <w:adjustRightInd w:val="0"/>
              <w:spacing w:line="360" w:lineRule="auto"/>
              <w:ind w:firstLine="480" w:firstLineChars="200"/>
              <w:rPr>
                <w:bCs/>
                <w:sz w:val="24"/>
                <w:szCs w:val="28"/>
              </w:rPr>
            </w:pPr>
            <w:r>
              <w:rPr>
                <w:rFonts w:hint="eastAsia"/>
                <w:bCs/>
                <w:sz w:val="24"/>
                <w:szCs w:val="28"/>
              </w:rPr>
              <w:t>（</w:t>
            </w:r>
            <w:r>
              <w:rPr>
                <w:bCs/>
                <w:sz w:val="24"/>
                <w:szCs w:val="28"/>
              </w:rPr>
              <w:t>2</w:t>
            </w:r>
            <w:r>
              <w:rPr>
                <w:rFonts w:hint="eastAsia"/>
                <w:bCs/>
                <w:sz w:val="24"/>
                <w:szCs w:val="28"/>
              </w:rPr>
              <w:t>）地表水环境</w:t>
            </w:r>
          </w:p>
          <w:p>
            <w:pPr>
              <w:autoSpaceDE w:val="0"/>
              <w:autoSpaceDN w:val="0"/>
              <w:adjustRightInd w:val="0"/>
              <w:spacing w:line="360" w:lineRule="auto"/>
              <w:ind w:firstLine="480" w:firstLineChars="200"/>
              <w:rPr>
                <w:bCs/>
                <w:sz w:val="24"/>
                <w:szCs w:val="28"/>
              </w:rPr>
            </w:pPr>
            <w:r>
              <w:rPr>
                <w:rFonts w:hint="eastAsia"/>
                <w:bCs/>
                <w:sz w:val="24"/>
                <w:szCs w:val="28"/>
              </w:rPr>
              <w:t>根据《甘肃省地表水功能区划》（</w:t>
            </w:r>
            <w:r>
              <w:rPr>
                <w:bCs/>
                <w:sz w:val="24"/>
                <w:szCs w:val="28"/>
              </w:rPr>
              <w:t>2012-2030</w:t>
            </w:r>
            <w:r>
              <w:rPr>
                <w:rFonts w:hint="eastAsia"/>
                <w:bCs/>
                <w:sz w:val="24"/>
                <w:szCs w:val="28"/>
              </w:rPr>
              <w:t>）（甘政函</w:t>
            </w:r>
            <w:r>
              <w:rPr>
                <w:bCs/>
                <w:sz w:val="24"/>
                <w:szCs w:val="28"/>
              </w:rPr>
              <w:t>[2013]4</w:t>
            </w:r>
            <w:r>
              <w:rPr>
                <w:rFonts w:hint="eastAsia"/>
                <w:bCs/>
                <w:sz w:val="24"/>
                <w:szCs w:val="28"/>
              </w:rPr>
              <w:t>号）规定，项目所在地地表水老虎沟为马莲河支流，属于Ⅳ类水域功能区，见附图1。</w:t>
            </w:r>
          </w:p>
          <w:p>
            <w:pPr>
              <w:tabs>
                <w:tab w:val="center" w:pos="4690"/>
              </w:tabs>
              <w:autoSpaceDE w:val="0"/>
              <w:autoSpaceDN w:val="0"/>
              <w:adjustRightInd w:val="0"/>
              <w:spacing w:line="360" w:lineRule="auto"/>
              <w:ind w:firstLine="480" w:firstLineChars="200"/>
              <w:rPr>
                <w:bCs/>
                <w:sz w:val="24"/>
                <w:szCs w:val="28"/>
              </w:rPr>
            </w:pPr>
            <w:r>
              <w:rPr>
                <w:rFonts w:hint="eastAsia"/>
                <w:bCs/>
                <w:sz w:val="24"/>
                <w:szCs w:val="28"/>
              </w:rPr>
              <w:t>（</w:t>
            </w:r>
            <w:r>
              <w:rPr>
                <w:bCs/>
                <w:sz w:val="24"/>
                <w:szCs w:val="28"/>
              </w:rPr>
              <w:t>3</w:t>
            </w:r>
            <w:r>
              <w:rPr>
                <w:rFonts w:hint="eastAsia"/>
                <w:bCs/>
                <w:sz w:val="24"/>
                <w:szCs w:val="28"/>
              </w:rPr>
              <w:t>）地下水环境</w:t>
            </w:r>
            <w:r>
              <w:rPr>
                <w:bCs/>
                <w:sz w:val="24"/>
                <w:szCs w:val="28"/>
              </w:rPr>
              <w:tab/>
            </w:r>
          </w:p>
          <w:p>
            <w:pPr>
              <w:autoSpaceDE w:val="0"/>
              <w:autoSpaceDN w:val="0"/>
              <w:adjustRightInd w:val="0"/>
              <w:spacing w:line="360" w:lineRule="auto"/>
              <w:ind w:firstLine="480" w:firstLineChars="200"/>
              <w:rPr>
                <w:bCs/>
                <w:sz w:val="24"/>
                <w:szCs w:val="28"/>
              </w:rPr>
            </w:pPr>
            <w:r>
              <w:rPr>
                <w:rFonts w:hint="eastAsia"/>
                <w:bCs/>
                <w:sz w:val="24"/>
                <w:szCs w:val="28"/>
              </w:rPr>
              <w:t>根据《地下水质量标准》（</w:t>
            </w:r>
            <w:r>
              <w:rPr>
                <w:bCs/>
                <w:sz w:val="24"/>
                <w:szCs w:val="28"/>
              </w:rPr>
              <w:t>GB/T14848-</w:t>
            </w:r>
            <w:r>
              <w:rPr>
                <w:rFonts w:hint="eastAsia"/>
                <w:bCs/>
                <w:sz w:val="24"/>
                <w:szCs w:val="28"/>
              </w:rPr>
              <w:t>2017）及项目地实际情况，项目所在地地下水执行《地下水质量标准》（</w:t>
            </w:r>
            <w:r>
              <w:rPr>
                <w:bCs/>
                <w:sz w:val="24"/>
                <w:szCs w:val="28"/>
              </w:rPr>
              <w:t>GB/T14848-</w:t>
            </w:r>
            <w:r>
              <w:rPr>
                <w:rFonts w:hint="eastAsia"/>
                <w:bCs/>
                <w:sz w:val="24"/>
                <w:szCs w:val="28"/>
              </w:rPr>
              <w:t>2017）中Ⅲ类标准。</w:t>
            </w:r>
          </w:p>
          <w:p>
            <w:pPr>
              <w:autoSpaceDE w:val="0"/>
              <w:autoSpaceDN w:val="0"/>
              <w:adjustRightInd w:val="0"/>
              <w:spacing w:line="360" w:lineRule="auto"/>
              <w:ind w:firstLine="480" w:firstLineChars="200"/>
              <w:rPr>
                <w:bCs/>
                <w:sz w:val="24"/>
                <w:szCs w:val="28"/>
              </w:rPr>
            </w:pPr>
            <w:r>
              <w:rPr>
                <w:rFonts w:hint="eastAsia"/>
                <w:bCs/>
                <w:sz w:val="24"/>
                <w:szCs w:val="28"/>
              </w:rPr>
              <w:t>（</w:t>
            </w:r>
            <w:r>
              <w:rPr>
                <w:bCs/>
                <w:sz w:val="24"/>
                <w:szCs w:val="28"/>
              </w:rPr>
              <w:t>4</w:t>
            </w:r>
            <w:r>
              <w:rPr>
                <w:rFonts w:hint="eastAsia"/>
                <w:bCs/>
                <w:sz w:val="24"/>
                <w:szCs w:val="28"/>
              </w:rPr>
              <w:t>）声环境</w:t>
            </w:r>
          </w:p>
          <w:p>
            <w:pPr>
              <w:autoSpaceDE w:val="0"/>
              <w:autoSpaceDN w:val="0"/>
              <w:adjustRightInd w:val="0"/>
              <w:spacing w:line="360" w:lineRule="auto"/>
              <w:ind w:firstLine="480" w:firstLineChars="200"/>
              <w:rPr>
                <w:bCs/>
                <w:sz w:val="24"/>
                <w:szCs w:val="28"/>
              </w:rPr>
            </w:pPr>
            <w:r>
              <w:rPr>
                <w:rFonts w:hint="eastAsia"/>
                <w:bCs/>
                <w:sz w:val="24"/>
                <w:szCs w:val="28"/>
              </w:rPr>
              <w:t>根据《声环境质量标准》</w:t>
            </w:r>
            <w:r>
              <w:rPr>
                <w:bCs/>
                <w:sz w:val="24"/>
                <w:szCs w:val="28"/>
              </w:rPr>
              <w:t>(GB3096-2008)</w:t>
            </w:r>
            <w:r>
              <w:rPr>
                <w:rFonts w:hint="eastAsia"/>
                <w:bCs/>
                <w:sz w:val="24"/>
                <w:szCs w:val="28"/>
              </w:rPr>
              <w:t>中声环境功能区的划分方法，项目所在地属于《声环境质量标准》</w:t>
            </w:r>
            <w:r>
              <w:rPr>
                <w:bCs/>
                <w:sz w:val="24"/>
                <w:szCs w:val="28"/>
              </w:rPr>
              <w:t>(GB3096-2008)</w:t>
            </w:r>
            <w:r>
              <w:rPr>
                <w:rFonts w:hint="eastAsia"/>
                <w:bCs/>
                <w:sz w:val="24"/>
                <w:szCs w:val="28"/>
              </w:rPr>
              <w:t>中的2类和4a类功能区。</w:t>
            </w:r>
          </w:p>
          <w:p>
            <w:pPr>
              <w:autoSpaceDE w:val="0"/>
              <w:autoSpaceDN w:val="0"/>
              <w:adjustRightInd w:val="0"/>
              <w:spacing w:line="360" w:lineRule="auto"/>
              <w:ind w:firstLine="482" w:firstLineChars="200"/>
              <w:rPr>
                <w:b/>
                <w:bCs/>
                <w:sz w:val="24"/>
                <w:szCs w:val="28"/>
              </w:rPr>
            </w:pPr>
            <w:r>
              <w:rPr>
                <w:rFonts w:hint="eastAsia"/>
                <w:b/>
                <w:bCs/>
                <w:sz w:val="24"/>
                <w:szCs w:val="28"/>
              </w:rPr>
              <w:t>4、项目概况</w:t>
            </w:r>
          </w:p>
          <w:p>
            <w:pPr>
              <w:autoSpaceDE w:val="0"/>
              <w:autoSpaceDN w:val="0"/>
              <w:adjustRightInd w:val="0"/>
              <w:spacing w:line="360" w:lineRule="auto"/>
              <w:ind w:firstLine="480" w:firstLineChars="200"/>
              <w:rPr>
                <w:bCs/>
                <w:sz w:val="24"/>
                <w:szCs w:val="28"/>
              </w:rPr>
            </w:pPr>
            <w:r>
              <w:rPr>
                <w:rFonts w:hint="eastAsia"/>
                <w:bCs/>
                <w:sz w:val="24"/>
                <w:szCs w:val="28"/>
              </w:rPr>
              <w:t>项目名称：宁县太昌镇东风村易地扶贫搬迁附属工程建设项目</w:t>
            </w:r>
          </w:p>
          <w:p>
            <w:pPr>
              <w:autoSpaceDE w:val="0"/>
              <w:autoSpaceDN w:val="0"/>
              <w:adjustRightInd w:val="0"/>
              <w:spacing w:line="360" w:lineRule="auto"/>
              <w:ind w:firstLine="480" w:firstLineChars="200"/>
              <w:rPr>
                <w:bCs/>
                <w:sz w:val="24"/>
                <w:szCs w:val="28"/>
              </w:rPr>
            </w:pPr>
            <w:r>
              <w:rPr>
                <w:rFonts w:hint="eastAsia"/>
                <w:bCs/>
                <w:sz w:val="24"/>
                <w:szCs w:val="28"/>
              </w:rPr>
              <w:t>建设性质：新建</w:t>
            </w:r>
          </w:p>
          <w:p>
            <w:pPr>
              <w:autoSpaceDE w:val="0"/>
              <w:autoSpaceDN w:val="0"/>
              <w:adjustRightInd w:val="0"/>
              <w:spacing w:line="360" w:lineRule="auto"/>
              <w:ind w:firstLine="480" w:firstLineChars="200"/>
              <w:rPr>
                <w:bCs/>
                <w:sz w:val="24"/>
                <w:szCs w:val="28"/>
              </w:rPr>
            </w:pPr>
            <w:r>
              <w:rPr>
                <w:rFonts w:hint="eastAsia"/>
                <w:bCs/>
                <w:sz w:val="24"/>
                <w:szCs w:val="28"/>
              </w:rPr>
              <w:t>建设单位：宁县太昌镇人民政府</w:t>
            </w:r>
          </w:p>
          <w:p>
            <w:pPr>
              <w:autoSpaceDE w:val="0"/>
              <w:autoSpaceDN w:val="0"/>
              <w:adjustRightInd w:val="0"/>
              <w:spacing w:line="360" w:lineRule="auto"/>
              <w:ind w:firstLine="480" w:firstLineChars="200"/>
              <w:rPr>
                <w:bCs/>
                <w:sz w:val="24"/>
                <w:szCs w:val="28"/>
              </w:rPr>
            </w:pPr>
            <w:r>
              <w:rPr>
                <w:rFonts w:hint="eastAsia"/>
                <w:bCs/>
                <w:sz w:val="24"/>
                <w:szCs w:val="28"/>
              </w:rPr>
              <w:t>建设地点：宁县太昌镇，拟建场地呈长方形，南北宽约398.38m，东西长约39.87m。起点地理坐标：</w:t>
            </w:r>
            <w:r>
              <w:rPr>
                <w:bCs/>
                <w:sz w:val="24"/>
                <w:szCs w:val="28"/>
              </w:rPr>
              <w:t>东经</w:t>
            </w:r>
            <w:r>
              <w:rPr>
                <w:rFonts w:hint="eastAsia"/>
                <w:bCs/>
                <w:sz w:val="24"/>
                <w:szCs w:val="28"/>
              </w:rPr>
              <w:t>108</w:t>
            </w:r>
            <w:r>
              <w:rPr>
                <w:bCs/>
                <w:sz w:val="24"/>
                <w:szCs w:val="28"/>
              </w:rPr>
              <w:t>°</w:t>
            </w:r>
            <w:r>
              <w:rPr>
                <w:rFonts w:hint="eastAsia"/>
                <w:bCs/>
                <w:sz w:val="24"/>
                <w:szCs w:val="28"/>
              </w:rPr>
              <w:t>46</w:t>
            </w:r>
            <w:r>
              <w:rPr>
                <w:bCs/>
                <w:sz w:val="24"/>
                <w:szCs w:val="28"/>
              </w:rPr>
              <w:t>′</w:t>
            </w:r>
            <w:r>
              <w:rPr>
                <w:rFonts w:hint="eastAsia"/>
                <w:bCs/>
                <w:sz w:val="24"/>
                <w:szCs w:val="28"/>
              </w:rPr>
              <w:t>21.37</w:t>
            </w:r>
            <w:r>
              <w:rPr>
                <w:bCs/>
                <w:sz w:val="24"/>
                <w:szCs w:val="28"/>
              </w:rPr>
              <w:t>″，北纬3</w:t>
            </w:r>
            <w:r>
              <w:rPr>
                <w:rFonts w:hint="eastAsia"/>
                <w:bCs/>
                <w:sz w:val="24"/>
                <w:szCs w:val="28"/>
              </w:rPr>
              <w:t>5</w:t>
            </w:r>
            <w:r>
              <w:rPr>
                <w:bCs/>
                <w:sz w:val="24"/>
                <w:szCs w:val="28"/>
              </w:rPr>
              <w:t>°</w:t>
            </w:r>
            <w:r>
              <w:rPr>
                <w:rFonts w:hint="eastAsia"/>
                <w:bCs/>
                <w:sz w:val="24"/>
                <w:szCs w:val="28"/>
              </w:rPr>
              <w:t>24</w:t>
            </w:r>
            <w:r>
              <w:rPr>
                <w:bCs/>
                <w:sz w:val="24"/>
                <w:szCs w:val="28"/>
              </w:rPr>
              <w:t>′</w:t>
            </w:r>
            <w:r>
              <w:rPr>
                <w:rFonts w:hint="eastAsia"/>
                <w:bCs/>
                <w:sz w:val="24"/>
                <w:szCs w:val="28"/>
              </w:rPr>
              <w:t>13.08</w:t>
            </w:r>
            <w:r>
              <w:rPr>
                <w:bCs/>
                <w:sz w:val="24"/>
                <w:szCs w:val="28"/>
              </w:rPr>
              <w:t>″</w:t>
            </w:r>
            <w:r>
              <w:rPr>
                <w:rFonts w:hint="eastAsia"/>
                <w:bCs/>
                <w:sz w:val="24"/>
                <w:szCs w:val="28"/>
              </w:rPr>
              <w:t>，终点（污水站）地理坐标：</w:t>
            </w:r>
            <w:r>
              <w:rPr>
                <w:bCs/>
                <w:sz w:val="24"/>
                <w:szCs w:val="28"/>
              </w:rPr>
              <w:t>东经</w:t>
            </w:r>
            <w:r>
              <w:rPr>
                <w:rFonts w:hint="eastAsia"/>
                <w:bCs/>
                <w:sz w:val="24"/>
                <w:szCs w:val="28"/>
              </w:rPr>
              <w:t>108</w:t>
            </w:r>
            <w:r>
              <w:rPr>
                <w:bCs/>
                <w:sz w:val="24"/>
                <w:szCs w:val="28"/>
              </w:rPr>
              <w:t>°</w:t>
            </w:r>
            <w:r>
              <w:rPr>
                <w:rFonts w:hint="eastAsia"/>
                <w:bCs/>
                <w:sz w:val="24"/>
                <w:szCs w:val="28"/>
              </w:rPr>
              <w:t>46</w:t>
            </w:r>
            <w:r>
              <w:rPr>
                <w:bCs/>
                <w:sz w:val="24"/>
                <w:szCs w:val="28"/>
              </w:rPr>
              <w:t>′</w:t>
            </w:r>
            <w:r>
              <w:rPr>
                <w:rFonts w:hint="eastAsia"/>
                <w:bCs/>
                <w:sz w:val="24"/>
                <w:szCs w:val="28"/>
              </w:rPr>
              <w:t>33.03</w:t>
            </w:r>
            <w:r>
              <w:rPr>
                <w:bCs/>
                <w:sz w:val="24"/>
                <w:szCs w:val="28"/>
              </w:rPr>
              <w:t>″，北纬3</w:t>
            </w:r>
            <w:r>
              <w:rPr>
                <w:rFonts w:hint="eastAsia"/>
                <w:bCs/>
                <w:sz w:val="24"/>
                <w:szCs w:val="28"/>
              </w:rPr>
              <w:t>5</w:t>
            </w:r>
            <w:r>
              <w:rPr>
                <w:bCs/>
                <w:sz w:val="24"/>
                <w:szCs w:val="28"/>
              </w:rPr>
              <w:t>°</w:t>
            </w:r>
            <w:r>
              <w:rPr>
                <w:rFonts w:hint="eastAsia"/>
                <w:bCs/>
                <w:sz w:val="24"/>
                <w:szCs w:val="28"/>
              </w:rPr>
              <w:t>23</w:t>
            </w:r>
            <w:r>
              <w:rPr>
                <w:bCs/>
                <w:sz w:val="24"/>
                <w:szCs w:val="28"/>
              </w:rPr>
              <w:t>′</w:t>
            </w:r>
            <w:r>
              <w:rPr>
                <w:rFonts w:hint="eastAsia"/>
                <w:bCs/>
                <w:sz w:val="24"/>
                <w:szCs w:val="28"/>
              </w:rPr>
              <w:t>39.38</w:t>
            </w:r>
            <w:r>
              <w:rPr>
                <w:bCs/>
                <w:sz w:val="24"/>
                <w:szCs w:val="28"/>
              </w:rPr>
              <w:t>″。本项目所在区域地理位置图见</w:t>
            </w:r>
            <w:r>
              <w:rPr>
                <w:rFonts w:hint="eastAsia"/>
                <w:bCs/>
                <w:sz w:val="24"/>
                <w:szCs w:val="28"/>
              </w:rPr>
              <w:t>附</w:t>
            </w:r>
            <w:r>
              <w:rPr>
                <w:bCs/>
                <w:sz w:val="24"/>
                <w:szCs w:val="28"/>
              </w:rPr>
              <w:t>图</w:t>
            </w:r>
            <w:r>
              <w:rPr>
                <w:rFonts w:hint="eastAsia"/>
                <w:bCs/>
                <w:sz w:val="24"/>
                <w:szCs w:val="28"/>
              </w:rPr>
              <w:t>2</w:t>
            </w:r>
            <w:r>
              <w:rPr>
                <w:bCs/>
                <w:sz w:val="24"/>
                <w:szCs w:val="28"/>
              </w:rPr>
              <w:t>。</w:t>
            </w:r>
          </w:p>
          <w:p>
            <w:pPr>
              <w:autoSpaceDE w:val="0"/>
              <w:autoSpaceDN w:val="0"/>
              <w:adjustRightInd w:val="0"/>
              <w:spacing w:line="360" w:lineRule="auto"/>
              <w:ind w:firstLine="482" w:firstLineChars="200"/>
              <w:rPr>
                <w:b/>
                <w:bCs/>
                <w:sz w:val="24"/>
                <w:szCs w:val="28"/>
              </w:rPr>
            </w:pPr>
            <w:r>
              <w:rPr>
                <w:rFonts w:hint="eastAsia"/>
                <w:b/>
                <w:bCs/>
                <w:sz w:val="24"/>
                <w:szCs w:val="28"/>
              </w:rPr>
              <w:t>5、项目建设内容与规模</w:t>
            </w:r>
          </w:p>
          <w:p>
            <w:pPr>
              <w:autoSpaceDE w:val="0"/>
              <w:autoSpaceDN w:val="0"/>
              <w:adjustRightInd w:val="0"/>
              <w:spacing w:line="360" w:lineRule="auto"/>
              <w:ind w:firstLine="480" w:firstLineChars="200"/>
              <w:rPr>
                <w:bCs/>
                <w:sz w:val="24"/>
                <w:szCs w:val="28"/>
              </w:rPr>
            </w:pPr>
            <w:r>
              <w:rPr>
                <w:rFonts w:hint="eastAsia"/>
                <w:bCs/>
                <w:sz w:val="24"/>
                <w:szCs w:val="28"/>
              </w:rPr>
              <w:t>（1）建设内容与规模</w:t>
            </w:r>
          </w:p>
          <w:p>
            <w:pPr>
              <w:autoSpaceDE w:val="0"/>
              <w:autoSpaceDN w:val="0"/>
              <w:adjustRightInd w:val="0"/>
              <w:spacing w:line="360" w:lineRule="auto"/>
              <w:ind w:firstLine="480" w:firstLineChars="200"/>
              <w:rPr>
                <w:bCs/>
                <w:sz w:val="24"/>
                <w:szCs w:val="28"/>
              </w:rPr>
            </w:pPr>
            <w:r>
              <w:rPr>
                <w:rFonts w:hint="eastAsia"/>
                <w:bCs/>
                <w:sz w:val="24"/>
                <w:szCs w:val="28"/>
              </w:rPr>
              <w:t>项目总用地面积为16959.08m</w:t>
            </w:r>
            <w:r>
              <w:rPr>
                <w:rFonts w:hint="eastAsia"/>
                <w:bCs/>
                <w:sz w:val="24"/>
                <w:szCs w:val="28"/>
                <w:vertAlign w:val="superscript"/>
              </w:rPr>
              <w:t>2</w:t>
            </w:r>
            <w:r>
              <w:rPr>
                <w:rFonts w:hint="eastAsia"/>
                <w:bCs/>
                <w:sz w:val="24"/>
                <w:szCs w:val="28"/>
              </w:rPr>
              <w:t>，建设内容包括人行道铺装硬化、混凝土道路、绿化带、广场、污水处理站、给排水、电气设计、原有道路及人行道拆除等。</w:t>
            </w:r>
          </w:p>
          <w:p>
            <w:pPr>
              <w:autoSpaceDE w:val="0"/>
              <w:autoSpaceDN w:val="0"/>
              <w:adjustRightInd w:val="0"/>
              <w:spacing w:line="360" w:lineRule="auto"/>
              <w:ind w:firstLine="480" w:firstLineChars="200"/>
              <w:rPr>
                <w:bCs/>
                <w:sz w:val="24"/>
                <w:szCs w:val="28"/>
              </w:rPr>
            </w:pPr>
            <w:r>
              <w:rPr>
                <w:rFonts w:hint="eastAsia"/>
                <w:bCs/>
                <w:sz w:val="24"/>
                <w:szCs w:val="28"/>
              </w:rPr>
              <w:t>透水砖铺装路面2094.84 m</w:t>
            </w:r>
            <w:r>
              <w:rPr>
                <w:rFonts w:hint="eastAsia"/>
                <w:bCs/>
                <w:sz w:val="24"/>
                <w:szCs w:val="28"/>
                <w:vertAlign w:val="superscript"/>
              </w:rPr>
              <w:t>2</w:t>
            </w:r>
            <w:r>
              <w:rPr>
                <w:rFonts w:hint="eastAsia"/>
                <w:bCs/>
                <w:sz w:val="24"/>
                <w:szCs w:val="28"/>
              </w:rPr>
              <w:t>，沥青混凝土路面铺装2292.49 m</w:t>
            </w:r>
            <w:r>
              <w:rPr>
                <w:rFonts w:hint="eastAsia"/>
                <w:bCs/>
                <w:sz w:val="24"/>
                <w:szCs w:val="28"/>
                <w:vertAlign w:val="superscript"/>
              </w:rPr>
              <w:t>2</w:t>
            </w:r>
            <w:r>
              <w:rPr>
                <w:rFonts w:hint="eastAsia"/>
                <w:bCs/>
                <w:sz w:val="24"/>
                <w:szCs w:val="28"/>
              </w:rPr>
              <w:t>；广场绿化、硬化、亮化等，占地面积975.57m</w:t>
            </w:r>
            <w:r>
              <w:rPr>
                <w:rFonts w:hint="eastAsia"/>
                <w:bCs/>
                <w:sz w:val="24"/>
                <w:szCs w:val="28"/>
                <w:vertAlign w:val="superscript"/>
              </w:rPr>
              <w:t>2</w:t>
            </w:r>
            <w:r>
              <w:rPr>
                <w:rFonts w:hint="eastAsia"/>
                <w:bCs/>
                <w:sz w:val="24"/>
                <w:szCs w:val="28"/>
              </w:rPr>
              <w:t>；给水管1080m，雨水管896m，污水管1359m；拆除沥青混凝土路面1156.45m</w:t>
            </w:r>
            <w:r>
              <w:rPr>
                <w:rFonts w:hint="eastAsia"/>
                <w:bCs/>
                <w:sz w:val="24"/>
                <w:szCs w:val="28"/>
                <w:vertAlign w:val="superscript"/>
              </w:rPr>
              <w:t>2</w:t>
            </w:r>
            <w:r>
              <w:rPr>
                <w:rFonts w:hint="eastAsia"/>
                <w:bCs/>
                <w:sz w:val="24"/>
                <w:szCs w:val="28"/>
              </w:rPr>
              <w:t>，透水砖人行道3641.19m</w:t>
            </w:r>
            <w:r>
              <w:rPr>
                <w:rFonts w:hint="eastAsia"/>
                <w:bCs/>
                <w:sz w:val="24"/>
                <w:szCs w:val="28"/>
                <w:vertAlign w:val="superscript"/>
              </w:rPr>
              <w:t>2</w:t>
            </w:r>
            <w:r>
              <w:rPr>
                <w:rFonts w:hint="eastAsia"/>
                <w:bCs/>
                <w:sz w:val="24"/>
                <w:szCs w:val="28"/>
              </w:rPr>
              <w:t>；污水处理站占地面积240m</w:t>
            </w:r>
            <w:r>
              <w:rPr>
                <w:rFonts w:hint="eastAsia"/>
                <w:bCs/>
                <w:sz w:val="24"/>
                <w:szCs w:val="28"/>
                <w:vertAlign w:val="superscript"/>
              </w:rPr>
              <w:t>2</w:t>
            </w:r>
            <w:r>
              <w:rPr>
                <w:rFonts w:hint="eastAsia"/>
                <w:bCs/>
                <w:sz w:val="24"/>
                <w:szCs w:val="28"/>
              </w:rPr>
              <w:t>，处理规模100m</w:t>
            </w:r>
            <w:r>
              <w:rPr>
                <w:rFonts w:hint="eastAsia"/>
                <w:bCs/>
                <w:sz w:val="24"/>
                <w:szCs w:val="28"/>
                <w:vertAlign w:val="superscript"/>
              </w:rPr>
              <w:t>3</w:t>
            </w:r>
            <w:r>
              <w:rPr>
                <w:rFonts w:hint="eastAsia"/>
                <w:bCs/>
                <w:sz w:val="24"/>
                <w:szCs w:val="28"/>
              </w:rPr>
              <w:t>/d，设计年限50年。</w:t>
            </w:r>
          </w:p>
          <w:p>
            <w:pPr>
              <w:autoSpaceDE w:val="0"/>
              <w:autoSpaceDN w:val="0"/>
              <w:adjustRightInd w:val="0"/>
              <w:spacing w:line="360" w:lineRule="auto"/>
              <w:ind w:firstLine="480" w:firstLineChars="200"/>
              <w:rPr>
                <w:sz w:val="24"/>
                <w:szCs w:val="28"/>
              </w:rPr>
            </w:pPr>
            <w:r>
              <w:rPr>
                <w:rFonts w:hint="eastAsia"/>
                <w:sz w:val="24"/>
                <w:szCs w:val="28"/>
              </w:rPr>
              <w:t>项目</w:t>
            </w:r>
            <w:r>
              <w:rPr>
                <w:sz w:val="24"/>
                <w:szCs w:val="28"/>
              </w:rPr>
              <w:t>主要建设内容见表1</w:t>
            </w:r>
            <w:r>
              <w:rPr>
                <w:rFonts w:hint="eastAsia"/>
                <w:sz w:val="24"/>
                <w:szCs w:val="28"/>
              </w:rPr>
              <w:t>，项目总工程量见表2，主要经济技术指标见表3</w:t>
            </w:r>
            <w:r>
              <w:rPr>
                <w:sz w:val="24"/>
                <w:szCs w:val="28"/>
              </w:rPr>
              <w:t>。</w:t>
            </w:r>
          </w:p>
          <w:p>
            <w:pPr>
              <w:autoSpaceDE w:val="0"/>
              <w:autoSpaceDN w:val="0"/>
              <w:adjustRightInd w:val="0"/>
              <w:spacing w:line="360" w:lineRule="auto"/>
              <w:ind w:firstLine="422" w:firstLineChars="200"/>
              <w:jc w:val="center"/>
              <w:rPr>
                <w:b/>
                <w:szCs w:val="21"/>
              </w:rPr>
            </w:pPr>
            <w:r>
              <w:rPr>
                <w:b/>
                <w:szCs w:val="21"/>
              </w:rPr>
              <w:t>表1   主要建设内容一览表</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554"/>
              <w:gridCol w:w="653"/>
              <w:gridCol w:w="990"/>
              <w:gridCol w:w="3404"/>
              <w:gridCol w:w="20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05" w:type="dxa"/>
                  <w:vAlign w:val="center"/>
                </w:tcPr>
                <w:p>
                  <w:pPr>
                    <w:pStyle w:val="14"/>
                    <w:ind w:left="0" w:leftChars="0"/>
                    <w:jc w:val="center"/>
                    <w:rPr>
                      <w:b/>
                      <w:szCs w:val="21"/>
                    </w:rPr>
                  </w:pPr>
                  <w:r>
                    <w:rPr>
                      <w:rFonts w:hAnsi="宋体"/>
                      <w:b/>
                      <w:szCs w:val="21"/>
                    </w:rPr>
                    <w:t>工程</w:t>
                  </w:r>
                </w:p>
              </w:tc>
              <w:tc>
                <w:tcPr>
                  <w:tcW w:w="1207" w:type="dxa"/>
                  <w:gridSpan w:val="2"/>
                  <w:vAlign w:val="center"/>
                </w:tcPr>
                <w:p>
                  <w:pPr>
                    <w:pStyle w:val="14"/>
                    <w:ind w:left="0" w:leftChars="0"/>
                    <w:jc w:val="center"/>
                    <w:rPr>
                      <w:b/>
                      <w:szCs w:val="21"/>
                    </w:rPr>
                  </w:pPr>
                  <w:r>
                    <w:rPr>
                      <w:rFonts w:hAnsi="宋体"/>
                      <w:b/>
                      <w:szCs w:val="21"/>
                    </w:rPr>
                    <w:t>名称</w:t>
                  </w:r>
                </w:p>
              </w:tc>
              <w:tc>
                <w:tcPr>
                  <w:tcW w:w="4394" w:type="dxa"/>
                  <w:gridSpan w:val="2"/>
                  <w:vAlign w:val="center"/>
                </w:tcPr>
                <w:p>
                  <w:pPr>
                    <w:pStyle w:val="14"/>
                    <w:ind w:left="0" w:leftChars="0"/>
                    <w:jc w:val="center"/>
                    <w:rPr>
                      <w:b/>
                      <w:szCs w:val="21"/>
                    </w:rPr>
                  </w:pPr>
                  <w:r>
                    <w:rPr>
                      <w:rFonts w:hAnsi="宋体"/>
                      <w:b/>
                      <w:szCs w:val="21"/>
                    </w:rPr>
                    <w:t>建设内容</w:t>
                  </w:r>
                </w:p>
              </w:tc>
              <w:tc>
                <w:tcPr>
                  <w:tcW w:w="2095" w:type="dxa"/>
                  <w:vAlign w:val="center"/>
                </w:tcPr>
                <w:p>
                  <w:pPr>
                    <w:pStyle w:val="14"/>
                    <w:ind w:left="0" w:leftChars="0"/>
                    <w:jc w:val="center"/>
                    <w:rPr>
                      <w:b/>
                      <w:szCs w:val="21"/>
                    </w:rPr>
                  </w:pPr>
                  <w:r>
                    <w:rPr>
                      <w:rFonts w:hAnsi="宋体"/>
                      <w:b/>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205" w:type="dxa"/>
                  <w:vMerge w:val="restart"/>
                  <w:vAlign w:val="center"/>
                </w:tcPr>
                <w:p>
                  <w:pPr>
                    <w:pStyle w:val="14"/>
                    <w:ind w:left="0" w:leftChars="0"/>
                    <w:jc w:val="center"/>
                    <w:rPr>
                      <w:rFonts w:hAnsi="宋体"/>
                      <w:szCs w:val="21"/>
                    </w:rPr>
                  </w:pPr>
                  <w:r>
                    <w:rPr>
                      <w:rFonts w:hAnsi="宋体"/>
                      <w:szCs w:val="21"/>
                    </w:rPr>
                    <w:t>主体工程</w:t>
                  </w:r>
                </w:p>
              </w:tc>
              <w:tc>
                <w:tcPr>
                  <w:tcW w:w="1207" w:type="dxa"/>
                  <w:gridSpan w:val="2"/>
                  <w:vAlign w:val="center"/>
                </w:tcPr>
                <w:p>
                  <w:pPr>
                    <w:pStyle w:val="14"/>
                    <w:ind w:left="0" w:leftChars="0"/>
                    <w:jc w:val="center"/>
                    <w:rPr>
                      <w:rFonts w:hAnsi="宋体"/>
                      <w:szCs w:val="21"/>
                    </w:rPr>
                  </w:pPr>
                  <w:r>
                    <w:rPr>
                      <w:rFonts w:hint="eastAsia" w:hAnsi="宋体"/>
                      <w:szCs w:val="21"/>
                    </w:rPr>
                    <w:t>道路工程</w:t>
                  </w:r>
                </w:p>
              </w:tc>
              <w:tc>
                <w:tcPr>
                  <w:tcW w:w="4394" w:type="dxa"/>
                  <w:gridSpan w:val="2"/>
                  <w:tcBorders>
                    <w:bottom w:val="single" w:color="auto" w:sz="4" w:space="0"/>
                  </w:tcBorders>
                  <w:vAlign w:val="center"/>
                </w:tcPr>
                <w:p>
                  <w:pPr>
                    <w:pStyle w:val="14"/>
                    <w:ind w:left="0" w:leftChars="0"/>
                    <w:jc w:val="center"/>
                    <w:rPr>
                      <w:rFonts w:hAnsi="宋体"/>
                      <w:szCs w:val="21"/>
                    </w:rPr>
                  </w:pPr>
                  <w:r>
                    <w:rPr>
                      <w:rFonts w:hint="eastAsia" w:hAnsi="宋体"/>
                      <w:szCs w:val="21"/>
                    </w:rPr>
                    <w:t>新建200mm×400mm×60mm透水砖铺装2094.84m</w:t>
                  </w:r>
                  <w:r>
                    <w:rPr>
                      <w:rFonts w:hint="eastAsia" w:hAnsi="宋体"/>
                      <w:szCs w:val="21"/>
                      <w:vertAlign w:val="superscript"/>
                    </w:rPr>
                    <w:t>2</w:t>
                  </w:r>
                  <w:r>
                    <w:rPr>
                      <w:rFonts w:hint="eastAsia" w:hAnsi="宋体"/>
                      <w:szCs w:val="21"/>
                    </w:rPr>
                    <w:t>，沥青混凝土道路2292.49 m</w:t>
                  </w:r>
                  <w:r>
                    <w:rPr>
                      <w:rFonts w:hint="eastAsia" w:hAnsi="宋体"/>
                      <w:szCs w:val="21"/>
                      <w:vertAlign w:val="superscript"/>
                    </w:rPr>
                    <w:t>2</w:t>
                  </w:r>
                  <w:r>
                    <w:rPr>
                      <w:rFonts w:hint="eastAsia" w:hAnsi="宋体"/>
                      <w:szCs w:val="21"/>
                    </w:rPr>
                    <w:t>，100 mm×300 mm×495 mm混凝土立缘石4749 m</w:t>
                  </w:r>
                  <w:r>
                    <w:rPr>
                      <w:rFonts w:hint="eastAsia" w:hAnsi="宋体"/>
                      <w:szCs w:val="21"/>
                      <w:vertAlign w:val="superscript"/>
                    </w:rPr>
                    <w:t>2</w:t>
                  </w:r>
                  <w:r>
                    <w:rPr>
                      <w:rFonts w:hint="eastAsia" w:hAnsi="宋体"/>
                      <w:szCs w:val="21"/>
                    </w:rPr>
                    <w:t>，小冬青998.04 m</w:t>
                  </w:r>
                  <w:r>
                    <w:rPr>
                      <w:rFonts w:hint="eastAsia" w:hAnsi="宋体"/>
                      <w:szCs w:val="21"/>
                      <w:vertAlign w:val="superscript"/>
                    </w:rPr>
                    <w:t>2</w:t>
                  </w:r>
                  <w:r>
                    <w:rPr>
                      <w:rFonts w:hint="eastAsia" w:hAnsi="宋体"/>
                      <w:szCs w:val="21"/>
                    </w:rPr>
                    <w:t>，大冬青130棵，美国红枫54棵。</w:t>
                  </w:r>
                </w:p>
              </w:tc>
              <w:tc>
                <w:tcPr>
                  <w:tcW w:w="2095" w:type="dxa"/>
                  <w:vAlign w:val="center"/>
                </w:tcPr>
                <w:p>
                  <w:pPr>
                    <w:pStyle w:val="14"/>
                    <w:ind w:left="0" w:leftChars="0"/>
                    <w:jc w:val="center"/>
                    <w:rPr>
                      <w:rFonts w:hAnsi="宋体"/>
                      <w:szCs w:val="21"/>
                    </w:rPr>
                  </w:pPr>
                  <w:r>
                    <w:rPr>
                      <w:rFonts w:hint="eastAsia" w:hAnsi="宋体"/>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205" w:type="dxa"/>
                  <w:vMerge w:val="continue"/>
                  <w:vAlign w:val="center"/>
                </w:tcPr>
                <w:p>
                  <w:pPr>
                    <w:pStyle w:val="14"/>
                    <w:jc w:val="center"/>
                    <w:rPr>
                      <w:rFonts w:hAnsi="宋体"/>
                      <w:szCs w:val="21"/>
                    </w:rPr>
                  </w:pPr>
                </w:p>
              </w:tc>
              <w:tc>
                <w:tcPr>
                  <w:tcW w:w="1207" w:type="dxa"/>
                  <w:gridSpan w:val="2"/>
                  <w:vAlign w:val="center"/>
                </w:tcPr>
                <w:p>
                  <w:pPr>
                    <w:pStyle w:val="14"/>
                    <w:ind w:left="0" w:leftChars="0"/>
                    <w:jc w:val="center"/>
                    <w:rPr>
                      <w:rFonts w:hAnsi="宋体"/>
                      <w:szCs w:val="21"/>
                    </w:rPr>
                  </w:pPr>
                  <w:r>
                    <w:rPr>
                      <w:rFonts w:hint="eastAsia" w:hAnsi="宋体"/>
                      <w:szCs w:val="21"/>
                    </w:rPr>
                    <w:t>广场工程</w:t>
                  </w:r>
                </w:p>
              </w:tc>
              <w:tc>
                <w:tcPr>
                  <w:tcW w:w="4394" w:type="dxa"/>
                  <w:gridSpan w:val="2"/>
                  <w:tcBorders>
                    <w:bottom w:val="single" w:color="auto" w:sz="4" w:space="0"/>
                  </w:tcBorders>
                  <w:vAlign w:val="center"/>
                </w:tcPr>
                <w:p>
                  <w:pPr>
                    <w:pStyle w:val="14"/>
                    <w:ind w:left="0" w:leftChars="0"/>
                    <w:jc w:val="center"/>
                    <w:rPr>
                      <w:rFonts w:hAnsi="宋体"/>
                      <w:szCs w:val="21"/>
                    </w:rPr>
                  </w:pPr>
                  <w:r>
                    <w:rPr>
                      <w:rFonts w:hint="eastAsia" w:hAnsi="宋体"/>
                      <w:szCs w:val="21"/>
                    </w:rPr>
                    <w:t>新建200 mm×400 mm×60 mm透水砖铺装375.16m</w:t>
                  </w:r>
                  <w:r>
                    <w:rPr>
                      <w:rFonts w:hint="eastAsia" w:hAnsi="宋体"/>
                      <w:szCs w:val="21"/>
                      <w:vertAlign w:val="superscript"/>
                    </w:rPr>
                    <w:t>2</w:t>
                  </w:r>
                  <w:r>
                    <w:rPr>
                      <w:rFonts w:hint="eastAsia" w:hAnsi="宋体"/>
                      <w:szCs w:val="21"/>
                    </w:rPr>
                    <w:t>，树池4个，红色火炬造型雕塑1个，木质长廊2个，花池193.71m，卵石铺装46.88 m</w:t>
                  </w:r>
                  <w:r>
                    <w:rPr>
                      <w:rFonts w:hint="eastAsia" w:hAnsi="宋体"/>
                      <w:szCs w:val="21"/>
                      <w:vertAlign w:val="superscript"/>
                    </w:rPr>
                    <w:t>2</w:t>
                  </w:r>
                  <w:r>
                    <w:rPr>
                      <w:rFonts w:hint="eastAsia" w:hAnsi="宋体"/>
                      <w:szCs w:val="21"/>
                    </w:rPr>
                    <w:t>，混凝土平缘石21.63m，混凝土立缘石34.55m，大理石铺装63.60 m</w:t>
                  </w:r>
                  <w:r>
                    <w:rPr>
                      <w:rFonts w:hint="eastAsia" w:hAnsi="宋体"/>
                      <w:szCs w:val="21"/>
                      <w:vertAlign w:val="superscript"/>
                    </w:rPr>
                    <w:t>2</w:t>
                  </w:r>
                  <w:r>
                    <w:rPr>
                      <w:rFonts w:hint="eastAsia" w:hAnsi="宋体"/>
                      <w:szCs w:val="21"/>
                    </w:rPr>
                    <w:t>，浮雕墙26.88m，小冬青69.04 m</w:t>
                  </w:r>
                  <w:r>
                    <w:rPr>
                      <w:rFonts w:hint="eastAsia" w:hAnsi="宋体"/>
                      <w:szCs w:val="21"/>
                      <w:vertAlign w:val="superscript"/>
                    </w:rPr>
                    <w:t>2</w:t>
                  </w:r>
                  <w:r>
                    <w:rPr>
                      <w:rFonts w:hint="eastAsia" w:hAnsi="宋体"/>
                      <w:szCs w:val="21"/>
                    </w:rPr>
                    <w:t>，大冬青11棵，美国红枫8棵，塔松4棵，紫叶小檗8.12 m</w:t>
                  </w:r>
                  <w:r>
                    <w:rPr>
                      <w:rFonts w:hint="eastAsia" w:hAnsi="宋体"/>
                      <w:szCs w:val="21"/>
                      <w:vertAlign w:val="superscript"/>
                    </w:rPr>
                    <w:t>2</w:t>
                  </w:r>
                  <w:r>
                    <w:rPr>
                      <w:rFonts w:hint="eastAsia" w:hAnsi="宋体"/>
                      <w:szCs w:val="21"/>
                    </w:rPr>
                    <w:t>，金叶女贞12.58 m</w:t>
                  </w:r>
                  <w:r>
                    <w:rPr>
                      <w:rFonts w:hint="eastAsia" w:hAnsi="宋体"/>
                      <w:szCs w:val="21"/>
                      <w:vertAlign w:val="superscript"/>
                    </w:rPr>
                    <w:t>2</w:t>
                  </w:r>
                  <w:r>
                    <w:rPr>
                      <w:rFonts w:hint="eastAsia" w:hAnsi="宋体"/>
                      <w:szCs w:val="21"/>
                    </w:rPr>
                    <w:t>，时令花卉44.60 m</w:t>
                  </w:r>
                  <w:r>
                    <w:rPr>
                      <w:rFonts w:hint="eastAsia" w:hAnsi="宋体"/>
                      <w:szCs w:val="21"/>
                      <w:vertAlign w:val="superscript"/>
                    </w:rPr>
                    <w:t>2</w:t>
                  </w:r>
                  <w:r>
                    <w:rPr>
                      <w:rFonts w:hint="eastAsia" w:hAnsi="宋体"/>
                      <w:szCs w:val="21"/>
                    </w:rPr>
                    <w:t>，黑麦草37.90 m</w:t>
                  </w:r>
                  <w:r>
                    <w:rPr>
                      <w:rFonts w:hint="eastAsia" w:hAnsi="宋体"/>
                      <w:szCs w:val="21"/>
                      <w:vertAlign w:val="superscript"/>
                    </w:rPr>
                    <w:t>2</w:t>
                  </w:r>
                  <w:r>
                    <w:rPr>
                      <w:rFonts w:hint="eastAsia" w:hAnsi="宋体"/>
                      <w:szCs w:val="21"/>
                    </w:rPr>
                    <w:t>，油松10棵。</w:t>
                  </w:r>
                </w:p>
              </w:tc>
              <w:tc>
                <w:tcPr>
                  <w:tcW w:w="2095" w:type="dxa"/>
                  <w:vAlign w:val="center"/>
                </w:tcPr>
                <w:p>
                  <w:pPr>
                    <w:pStyle w:val="14"/>
                    <w:ind w:left="0" w:leftChars="0"/>
                    <w:jc w:val="center"/>
                    <w:rPr>
                      <w:rFonts w:hAnsi="宋体"/>
                      <w:szCs w:val="21"/>
                    </w:rPr>
                  </w:pPr>
                  <w:r>
                    <w:rPr>
                      <w:rFonts w:hint="eastAsia" w:hAnsi="宋体"/>
                      <w:szCs w:val="21"/>
                    </w:rPr>
                    <w:t>占地面积</w:t>
                  </w:r>
                  <w:r>
                    <w:rPr>
                      <w:rFonts w:hint="eastAsia" w:hAnsi="宋体"/>
                      <w:bCs/>
                      <w:szCs w:val="21"/>
                    </w:rPr>
                    <w:t>975.57m</w:t>
                  </w:r>
                  <w:r>
                    <w:rPr>
                      <w:rFonts w:hint="eastAsia" w:hAnsi="宋体"/>
                      <w:bCs/>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205" w:type="dxa"/>
                  <w:vMerge w:val="continue"/>
                  <w:vAlign w:val="center"/>
                </w:tcPr>
                <w:p>
                  <w:pPr>
                    <w:pStyle w:val="14"/>
                    <w:jc w:val="center"/>
                    <w:rPr>
                      <w:rFonts w:hAnsi="宋体"/>
                      <w:szCs w:val="21"/>
                    </w:rPr>
                  </w:pPr>
                </w:p>
              </w:tc>
              <w:tc>
                <w:tcPr>
                  <w:tcW w:w="1207" w:type="dxa"/>
                  <w:gridSpan w:val="2"/>
                  <w:vAlign w:val="center"/>
                </w:tcPr>
                <w:p>
                  <w:pPr>
                    <w:pStyle w:val="14"/>
                    <w:ind w:left="0" w:leftChars="0"/>
                    <w:jc w:val="center"/>
                    <w:rPr>
                      <w:rFonts w:hAnsi="宋体"/>
                      <w:szCs w:val="21"/>
                    </w:rPr>
                  </w:pPr>
                  <w:r>
                    <w:rPr>
                      <w:rFonts w:hint="eastAsia" w:hAnsi="宋体"/>
                      <w:szCs w:val="21"/>
                    </w:rPr>
                    <w:t>给排水工程</w:t>
                  </w:r>
                </w:p>
              </w:tc>
              <w:tc>
                <w:tcPr>
                  <w:tcW w:w="4394" w:type="dxa"/>
                  <w:gridSpan w:val="2"/>
                  <w:tcBorders>
                    <w:bottom w:val="single" w:color="auto" w:sz="4" w:space="0"/>
                  </w:tcBorders>
                  <w:vAlign w:val="center"/>
                </w:tcPr>
                <w:p>
                  <w:pPr>
                    <w:pStyle w:val="14"/>
                    <w:ind w:left="0" w:leftChars="0"/>
                    <w:jc w:val="center"/>
                    <w:rPr>
                      <w:rFonts w:hAnsi="宋体"/>
                      <w:szCs w:val="21"/>
                    </w:rPr>
                  </w:pPr>
                  <w:r>
                    <w:rPr>
                      <w:rFonts w:hint="eastAsia" w:hAnsi="宋体"/>
                      <w:szCs w:val="21"/>
                    </w:rPr>
                    <w:t>新建DN200-DN700雨水管896m，1000 mm×1000 mm钢筋混凝土检查井70座，砖砌雨水口52个，DN150给水管1080m，钢筋混凝土阀门井27座，钢筋混凝土消火栓井8套，DN400-DN600污水管1359m。</w:t>
                  </w:r>
                </w:p>
              </w:tc>
              <w:tc>
                <w:tcPr>
                  <w:tcW w:w="2095" w:type="dxa"/>
                  <w:vAlign w:val="center"/>
                </w:tcPr>
                <w:p>
                  <w:pPr>
                    <w:pStyle w:val="14"/>
                    <w:ind w:left="0" w:leftChars="0"/>
                    <w:jc w:val="center"/>
                    <w:rPr>
                      <w:rFonts w:hAnsi="宋体"/>
                      <w:szCs w:val="21"/>
                    </w:rPr>
                  </w:pPr>
                  <w:r>
                    <w:rPr>
                      <w:rFonts w:hint="eastAsia" w:hAnsi="宋体"/>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205" w:type="dxa"/>
                  <w:vMerge w:val="continue"/>
                  <w:vAlign w:val="center"/>
                </w:tcPr>
                <w:p>
                  <w:pPr>
                    <w:pStyle w:val="14"/>
                    <w:jc w:val="center"/>
                    <w:rPr>
                      <w:rFonts w:hAnsi="宋体"/>
                      <w:szCs w:val="21"/>
                    </w:rPr>
                  </w:pPr>
                </w:p>
              </w:tc>
              <w:tc>
                <w:tcPr>
                  <w:tcW w:w="1207" w:type="dxa"/>
                  <w:gridSpan w:val="2"/>
                  <w:vAlign w:val="center"/>
                </w:tcPr>
                <w:p>
                  <w:pPr>
                    <w:pStyle w:val="14"/>
                    <w:ind w:left="0" w:leftChars="0"/>
                    <w:jc w:val="center"/>
                    <w:rPr>
                      <w:rFonts w:hAnsi="宋体"/>
                      <w:szCs w:val="21"/>
                    </w:rPr>
                  </w:pPr>
                  <w:r>
                    <w:rPr>
                      <w:rFonts w:hint="eastAsia" w:hAnsi="宋体"/>
                      <w:szCs w:val="21"/>
                    </w:rPr>
                    <w:t>照明工程</w:t>
                  </w:r>
                </w:p>
              </w:tc>
              <w:tc>
                <w:tcPr>
                  <w:tcW w:w="4394" w:type="dxa"/>
                  <w:gridSpan w:val="2"/>
                  <w:tcBorders>
                    <w:bottom w:val="single" w:color="auto" w:sz="4" w:space="0"/>
                  </w:tcBorders>
                  <w:vAlign w:val="center"/>
                </w:tcPr>
                <w:p>
                  <w:pPr>
                    <w:pStyle w:val="14"/>
                    <w:ind w:left="0" w:leftChars="0"/>
                    <w:jc w:val="center"/>
                    <w:rPr>
                      <w:rFonts w:hAnsi="宋体"/>
                      <w:szCs w:val="21"/>
                    </w:rPr>
                  </w:pPr>
                  <w:r>
                    <w:rPr>
                      <w:rFonts w:hint="eastAsia" w:hAnsi="宋体"/>
                      <w:szCs w:val="21"/>
                    </w:rPr>
                    <w:t>新建20m高广场高杆灯1套，7m高单灯总功率为64W单臂太阳能路灯38套，9m高单灯功率为176W双臂太阳能路灯31套。</w:t>
                  </w:r>
                </w:p>
              </w:tc>
              <w:tc>
                <w:tcPr>
                  <w:tcW w:w="2095" w:type="dxa"/>
                  <w:vAlign w:val="center"/>
                </w:tcPr>
                <w:p>
                  <w:pPr>
                    <w:pStyle w:val="14"/>
                    <w:ind w:left="0" w:leftChars="0"/>
                    <w:jc w:val="center"/>
                    <w:rPr>
                      <w:rFonts w:hAnsi="宋体"/>
                      <w:szCs w:val="21"/>
                    </w:rPr>
                  </w:pPr>
                  <w:r>
                    <w:rPr>
                      <w:rFonts w:hint="eastAsia" w:hAnsi="宋体"/>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205" w:type="dxa"/>
                  <w:vMerge w:val="continue"/>
                  <w:vAlign w:val="center"/>
                </w:tcPr>
                <w:p>
                  <w:pPr>
                    <w:pStyle w:val="14"/>
                    <w:jc w:val="center"/>
                    <w:rPr>
                      <w:rFonts w:hAnsi="宋体"/>
                      <w:szCs w:val="21"/>
                    </w:rPr>
                  </w:pPr>
                </w:p>
              </w:tc>
              <w:tc>
                <w:tcPr>
                  <w:tcW w:w="1207" w:type="dxa"/>
                  <w:gridSpan w:val="2"/>
                  <w:vAlign w:val="center"/>
                </w:tcPr>
                <w:p>
                  <w:pPr>
                    <w:pStyle w:val="14"/>
                    <w:ind w:left="0" w:leftChars="0"/>
                    <w:jc w:val="center"/>
                    <w:rPr>
                      <w:rFonts w:hAnsi="宋体"/>
                      <w:szCs w:val="21"/>
                    </w:rPr>
                  </w:pPr>
                  <w:r>
                    <w:rPr>
                      <w:rFonts w:hint="eastAsia" w:hAnsi="宋体"/>
                      <w:szCs w:val="21"/>
                    </w:rPr>
                    <w:t>拆除工程</w:t>
                  </w:r>
                </w:p>
              </w:tc>
              <w:tc>
                <w:tcPr>
                  <w:tcW w:w="4394" w:type="dxa"/>
                  <w:gridSpan w:val="2"/>
                  <w:tcBorders>
                    <w:bottom w:val="single" w:color="auto" w:sz="4" w:space="0"/>
                  </w:tcBorders>
                  <w:vAlign w:val="center"/>
                </w:tcPr>
                <w:p>
                  <w:pPr>
                    <w:pStyle w:val="14"/>
                    <w:ind w:left="0" w:leftChars="0"/>
                    <w:jc w:val="center"/>
                    <w:rPr>
                      <w:rFonts w:hAnsi="宋体"/>
                      <w:szCs w:val="21"/>
                    </w:rPr>
                  </w:pPr>
                  <w:r>
                    <w:rPr>
                      <w:rFonts w:hint="eastAsia" w:hAnsi="宋体"/>
                      <w:szCs w:val="21"/>
                    </w:rPr>
                    <w:t>沥青混凝土路面1156.45m</w:t>
                  </w:r>
                  <w:r>
                    <w:rPr>
                      <w:rFonts w:hint="eastAsia" w:hAnsi="宋体"/>
                      <w:szCs w:val="21"/>
                      <w:vertAlign w:val="superscript"/>
                    </w:rPr>
                    <w:t>2</w:t>
                  </w:r>
                  <w:r>
                    <w:rPr>
                      <w:rFonts w:hint="eastAsia" w:hAnsi="宋体"/>
                      <w:szCs w:val="21"/>
                    </w:rPr>
                    <w:t>，透水砖人行道3641.19m</w:t>
                  </w:r>
                  <w:r>
                    <w:rPr>
                      <w:rFonts w:hint="eastAsia" w:hAnsi="宋体"/>
                      <w:szCs w:val="21"/>
                      <w:vertAlign w:val="superscript"/>
                    </w:rPr>
                    <w:t>2</w:t>
                  </w:r>
                  <w:r>
                    <w:rPr>
                      <w:rFonts w:hint="eastAsia" w:hAnsi="宋体"/>
                      <w:szCs w:val="21"/>
                    </w:rPr>
                    <w:t>。</w:t>
                  </w:r>
                </w:p>
              </w:tc>
              <w:tc>
                <w:tcPr>
                  <w:tcW w:w="2095" w:type="dxa"/>
                  <w:vAlign w:val="center"/>
                </w:tcPr>
                <w:p>
                  <w:pPr>
                    <w:pStyle w:val="14"/>
                    <w:ind w:left="0" w:leftChars="0"/>
                    <w:jc w:val="center"/>
                    <w:rPr>
                      <w:rFonts w:hAnsi="宋体"/>
                      <w:szCs w:val="21"/>
                    </w:rPr>
                  </w:pPr>
                  <w:r>
                    <w:rPr>
                      <w:rFonts w:hint="eastAsia" w:hAnsi="宋体"/>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205" w:type="dxa"/>
                  <w:vMerge w:val="continue"/>
                  <w:vAlign w:val="center"/>
                </w:tcPr>
                <w:p>
                  <w:pPr>
                    <w:pStyle w:val="14"/>
                    <w:ind w:left="0" w:leftChars="0"/>
                    <w:jc w:val="center"/>
                    <w:rPr>
                      <w:szCs w:val="21"/>
                    </w:rPr>
                  </w:pPr>
                </w:p>
              </w:tc>
              <w:tc>
                <w:tcPr>
                  <w:tcW w:w="1207" w:type="dxa"/>
                  <w:gridSpan w:val="2"/>
                  <w:vMerge w:val="restart"/>
                  <w:vAlign w:val="center"/>
                </w:tcPr>
                <w:p>
                  <w:pPr>
                    <w:pStyle w:val="14"/>
                    <w:ind w:left="0" w:leftChars="0"/>
                    <w:jc w:val="center"/>
                    <w:rPr>
                      <w:szCs w:val="21"/>
                    </w:rPr>
                  </w:pPr>
                  <w:r>
                    <w:rPr>
                      <w:rFonts w:hint="eastAsia" w:hAnsi="宋体"/>
                      <w:szCs w:val="21"/>
                    </w:rPr>
                    <w:t>污水处理站</w:t>
                  </w:r>
                </w:p>
              </w:tc>
              <w:tc>
                <w:tcPr>
                  <w:tcW w:w="4394" w:type="dxa"/>
                  <w:gridSpan w:val="2"/>
                  <w:tcBorders>
                    <w:bottom w:val="single" w:color="auto" w:sz="4" w:space="0"/>
                  </w:tcBorders>
                  <w:vAlign w:val="center"/>
                </w:tcPr>
                <w:p>
                  <w:pPr>
                    <w:pStyle w:val="14"/>
                    <w:ind w:left="0" w:leftChars="0"/>
                    <w:jc w:val="center"/>
                    <w:rPr>
                      <w:szCs w:val="21"/>
                    </w:rPr>
                  </w:pPr>
                  <w:r>
                    <w:rPr>
                      <w:rFonts w:hint="eastAsia" w:hAnsi="宋体"/>
                      <w:szCs w:val="21"/>
                    </w:rPr>
                    <w:t>新建处理规模100m</w:t>
                  </w:r>
                  <w:r>
                    <w:rPr>
                      <w:rFonts w:hint="eastAsia" w:hAnsi="宋体"/>
                      <w:szCs w:val="21"/>
                      <w:vertAlign w:val="superscript"/>
                    </w:rPr>
                    <w:t>3</w:t>
                  </w:r>
                  <w:r>
                    <w:rPr>
                      <w:rFonts w:hint="eastAsia" w:hAnsi="宋体"/>
                      <w:szCs w:val="21"/>
                    </w:rPr>
                    <w:t>污水处理站一座，占地面积240m</w:t>
                  </w:r>
                  <w:r>
                    <w:rPr>
                      <w:rFonts w:hint="eastAsia" w:hAnsi="宋体"/>
                      <w:szCs w:val="21"/>
                      <w:vertAlign w:val="superscript"/>
                    </w:rPr>
                    <w:t>2</w:t>
                  </w:r>
                  <w:r>
                    <w:rPr>
                      <w:rFonts w:hint="eastAsia" w:hAnsi="宋体"/>
                      <w:szCs w:val="21"/>
                    </w:rPr>
                    <w:t>，采用多级生物接触氧化处理工艺，出水</w:t>
                  </w:r>
                  <w:r>
                    <w:rPr>
                      <w:szCs w:val="21"/>
                    </w:rPr>
                    <w:t>执</w:t>
                  </w:r>
                  <w:r>
                    <w:rPr>
                      <w:szCs w:val="21"/>
                      <w:lang w:val="zh-CN"/>
                    </w:rPr>
                    <w:t>行《城镇污水处理厂污染物排放标准》（GB18918-2002）中一级</w:t>
                  </w:r>
                  <w:r>
                    <w:rPr>
                      <w:rFonts w:hint="eastAsia"/>
                      <w:szCs w:val="21"/>
                      <w:lang w:val="zh-CN"/>
                    </w:rPr>
                    <w:t>A</w:t>
                  </w:r>
                  <w:r>
                    <w:rPr>
                      <w:szCs w:val="21"/>
                      <w:lang w:val="zh-CN"/>
                    </w:rPr>
                    <w:t>排放标准</w:t>
                  </w:r>
                </w:p>
              </w:tc>
              <w:tc>
                <w:tcPr>
                  <w:tcW w:w="2095" w:type="dxa"/>
                  <w:vAlign w:val="center"/>
                </w:tcPr>
                <w:p>
                  <w:pPr>
                    <w:pStyle w:val="14"/>
                    <w:ind w:left="0" w:leftChars="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1205" w:type="dxa"/>
                  <w:vMerge w:val="continue"/>
                  <w:vAlign w:val="center"/>
                </w:tcPr>
                <w:p>
                  <w:pPr>
                    <w:pStyle w:val="14"/>
                    <w:ind w:left="0" w:leftChars="0"/>
                    <w:jc w:val="center"/>
                    <w:rPr>
                      <w:szCs w:val="21"/>
                    </w:rPr>
                  </w:pPr>
                </w:p>
              </w:tc>
              <w:tc>
                <w:tcPr>
                  <w:tcW w:w="1207" w:type="dxa"/>
                  <w:gridSpan w:val="2"/>
                  <w:vMerge w:val="continue"/>
                  <w:vAlign w:val="center"/>
                </w:tcPr>
                <w:p>
                  <w:pPr>
                    <w:pStyle w:val="14"/>
                    <w:ind w:left="0" w:leftChars="0"/>
                    <w:jc w:val="center"/>
                    <w:rPr>
                      <w:rFonts w:hAnsi="宋体"/>
                      <w:szCs w:val="21"/>
                    </w:rPr>
                  </w:pPr>
                </w:p>
              </w:tc>
              <w:tc>
                <w:tcPr>
                  <w:tcW w:w="4394" w:type="dxa"/>
                  <w:gridSpan w:val="2"/>
                  <w:tcBorders>
                    <w:bottom w:val="single" w:color="auto" w:sz="4" w:space="0"/>
                  </w:tcBorders>
                  <w:vAlign w:val="center"/>
                </w:tcPr>
                <w:p>
                  <w:pPr>
                    <w:pStyle w:val="14"/>
                    <w:ind w:left="0" w:leftChars="0"/>
                    <w:jc w:val="center"/>
                    <w:rPr>
                      <w:rFonts w:hAnsi="宋体"/>
                      <w:szCs w:val="21"/>
                    </w:rPr>
                  </w:pPr>
                  <w:r>
                    <w:rPr>
                      <w:rFonts w:hint="eastAsia" w:hAnsi="宋体"/>
                      <w:szCs w:val="21"/>
                    </w:rPr>
                    <w:t>预处理采用“格栅+调节池”工艺</w:t>
                  </w:r>
                </w:p>
              </w:tc>
              <w:tc>
                <w:tcPr>
                  <w:tcW w:w="2095" w:type="dxa"/>
                  <w:vAlign w:val="center"/>
                </w:tcPr>
                <w:p>
                  <w:pPr>
                    <w:pStyle w:val="14"/>
                    <w:ind w:left="0" w:leftChars="0"/>
                    <w:jc w:val="center"/>
                    <w:rPr>
                      <w:rFonts w:hAnsi="宋体"/>
                      <w:szCs w:val="21"/>
                    </w:rPr>
                  </w:pPr>
                  <w:r>
                    <w:rPr>
                      <w:rFonts w:hAnsi="宋体"/>
                      <w:szCs w:val="21"/>
                    </w:rPr>
                    <w:t>Φ</w:t>
                  </w:r>
                  <w:r>
                    <w:rPr>
                      <w:rFonts w:hint="eastAsia" w:hAnsi="宋体"/>
                      <w:bCs/>
                      <w:szCs w:val="21"/>
                    </w:rPr>
                    <w:t>2200</w:t>
                  </w:r>
                  <w:r>
                    <w:rPr>
                      <w:rFonts w:hAnsi="宋体"/>
                      <w:bCs/>
                      <w:szCs w:val="21"/>
                    </w:rPr>
                    <w:t>×</w:t>
                  </w:r>
                  <w:r>
                    <w:rPr>
                      <w:rFonts w:hint="eastAsia" w:hAnsi="宋体"/>
                      <w:bCs/>
                      <w:szCs w:val="21"/>
                    </w:rPr>
                    <w:t>9600mm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trPr>
              <w:tc>
                <w:tcPr>
                  <w:tcW w:w="1205" w:type="dxa"/>
                  <w:vMerge w:val="continue"/>
                  <w:vAlign w:val="center"/>
                </w:tcPr>
                <w:p>
                  <w:pPr>
                    <w:pStyle w:val="14"/>
                    <w:ind w:left="0" w:leftChars="0"/>
                    <w:jc w:val="center"/>
                    <w:rPr>
                      <w:szCs w:val="21"/>
                    </w:rPr>
                  </w:pPr>
                </w:p>
              </w:tc>
              <w:tc>
                <w:tcPr>
                  <w:tcW w:w="1207" w:type="dxa"/>
                  <w:gridSpan w:val="2"/>
                  <w:vMerge w:val="continue"/>
                  <w:vAlign w:val="center"/>
                </w:tcPr>
                <w:p>
                  <w:pPr>
                    <w:pStyle w:val="14"/>
                    <w:ind w:left="0" w:leftChars="0"/>
                    <w:jc w:val="center"/>
                    <w:rPr>
                      <w:rFonts w:hAnsi="宋体"/>
                      <w:szCs w:val="21"/>
                    </w:rPr>
                  </w:pPr>
                </w:p>
              </w:tc>
              <w:tc>
                <w:tcPr>
                  <w:tcW w:w="4394" w:type="dxa"/>
                  <w:gridSpan w:val="2"/>
                  <w:tcBorders>
                    <w:bottom w:val="single" w:color="auto" w:sz="4" w:space="0"/>
                  </w:tcBorders>
                  <w:vAlign w:val="center"/>
                </w:tcPr>
                <w:p>
                  <w:pPr>
                    <w:pStyle w:val="14"/>
                    <w:ind w:left="0" w:leftChars="0"/>
                    <w:jc w:val="center"/>
                    <w:rPr>
                      <w:rFonts w:hAnsi="宋体"/>
                      <w:szCs w:val="21"/>
                    </w:rPr>
                  </w:pPr>
                  <w:r>
                    <w:rPr>
                      <w:rFonts w:hint="eastAsia" w:hAnsi="宋体"/>
                      <w:szCs w:val="21"/>
                    </w:rPr>
                    <w:t>消毒采用紫外消毒工艺</w:t>
                  </w:r>
                </w:p>
              </w:tc>
              <w:tc>
                <w:tcPr>
                  <w:tcW w:w="2095" w:type="dxa"/>
                  <w:vAlign w:val="center"/>
                </w:tcPr>
                <w:p>
                  <w:pPr>
                    <w:pStyle w:val="14"/>
                    <w:ind w:left="0" w:leftChars="0"/>
                    <w:jc w:val="center"/>
                    <w:rPr>
                      <w:rFonts w:hAnsi="宋体"/>
                      <w:szCs w:val="21"/>
                    </w:rPr>
                  </w:pPr>
                  <w:r>
                    <w:rPr>
                      <w:rFonts w:hint="eastAsia" w:hAnsi="宋体"/>
                      <w:szCs w:val="21"/>
                    </w:rPr>
                    <w:t>紫外消毒器1台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trPr>
              <w:tc>
                <w:tcPr>
                  <w:tcW w:w="1205" w:type="dxa"/>
                  <w:vMerge w:val="continue"/>
                  <w:vAlign w:val="center"/>
                </w:tcPr>
                <w:p>
                  <w:pPr>
                    <w:pStyle w:val="14"/>
                    <w:ind w:left="0" w:leftChars="0"/>
                    <w:jc w:val="center"/>
                    <w:rPr>
                      <w:szCs w:val="21"/>
                    </w:rPr>
                  </w:pPr>
                </w:p>
              </w:tc>
              <w:tc>
                <w:tcPr>
                  <w:tcW w:w="1207" w:type="dxa"/>
                  <w:gridSpan w:val="2"/>
                  <w:vMerge w:val="continue"/>
                  <w:vAlign w:val="center"/>
                </w:tcPr>
                <w:p>
                  <w:pPr>
                    <w:pStyle w:val="14"/>
                    <w:ind w:left="0" w:leftChars="0"/>
                    <w:jc w:val="center"/>
                    <w:rPr>
                      <w:rFonts w:hAnsi="宋体"/>
                      <w:szCs w:val="21"/>
                    </w:rPr>
                  </w:pPr>
                </w:p>
              </w:tc>
              <w:tc>
                <w:tcPr>
                  <w:tcW w:w="4394" w:type="dxa"/>
                  <w:gridSpan w:val="2"/>
                  <w:tcBorders>
                    <w:bottom w:val="single" w:color="auto" w:sz="4" w:space="0"/>
                  </w:tcBorders>
                  <w:vAlign w:val="center"/>
                </w:tcPr>
                <w:p>
                  <w:pPr>
                    <w:pStyle w:val="14"/>
                    <w:ind w:left="0" w:leftChars="0"/>
                    <w:jc w:val="center"/>
                    <w:rPr>
                      <w:rFonts w:hAnsi="宋体"/>
                      <w:szCs w:val="21"/>
                    </w:rPr>
                  </w:pPr>
                  <w:r>
                    <w:rPr>
                      <w:rFonts w:hint="eastAsia" w:hAnsi="宋体"/>
                      <w:szCs w:val="21"/>
                    </w:rPr>
                    <w:t>服务范围为太昌镇街区辖区生活污水</w:t>
                  </w:r>
                </w:p>
              </w:tc>
              <w:tc>
                <w:tcPr>
                  <w:tcW w:w="2095" w:type="dxa"/>
                  <w:vAlign w:val="center"/>
                </w:tcPr>
                <w:p>
                  <w:pPr>
                    <w:pStyle w:val="14"/>
                    <w:ind w:left="0" w:leftChars="0"/>
                    <w:jc w:val="center"/>
                    <w:rPr>
                      <w:rFonts w:hAnsi="宋体"/>
                      <w:szCs w:val="21"/>
                    </w:rPr>
                  </w:pPr>
                  <w:r>
                    <w:rPr>
                      <w:rFonts w:hint="eastAsia" w:hAnsi="宋体"/>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trPr>
              <w:tc>
                <w:tcPr>
                  <w:tcW w:w="1205" w:type="dxa"/>
                  <w:vMerge w:val="continue"/>
                  <w:vAlign w:val="center"/>
                </w:tcPr>
                <w:p>
                  <w:pPr>
                    <w:pStyle w:val="14"/>
                    <w:ind w:left="0" w:leftChars="0"/>
                    <w:jc w:val="center"/>
                    <w:rPr>
                      <w:szCs w:val="21"/>
                    </w:rPr>
                  </w:pPr>
                </w:p>
              </w:tc>
              <w:tc>
                <w:tcPr>
                  <w:tcW w:w="1207" w:type="dxa"/>
                  <w:gridSpan w:val="2"/>
                  <w:vMerge w:val="continue"/>
                  <w:vAlign w:val="center"/>
                </w:tcPr>
                <w:p>
                  <w:pPr>
                    <w:pStyle w:val="14"/>
                    <w:ind w:left="0" w:leftChars="0"/>
                    <w:jc w:val="center"/>
                    <w:rPr>
                      <w:rFonts w:hAnsi="宋体"/>
                      <w:szCs w:val="21"/>
                    </w:rPr>
                  </w:pPr>
                </w:p>
              </w:tc>
              <w:tc>
                <w:tcPr>
                  <w:tcW w:w="4394" w:type="dxa"/>
                  <w:gridSpan w:val="2"/>
                  <w:tcBorders>
                    <w:bottom w:val="single" w:color="auto" w:sz="4" w:space="0"/>
                  </w:tcBorders>
                  <w:vAlign w:val="center"/>
                </w:tcPr>
                <w:p>
                  <w:pPr>
                    <w:pStyle w:val="14"/>
                    <w:ind w:left="0" w:leftChars="0"/>
                    <w:jc w:val="center"/>
                    <w:rPr>
                      <w:rFonts w:hAnsi="宋体"/>
                      <w:szCs w:val="21"/>
                    </w:rPr>
                  </w:pPr>
                  <w:r>
                    <w:rPr>
                      <w:rFonts w:hint="eastAsia" w:hAnsi="宋体"/>
                      <w:szCs w:val="21"/>
                    </w:rPr>
                    <w:t>进水由街道新建污水管网接入</w:t>
                  </w:r>
                </w:p>
              </w:tc>
              <w:tc>
                <w:tcPr>
                  <w:tcW w:w="2095" w:type="dxa"/>
                  <w:vAlign w:val="center"/>
                </w:tcPr>
                <w:p>
                  <w:pPr>
                    <w:pStyle w:val="14"/>
                    <w:ind w:left="0" w:leftChars="0"/>
                    <w:jc w:val="center"/>
                    <w:rPr>
                      <w:rFonts w:hAnsi="宋体"/>
                      <w:szCs w:val="21"/>
                    </w:rPr>
                  </w:pPr>
                  <w:r>
                    <w:rPr>
                      <w:rFonts w:hint="eastAsia" w:hAnsi="宋体"/>
                      <w:szCs w:val="21"/>
                    </w:rPr>
                    <w:t>街道两侧产污点由最近污水口排入污水管网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trPr>
              <w:tc>
                <w:tcPr>
                  <w:tcW w:w="1205" w:type="dxa"/>
                  <w:vMerge w:val="continue"/>
                  <w:vAlign w:val="center"/>
                </w:tcPr>
                <w:p>
                  <w:pPr>
                    <w:pStyle w:val="14"/>
                    <w:ind w:left="0" w:leftChars="0"/>
                    <w:jc w:val="center"/>
                    <w:rPr>
                      <w:szCs w:val="21"/>
                    </w:rPr>
                  </w:pPr>
                </w:p>
              </w:tc>
              <w:tc>
                <w:tcPr>
                  <w:tcW w:w="1207" w:type="dxa"/>
                  <w:gridSpan w:val="2"/>
                  <w:vMerge w:val="continue"/>
                  <w:vAlign w:val="center"/>
                </w:tcPr>
                <w:p>
                  <w:pPr>
                    <w:pStyle w:val="14"/>
                    <w:ind w:left="0" w:leftChars="0"/>
                    <w:jc w:val="center"/>
                    <w:rPr>
                      <w:rFonts w:hAnsi="宋体"/>
                      <w:szCs w:val="21"/>
                    </w:rPr>
                  </w:pPr>
                </w:p>
              </w:tc>
              <w:tc>
                <w:tcPr>
                  <w:tcW w:w="4394" w:type="dxa"/>
                  <w:gridSpan w:val="2"/>
                  <w:tcBorders>
                    <w:bottom w:val="single" w:color="auto" w:sz="4" w:space="0"/>
                  </w:tcBorders>
                  <w:vAlign w:val="center"/>
                </w:tcPr>
                <w:p>
                  <w:pPr>
                    <w:pStyle w:val="14"/>
                    <w:ind w:left="0" w:leftChars="0"/>
                    <w:jc w:val="center"/>
                    <w:rPr>
                      <w:rFonts w:hAnsi="宋体"/>
                      <w:szCs w:val="21"/>
                    </w:rPr>
                  </w:pPr>
                  <w:r>
                    <w:rPr>
                      <w:rFonts w:hint="eastAsia" w:hAnsi="宋体"/>
                      <w:szCs w:val="21"/>
                    </w:rPr>
                    <w:t>出水去向由管道接入老虎沟，最终汇入马莲河</w:t>
                  </w:r>
                </w:p>
              </w:tc>
              <w:tc>
                <w:tcPr>
                  <w:tcW w:w="2095" w:type="dxa"/>
                  <w:vAlign w:val="center"/>
                </w:tcPr>
                <w:p>
                  <w:pPr>
                    <w:pStyle w:val="14"/>
                    <w:ind w:left="0" w:leftChars="0"/>
                    <w:jc w:val="center"/>
                    <w:rPr>
                      <w:rFonts w:hAnsi="宋体"/>
                      <w:szCs w:val="21"/>
                    </w:rPr>
                  </w:pPr>
                  <w:r>
                    <w:rPr>
                      <w:rFonts w:hint="eastAsia" w:hAnsi="宋体"/>
                      <w:szCs w:val="21"/>
                    </w:rPr>
                    <w:t>污水站—老虎沟管道为原有管网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05" w:type="dxa"/>
                  <w:vAlign w:val="center"/>
                </w:tcPr>
                <w:p>
                  <w:pPr>
                    <w:pStyle w:val="14"/>
                    <w:ind w:left="0" w:leftChars="0"/>
                    <w:jc w:val="center"/>
                    <w:rPr>
                      <w:rFonts w:hAnsi="宋体"/>
                      <w:szCs w:val="21"/>
                    </w:rPr>
                  </w:pPr>
                  <w:r>
                    <w:rPr>
                      <w:rFonts w:hAnsi="宋体"/>
                      <w:szCs w:val="21"/>
                    </w:rPr>
                    <w:t>辅助工程</w:t>
                  </w:r>
                </w:p>
              </w:tc>
              <w:tc>
                <w:tcPr>
                  <w:tcW w:w="1207" w:type="dxa"/>
                  <w:gridSpan w:val="2"/>
                  <w:vAlign w:val="center"/>
                </w:tcPr>
                <w:p>
                  <w:pPr>
                    <w:pStyle w:val="14"/>
                    <w:ind w:left="0" w:leftChars="0"/>
                    <w:jc w:val="center"/>
                    <w:rPr>
                      <w:szCs w:val="21"/>
                    </w:rPr>
                  </w:pPr>
                  <w:r>
                    <w:rPr>
                      <w:rFonts w:hint="eastAsia"/>
                      <w:szCs w:val="21"/>
                    </w:rPr>
                    <w:t>设备间</w:t>
                  </w:r>
                </w:p>
              </w:tc>
              <w:tc>
                <w:tcPr>
                  <w:tcW w:w="4394" w:type="dxa"/>
                  <w:gridSpan w:val="2"/>
                  <w:vAlign w:val="center"/>
                </w:tcPr>
                <w:p>
                  <w:pPr>
                    <w:pStyle w:val="14"/>
                    <w:ind w:left="0" w:leftChars="0"/>
                    <w:jc w:val="center"/>
                    <w:rPr>
                      <w:szCs w:val="21"/>
                    </w:rPr>
                  </w:pPr>
                  <w:r>
                    <w:rPr>
                      <w:szCs w:val="21"/>
                    </w:rPr>
                    <w:t>1座，</w:t>
                  </w:r>
                  <w:r>
                    <w:rPr>
                      <w:rFonts w:hint="eastAsia"/>
                      <w:szCs w:val="21"/>
                    </w:rPr>
                    <w:t>彩钢结构，</w:t>
                  </w:r>
                  <w:r>
                    <w:rPr>
                      <w:szCs w:val="21"/>
                    </w:rPr>
                    <w:t>L×B×H=</w:t>
                  </w:r>
                  <w:r>
                    <w:rPr>
                      <w:rFonts w:hint="eastAsia"/>
                      <w:szCs w:val="21"/>
                    </w:rPr>
                    <w:t>4m</w:t>
                  </w:r>
                  <w:r>
                    <w:rPr>
                      <w:szCs w:val="21"/>
                    </w:rPr>
                    <w:t>×</w:t>
                  </w:r>
                  <w:r>
                    <w:rPr>
                      <w:rFonts w:hint="eastAsia"/>
                      <w:szCs w:val="21"/>
                    </w:rPr>
                    <w:t>3m</w:t>
                  </w:r>
                  <w:r>
                    <w:rPr>
                      <w:szCs w:val="21"/>
                    </w:rPr>
                    <w:t>×</w:t>
                  </w:r>
                  <w:r>
                    <w:rPr>
                      <w:rFonts w:hint="eastAsia"/>
                      <w:szCs w:val="21"/>
                    </w:rPr>
                    <w:t>3.5</w:t>
                  </w:r>
                  <w:r>
                    <w:rPr>
                      <w:szCs w:val="21"/>
                    </w:rPr>
                    <w:t>m</w:t>
                  </w:r>
                </w:p>
              </w:tc>
              <w:tc>
                <w:tcPr>
                  <w:tcW w:w="2095" w:type="dxa"/>
                  <w:vAlign w:val="center"/>
                </w:tcPr>
                <w:p>
                  <w:pPr>
                    <w:pStyle w:val="14"/>
                    <w:ind w:left="0" w:leftChars="0"/>
                    <w:jc w:val="center"/>
                    <w:rPr>
                      <w:szCs w:val="21"/>
                    </w:rPr>
                  </w:pPr>
                  <w:r>
                    <w:rPr>
                      <w:rFonts w:hint="eastAsia"/>
                      <w:szCs w:val="21"/>
                    </w:rPr>
                    <w:t>污水站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05" w:type="dxa"/>
                  <w:vMerge w:val="restart"/>
                  <w:vAlign w:val="center"/>
                </w:tcPr>
                <w:p>
                  <w:pPr>
                    <w:pStyle w:val="14"/>
                    <w:ind w:left="0" w:leftChars="0"/>
                    <w:jc w:val="center"/>
                    <w:rPr>
                      <w:szCs w:val="21"/>
                    </w:rPr>
                  </w:pPr>
                  <w:r>
                    <w:rPr>
                      <w:rFonts w:hAnsi="宋体"/>
                      <w:szCs w:val="21"/>
                    </w:rPr>
                    <w:t>公用工程</w:t>
                  </w:r>
                </w:p>
              </w:tc>
              <w:tc>
                <w:tcPr>
                  <w:tcW w:w="1207" w:type="dxa"/>
                  <w:gridSpan w:val="2"/>
                  <w:vAlign w:val="center"/>
                </w:tcPr>
                <w:p>
                  <w:pPr>
                    <w:pStyle w:val="14"/>
                    <w:ind w:left="0" w:leftChars="0"/>
                    <w:jc w:val="center"/>
                    <w:rPr>
                      <w:szCs w:val="21"/>
                    </w:rPr>
                  </w:pPr>
                  <w:r>
                    <w:rPr>
                      <w:rFonts w:hAnsi="宋体"/>
                      <w:szCs w:val="21"/>
                    </w:rPr>
                    <w:t>供电</w:t>
                  </w:r>
                </w:p>
              </w:tc>
              <w:tc>
                <w:tcPr>
                  <w:tcW w:w="4394" w:type="dxa"/>
                  <w:gridSpan w:val="2"/>
                  <w:vAlign w:val="center"/>
                </w:tcPr>
                <w:p>
                  <w:pPr>
                    <w:pStyle w:val="14"/>
                    <w:ind w:left="0" w:leftChars="0"/>
                    <w:jc w:val="center"/>
                    <w:rPr>
                      <w:szCs w:val="21"/>
                    </w:rPr>
                  </w:pPr>
                  <w:r>
                    <w:rPr>
                      <w:rFonts w:hint="eastAsia" w:hAnsi="宋体"/>
                      <w:szCs w:val="21"/>
                    </w:rPr>
                    <w:t>由太昌镇供电所提供</w:t>
                  </w:r>
                </w:p>
              </w:tc>
              <w:tc>
                <w:tcPr>
                  <w:tcW w:w="2095" w:type="dxa"/>
                  <w:vAlign w:val="center"/>
                </w:tcPr>
                <w:p>
                  <w:pPr>
                    <w:pStyle w:val="14"/>
                    <w:ind w:left="0" w:leftChars="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05" w:type="dxa"/>
                  <w:vMerge w:val="continue"/>
                  <w:vAlign w:val="center"/>
                </w:tcPr>
                <w:p>
                  <w:pPr>
                    <w:pStyle w:val="14"/>
                    <w:jc w:val="center"/>
                    <w:rPr>
                      <w:szCs w:val="21"/>
                    </w:rPr>
                  </w:pPr>
                </w:p>
              </w:tc>
              <w:tc>
                <w:tcPr>
                  <w:tcW w:w="1207" w:type="dxa"/>
                  <w:gridSpan w:val="2"/>
                  <w:vAlign w:val="center"/>
                </w:tcPr>
                <w:p>
                  <w:pPr>
                    <w:pStyle w:val="14"/>
                    <w:ind w:left="0" w:leftChars="0"/>
                    <w:jc w:val="center"/>
                    <w:rPr>
                      <w:szCs w:val="21"/>
                    </w:rPr>
                  </w:pPr>
                  <w:r>
                    <w:rPr>
                      <w:rFonts w:hAnsi="宋体"/>
                      <w:szCs w:val="21"/>
                    </w:rPr>
                    <w:t>供水</w:t>
                  </w:r>
                </w:p>
              </w:tc>
              <w:tc>
                <w:tcPr>
                  <w:tcW w:w="4394" w:type="dxa"/>
                  <w:gridSpan w:val="2"/>
                  <w:vAlign w:val="center"/>
                </w:tcPr>
                <w:p>
                  <w:pPr>
                    <w:pStyle w:val="14"/>
                    <w:ind w:left="0" w:leftChars="0"/>
                    <w:jc w:val="center"/>
                    <w:rPr>
                      <w:szCs w:val="21"/>
                    </w:rPr>
                  </w:pPr>
                  <w:r>
                    <w:rPr>
                      <w:rFonts w:hint="eastAsia" w:hAnsi="宋体"/>
                      <w:szCs w:val="21"/>
                    </w:rPr>
                    <w:t>本项目供水由街道西南侧王咀子水塔直接供给，能满足本项目用水需求</w:t>
                  </w:r>
                </w:p>
              </w:tc>
              <w:tc>
                <w:tcPr>
                  <w:tcW w:w="2095" w:type="dxa"/>
                  <w:vAlign w:val="center"/>
                </w:tcPr>
                <w:p>
                  <w:pPr>
                    <w:pStyle w:val="14"/>
                    <w:ind w:left="0" w:leftChars="0"/>
                    <w:jc w:val="center"/>
                    <w:rPr>
                      <w:szCs w:val="21"/>
                    </w:rPr>
                  </w:pPr>
                  <w:r>
                    <w:rPr>
                      <w:rFonts w:hint="eastAsia"/>
                      <w:szCs w:val="21"/>
                    </w:rPr>
                    <w:t>镇政府对面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05" w:type="dxa"/>
                  <w:vMerge w:val="continue"/>
                  <w:vAlign w:val="center"/>
                </w:tcPr>
                <w:p>
                  <w:pPr>
                    <w:pStyle w:val="14"/>
                    <w:jc w:val="center"/>
                    <w:rPr>
                      <w:szCs w:val="21"/>
                    </w:rPr>
                  </w:pPr>
                </w:p>
              </w:tc>
              <w:tc>
                <w:tcPr>
                  <w:tcW w:w="1207" w:type="dxa"/>
                  <w:gridSpan w:val="2"/>
                  <w:vAlign w:val="center"/>
                </w:tcPr>
                <w:p>
                  <w:pPr>
                    <w:pStyle w:val="14"/>
                    <w:ind w:left="0" w:leftChars="0"/>
                    <w:jc w:val="center"/>
                    <w:rPr>
                      <w:szCs w:val="21"/>
                    </w:rPr>
                  </w:pPr>
                  <w:r>
                    <w:rPr>
                      <w:rFonts w:hint="eastAsia"/>
                      <w:szCs w:val="21"/>
                    </w:rPr>
                    <w:t>排水</w:t>
                  </w:r>
                </w:p>
              </w:tc>
              <w:tc>
                <w:tcPr>
                  <w:tcW w:w="4394" w:type="dxa"/>
                  <w:gridSpan w:val="2"/>
                  <w:vAlign w:val="center"/>
                </w:tcPr>
                <w:p>
                  <w:pPr>
                    <w:pStyle w:val="14"/>
                    <w:ind w:left="0" w:leftChars="0"/>
                    <w:jc w:val="center"/>
                    <w:rPr>
                      <w:szCs w:val="21"/>
                    </w:rPr>
                  </w:pPr>
                  <w:r>
                    <w:rPr>
                      <w:rFonts w:hint="eastAsia"/>
                      <w:szCs w:val="21"/>
                    </w:rPr>
                    <w:t>雨污分流</w:t>
                  </w:r>
                </w:p>
              </w:tc>
              <w:tc>
                <w:tcPr>
                  <w:tcW w:w="2095" w:type="dxa"/>
                  <w:vAlign w:val="center"/>
                </w:tcPr>
                <w:p>
                  <w:pPr>
                    <w:pStyle w:val="14"/>
                    <w:ind w:left="0" w:leftChars="0"/>
                    <w:jc w:val="center"/>
                    <w:rPr>
                      <w:szCs w:val="21"/>
                    </w:rPr>
                  </w:pPr>
                  <w:r>
                    <w:rPr>
                      <w:rFonts w:hint="eastAsia"/>
                      <w:szCs w:val="21"/>
                    </w:rPr>
                    <w:t>分流管道正在建设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05" w:type="dxa"/>
                  <w:vMerge w:val="continue"/>
                  <w:vAlign w:val="center"/>
                </w:tcPr>
                <w:p>
                  <w:pPr>
                    <w:pStyle w:val="14"/>
                    <w:jc w:val="center"/>
                    <w:rPr>
                      <w:szCs w:val="21"/>
                    </w:rPr>
                  </w:pPr>
                </w:p>
              </w:tc>
              <w:tc>
                <w:tcPr>
                  <w:tcW w:w="1207" w:type="dxa"/>
                  <w:gridSpan w:val="2"/>
                  <w:vAlign w:val="center"/>
                </w:tcPr>
                <w:p>
                  <w:pPr>
                    <w:pStyle w:val="14"/>
                    <w:ind w:left="0" w:leftChars="0"/>
                    <w:jc w:val="center"/>
                    <w:rPr>
                      <w:szCs w:val="21"/>
                    </w:rPr>
                  </w:pPr>
                  <w:r>
                    <w:rPr>
                      <w:rFonts w:hint="eastAsia"/>
                      <w:szCs w:val="21"/>
                    </w:rPr>
                    <w:t>供暖</w:t>
                  </w:r>
                </w:p>
              </w:tc>
              <w:tc>
                <w:tcPr>
                  <w:tcW w:w="4394" w:type="dxa"/>
                  <w:gridSpan w:val="2"/>
                  <w:vAlign w:val="center"/>
                </w:tcPr>
                <w:p>
                  <w:pPr>
                    <w:pStyle w:val="14"/>
                    <w:ind w:left="0" w:leftChars="0"/>
                    <w:jc w:val="center"/>
                    <w:rPr>
                      <w:szCs w:val="21"/>
                    </w:rPr>
                  </w:pPr>
                  <w:r>
                    <w:rPr>
                      <w:rFonts w:hint="eastAsia"/>
                      <w:szCs w:val="21"/>
                    </w:rPr>
                    <w:t>项目不需供暖</w:t>
                  </w:r>
                </w:p>
              </w:tc>
              <w:tc>
                <w:tcPr>
                  <w:tcW w:w="2095" w:type="dxa"/>
                  <w:vAlign w:val="center"/>
                </w:tcPr>
                <w:p>
                  <w:pPr>
                    <w:pStyle w:val="14"/>
                    <w:ind w:left="0" w:leftChars="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trPr>
              <w:tc>
                <w:tcPr>
                  <w:tcW w:w="1205" w:type="dxa"/>
                  <w:vMerge w:val="restart"/>
                  <w:vAlign w:val="center"/>
                </w:tcPr>
                <w:p>
                  <w:pPr>
                    <w:pStyle w:val="14"/>
                    <w:ind w:left="0" w:leftChars="0"/>
                    <w:rPr>
                      <w:szCs w:val="21"/>
                    </w:rPr>
                  </w:pPr>
                  <w:r>
                    <w:rPr>
                      <w:rFonts w:hAnsi="宋体"/>
                      <w:szCs w:val="21"/>
                    </w:rPr>
                    <w:t>环保工程</w:t>
                  </w:r>
                </w:p>
              </w:tc>
              <w:tc>
                <w:tcPr>
                  <w:tcW w:w="1207" w:type="dxa"/>
                  <w:gridSpan w:val="2"/>
                  <w:vMerge w:val="restart"/>
                  <w:vAlign w:val="center"/>
                </w:tcPr>
                <w:p>
                  <w:pPr>
                    <w:adjustRightInd w:val="0"/>
                    <w:jc w:val="center"/>
                    <w:rPr>
                      <w:szCs w:val="21"/>
                    </w:rPr>
                  </w:pPr>
                  <w:r>
                    <w:rPr>
                      <w:rFonts w:hint="eastAsia"/>
                      <w:szCs w:val="21"/>
                    </w:rPr>
                    <w:t>废气</w:t>
                  </w:r>
                </w:p>
              </w:tc>
              <w:tc>
                <w:tcPr>
                  <w:tcW w:w="4394" w:type="dxa"/>
                  <w:gridSpan w:val="2"/>
                  <w:vAlign w:val="center"/>
                </w:tcPr>
                <w:p>
                  <w:pPr>
                    <w:jc w:val="center"/>
                    <w:rPr>
                      <w:szCs w:val="21"/>
                    </w:rPr>
                  </w:pPr>
                  <w:r>
                    <w:rPr>
                      <w:rFonts w:hint="eastAsia" w:hAnsi="宋体"/>
                      <w:szCs w:val="21"/>
                    </w:rPr>
                    <w:t>污水站处理设施均埋于地下，均有加盖措施，周围设置50m卫生防护距离</w:t>
                  </w:r>
                </w:p>
              </w:tc>
              <w:tc>
                <w:tcPr>
                  <w:tcW w:w="2095" w:type="dxa"/>
                  <w:vAlign w:val="center"/>
                </w:tcPr>
                <w:p>
                  <w:pPr>
                    <w:pStyle w:val="14"/>
                    <w:ind w:left="0" w:leftChars="0"/>
                    <w:jc w:val="center"/>
                    <w:rPr>
                      <w:szCs w:val="21"/>
                    </w:rPr>
                  </w:pPr>
                  <w:r>
                    <w:rPr>
                      <w:rFonts w:hint="eastAsia"/>
                      <w:szCs w:val="21"/>
                    </w:rPr>
                    <w:t>项目污水站废气为污水处理产生的恶臭，主要为NH</w:t>
                  </w:r>
                  <w:r>
                    <w:rPr>
                      <w:rFonts w:hint="eastAsia"/>
                      <w:szCs w:val="21"/>
                      <w:vertAlign w:val="subscript"/>
                    </w:rPr>
                    <w:t>3</w:t>
                  </w:r>
                  <w:r>
                    <w:rPr>
                      <w:rFonts w:hint="eastAsia"/>
                      <w:szCs w:val="21"/>
                    </w:rPr>
                    <w:t>、H</w:t>
                  </w:r>
                  <w:r>
                    <w:rPr>
                      <w:rFonts w:hint="eastAsia"/>
                      <w:szCs w:val="21"/>
                      <w:vertAlign w:val="subscript"/>
                    </w:rPr>
                    <w:t>2</w:t>
                  </w:r>
                  <w:r>
                    <w:rPr>
                      <w:rFonts w:hint="eastAsia"/>
                      <w:szCs w:val="21"/>
                    </w:rPr>
                    <w:t>S</w:t>
                  </w:r>
                  <w:r>
                    <w:rPr>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trPr>
              <w:tc>
                <w:tcPr>
                  <w:tcW w:w="1205" w:type="dxa"/>
                  <w:vMerge w:val="continue"/>
                  <w:vAlign w:val="center"/>
                </w:tcPr>
                <w:p>
                  <w:pPr>
                    <w:pStyle w:val="14"/>
                    <w:ind w:left="0" w:leftChars="0"/>
                    <w:rPr>
                      <w:rFonts w:hAnsi="宋体"/>
                      <w:szCs w:val="21"/>
                      <w:highlight w:val="yellow"/>
                    </w:rPr>
                  </w:pPr>
                </w:p>
              </w:tc>
              <w:tc>
                <w:tcPr>
                  <w:tcW w:w="1207" w:type="dxa"/>
                  <w:gridSpan w:val="2"/>
                  <w:vMerge w:val="continue"/>
                  <w:vAlign w:val="center"/>
                </w:tcPr>
                <w:p>
                  <w:pPr>
                    <w:adjustRightInd w:val="0"/>
                    <w:jc w:val="center"/>
                    <w:rPr>
                      <w:szCs w:val="21"/>
                    </w:rPr>
                  </w:pPr>
                </w:p>
              </w:tc>
              <w:tc>
                <w:tcPr>
                  <w:tcW w:w="4394" w:type="dxa"/>
                  <w:gridSpan w:val="2"/>
                  <w:vAlign w:val="center"/>
                </w:tcPr>
                <w:p>
                  <w:pPr>
                    <w:jc w:val="center"/>
                    <w:rPr>
                      <w:rFonts w:hAnsi="宋体"/>
                      <w:szCs w:val="21"/>
                    </w:rPr>
                  </w:pPr>
                  <w:r>
                    <w:rPr>
                      <w:rFonts w:hint="eastAsia" w:hAnsi="宋体"/>
                      <w:szCs w:val="21"/>
                    </w:rPr>
                    <w:t>街道限速、清洁路面、洒水</w:t>
                  </w:r>
                </w:p>
              </w:tc>
              <w:tc>
                <w:tcPr>
                  <w:tcW w:w="2095" w:type="dxa"/>
                  <w:vAlign w:val="center"/>
                </w:tcPr>
                <w:p>
                  <w:pPr>
                    <w:pStyle w:val="14"/>
                    <w:ind w:left="0" w:leftChars="0"/>
                    <w:jc w:val="center"/>
                    <w:rPr>
                      <w:szCs w:val="21"/>
                    </w:rPr>
                  </w:pPr>
                  <w:r>
                    <w:rPr>
                      <w:rFonts w:hint="eastAsia"/>
                      <w:szCs w:val="21"/>
                    </w:rPr>
                    <w:t>主要为汽车尾气及路面扬尘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trPr>
              <w:tc>
                <w:tcPr>
                  <w:tcW w:w="1205" w:type="dxa"/>
                  <w:vMerge w:val="continue"/>
                  <w:vAlign w:val="center"/>
                </w:tcPr>
                <w:p>
                  <w:pPr>
                    <w:pStyle w:val="14"/>
                    <w:ind w:left="0" w:leftChars="0"/>
                    <w:rPr>
                      <w:rFonts w:hAnsi="宋体"/>
                      <w:szCs w:val="21"/>
                      <w:highlight w:val="yellow"/>
                    </w:rPr>
                  </w:pPr>
                </w:p>
              </w:tc>
              <w:tc>
                <w:tcPr>
                  <w:tcW w:w="1207" w:type="dxa"/>
                  <w:gridSpan w:val="2"/>
                  <w:vMerge w:val="restart"/>
                  <w:vAlign w:val="center"/>
                </w:tcPr>
                <w:p>
                  <w:pPr>
                    <w:adjustRightInd w:val="0"/>
                    <w:jc w:val="center"/>
                    <w:rPr>
                      <w:szCs w:val="21"/>
                    </w:rPr>
                  </w:pPr>
                  <w:r>
                    <w:rPr>
                      <w:rFonts w:hint="eastAsia"/>
                      <w:szCs w:val="21"/>
                    </w:rPr>
                    <w:t>废水</w:t>
                  </w:r>
                </w:p>
              </w:tc>
              <w:tc>
                <w:tcPr>
                  <w:tcW w:w="990" w:type="dxa"/>
                  <w:vAlign w:val="center"/>
                </w:tcPr>
                <w:p>
                  <w:pPr>
                    <w:jc w:val="center"/>
                    <w:rPr>
                      <w:rFonts w:hAnsi="宋体"/>
                      <w:szCs w:val="21"/>
                    </w:rPr>
                  </w:pPr>
                  <w:r>
                    <w:rPr>
                      <w:rFonts w:hint="eastAsia" w:hAnsi="宋体"/>
                      <w:szCs w:val="21"/>
                    </w:rPr>
                    <w:t>污水站</w:t>
                  </w:r>
                </w:p>
              </w:tc>
              <w:tc>
                <w:tcPr>
                  <w:tcW w:w="3404" w:type="dxa"/>
                  <w:vAlign w:val="center"/>
                </w:tcPr>
                <w:p>
                  <w:pPr>
                    <w:jc w:val="center"/>
                    <w:rPr>
                      <w:rFonts w:hAnsi="宋体"/>
                      <w:szCs w:val="21"/>
                    </w:rPr>
                  </w:pPr>
                  <w:r>
                    <w:rPr>
                      <w:rFonts w:hint="eastAsia" w:hAnsi="宋体"/>
                      <w:szCs w:val="21"/>
                    </w:rPr>
                    <w:t>采用多级生物接触氧化工艺处理进水，出水</w:t>
                  </w:r>
                  <w:r>
                    <w:rPr>
                      <w:rFonts w:hAnsi="宋体"/>
                      <w:szCs w:val="21"/>
                    </w:rPr>
                    <w:t>执行《城镇污水处理厂污染物排放标准》（GB18918-2002）中一级</w:t>
                  </w:r>
                  <w:r>
                    <w:rPr>
                      <w:rFonts w:hint="eastAsia" w:hAnsi="宋体"/>
                      <w:szCs w:val="21"/>
                    </w:rPr>
                    <w:t>A</w:t>
                  </w:r>
                  <w:r>
                    <w:rPr>
                      <w:rFonts w:hAnsi="宋体"/>
                      <w:szCs w:val="21"/>
                    </w:rPr>
                    <w:t>排放标准</w:t>
                  </w:r>
                </w:p>
              </w:tc>
              <w:tc>
                <w:tcPr>
                  <w:tcW w:w="2095" w:type="dxa"/>
                  <w:vAlign w:val="center"/>
                </w:tcPr>
                <w:p>
                  <w:pPr>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trPr>
              <w:tc>
                <w:tcPr>
                  <w:tcW w:w="1205" w:type="dxa"/>
                  <w:vMerge w:val="continue"/>
                  <w:vAlign w:val="center"/>
                </w:tcPr>
                <w:p>
                  <w:pPr>
                    <w:pStyle w:val="14"/>
                    <w:ind w:left="0" w:leftChars="0"/>
                    <w:rPr>
                      <w:rFonts w:hAnsi="宋体"/>
                      <w:szCs w:val="21"/>
                      <w:highlight w:val="yellow"/>
                    </w:rPr>
                  </w:pPr>
                </w:p>
              </w:tc>
              <w:tc>
                <w:tcPr>
                  <w:tcW w:w="1207" w:type="dxa"/>
                  <w:gridSpan w:val="2"/>
                  <w:vMerge w:val="continue"/>
                  <w:vAlign w:val="center"/>
                </w:tcPr>
                <w:p>
                  <w:pPr>
                    <w:adjustRightInd w:val="0"/>
                    <w:jc w:val="center"/>
                    <w:rPr>
                      <w:szCs w:val="21"/>
                    </w:rPr>
                  </w:pPr>
                </w:p>
              </w:tc>
              <w:tc>
                <w:tcPr>
                  <w:tcW w:w="990" w:type="dxa"/>
                  <w:vAlign w:val="center"/>
                </w:tcPr>
                <w:p>
                  <w:pPr>
                    <w:jc w:val="center"/>
                    <w:rPr>
                      <w:rFonts w:hAnsi="宋体"/>
                      <w:szCs w:val="21"/>
                    </w:rPr>
                  </w:pPr>
                  <w:r>
                    <w:rPr>
                      <w:rFonts w:hint="eastAsia" w:hAnsi="宋体"/>
                      <w:szCs w:val="21"/>
                    </w:rPr>
                    <w:t>道路工程</w:t>
                  </w:r>
                </w:p>
              </w:tc>
              <w:tc>
                <w:tcPr>
                  <w:tcW w:w="3404" w:type="dxa"/>
                  <w:vAlign w:val="center"/>
                </w:tcPr>
                <w:p>
                  <w:pPr>
                    <w:jc w:val="center"/>
                    <w:rPr>
                      <w:rFonts w:hAnsi="宋体"/>
                      <w:szCs w:val="21"/>
                    </w:rPr>
                  </w:pPr>
                  <w:r>
                    <w:rPr>
                      <w:rFonts w:hint="eastAsia" w:hAnsi="宋体"/>
                      <w:szCs w:val="21"/>
                    </w:rPr>
                    <w:t>日常清理、检查道路沿线集水设施</w:t>
                  </w:r>
                </w:p>
              </w:tc>
              <w:tc>
                <w:tcPr>
                  <w:tcW w:w="2095" w:type="dxa"/>
                  <w:vAlign w:val="center"/>
                </w:tcPr>
                <w:p>
                  <w:pPr>
                    <w:jc w:val="center"/>
                    <w:rPr>
                      <w:szCs w:val="21"/>
                    </w:rPr>
                  </w:pPr>
                  <w:r>
                    <w:rPr>
                      <w:rFonts w:hint="eastAsia"/>
                      <w:szCs w:val="21"/>
                    </w:rPr>
                    <w:t>主要为公路地面径流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05" w:type="dxa"/>
                  <w:vMerge w:val="continue"/>
                  <w:vAlign w:val="center"/>
                </w:tcPr>
                <w:p>
                  <w:pPr>
                    <w:pStyle w:val="14"/>
                    <w:jc w:val="center"/>
                    <w:rPr>
                      <w:szCs w:val="21"/>
                    </w:rPr>
                  </w:pPr>
                </w:p>
              </w:tc>
              <w:tc>
                <w:tcPr>
                  <w:tcW w:w="554" w:type="dxa"/>
                  <w:vMerge w:val="restart"/>
                  <w:vAlign w:val="center"/>
                </w:tcPr>
                <w:p>
                  <w:pPr>
                    <w:adjustRightInd w:val="0"/>
                    <w:jc w:val="center"/>
                    <w:rPr>
                      <w:szCs w:val="21"/>
                    </w:rPr>
                  </w:pPr>
                  <w:r>
                    <w:rPr>
                      <w:rFonts w:hint="eastAsia"/>
                      <w:szCs w:val="21"/>
                    </w:rPr>
                    <w:t>固废</w:t>
                  </w:r>
                </w:p>
              </w:tc>
              <w:tc>
                <w:tcPr>
                  <w:tcW w:w="653" w:type="dxa"/>
                  <w:vAlign w:val="center"/>
                </w:tcPr>
                <w:p>
                  <w:pPr>
                    <w:adjustRightInd w:val="0"/>
                    <w:jc w:val="center"/>
                    <w:rPr>
                      <w:szCs w:val="21"/>
                    </w:rPr>
                  </w:pPr>
                  <w:r>
                    <w:rPr>
                      <w:rFonts w:hint="eastAsia"/>
                      <w:szCs w:val="21"/>
                    </w:rPr>
                    <w:t>栅渣</w:t>
                  </w:r>
                </w:p>
              </w:tc>
              <w:tc>
                <w:tcPr>
                  <w:tcW w:w="4394" w:type="dxa"/>
                  <w:gridSpan w:val="2"/>
                  <w:vMerge w:val="restart"/>
                  <w:vAlign w:val="center"/>
                </w:tcPr>
                <w:p>
                  <w:pPr>
                    <w:jc w:val="center"/>
                    <w:rPr>
                      <w:rFonts w:hAnsi="宋体"/>
                      <w:szCs w:val="21"/>
                    </w:rPr>
                  </w:pPr>
                  <w:r>
                    <w:rPr>
                      <w:rFonts w:hint="eastAsia" w:hAnsi="宋体"/>
                      <w:szCs w:val="21"/>
                    </w:rPr>
                    <w:t>定期</w:t>
                  </w:r>
                  <w:r>
                    <w:rPr>
                      <w:rFonts w:hAnsi="宋体"/>
                      <w:szCs w:val="21"/>
                    </w:rPr>
                    <w:t>外运至</w:t>
                  </w:r>
                  <w:r>
                    <w:rPr>
                      <w:rFonts w:hint="eastAsia" w:hAnsi="宋体"/>
                      <w:szCs w:val="21"/>
                    </w:rPr>
                    <w:t>宁县和盛镇生活垃圾填埋场卫生填埋</w:t>
                  </w:r>
                </w:p>
              </w:tc>
              <w:tc>
                <w:tcPr>
                  <w:tcW w:w="2095" w:type="dxa"/>
                  <w:vAlign w:val="center"/>
                </w:tcPr>
                <w:p>
                  <w:pPr>
                    <w:pStyle w:val="14"/>
                    <w:ind w:left="0" w:leftChars="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05" w:type="dxa"/>
                  <w:vMerge w:val="continue"/>
                  <w:vAlign w:val="center"/>
                </w:tcPr>
                <w:p>
                  <w:pPr>
                    <w:pStyle w:val="14"/>
                    <w:jc w:val="center"/>
                    <w:rPr>
                      <w:szCs w:val="21"/>
                    </w:rPr>
                  </w:pPr>
                </w:p>
              </w:tc>
              <w:tc>
                <w:tcPr>
                  <w:tcW w:w="554" w:type="dxa"/>
                  <w:vMerge w:val="continue"/>
                  <w:vAlign w:val="center"/>
                </w:tcPr>
                <w:p>
                  <w:pPr>
                    <w:adjustRightInd w:val="0"/>
                    <w:jc w:val="center"/>
                    <w:rPr>
                      <w:szCs w:val="21"/>
                    </w:rPr>
                  </w:pPr>
                </w:p>
              </w:tc>
              <w:tc>
                <w:tcPr>
                  <w:tcW w:w="653" w:type="dxa"/>
                  <w:vAlign w:val="center"/>
                </w:tcPr>
                <w:p>
                  <w:pPr>
                    <w:adjustRightInd w:val="0"/>
                    <w:jc w:val="center"/>
                    <w:rPr>
                      <w:szCs w:val="21"/>
                    </w:rPr>
                  </w:pPr>
                  <w:r>
                    <w:rPr>
                      <w:rFonts w:hint="eastAsia"/>
                      <w:szCs w:val="21"/>
                    </w:rPr>
                    <w:t>废滤料</w:t>
                  </w:r>
                </w:p>
              </w:tc>
              <w:tc>
                <w:tcPr>
                  <w:tcW w:w="4394" w:type="dxa"/>
                  <w:gridSpan w:val="2"/>
                  <w:vMerge w:val="continue"/>
                  <w:vAlign w:val="center"/>
                </w:tcPr>
                <w:p>
                  <w:pPr>
                    <w:jc w:val="center"/>
                    <w:rPr>
                      <w:rFonts w:hAnsi="宋体"/>
                      <w:szCs w:val="21"/>
                    </w:rPr>
                  </w:pPr>
                </w:p>
              </w:tc>
              <w:tc>
                <w:tcPr>
                  <w:tcW w:w="2095" w:type="dxa"/>
                  <w:vAlign w:val="center"/>
                </w:tcPr>
                <w:p>
                  <w:pPr>
                    <w:pStyle w:val="14"/>
                    <w:ind w:left="0" w:leftChars="0"/>
                    <w:jc w:val="center"/>
                    <w:rPr>
                      <w:szCs w:val="21"/>
                    </w:rPr>
                  </w:pPr>
                  <w:r>
                    <w:rPr>
                      <w:rFonts w:hint="eastAsia"/>
                      <w:szCs w:val="21"/>
                    </w:rPr>
                    <w:t>根据《根据国家危险废物名录》（2016年8月1日施行），本项目属于生活污水处理，产生的废滤料不属于危险废物。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05" w:type="dxa"/>
                  <w:vMerge w:val="continue"/>
                  <w:vAlign w:val="center"/>
                </w:tcPr>
                <w:p>
                  <w:pPr>
                    <w:pStyle w:val="14"/>
                    <w:jc w:val="center"/>
                    <w:rPr>
                      <w:szCs w:val="21"/>
                    </w:rPr>
                  </w:pPr>
                </w:p>
              </w:tc>
              <w:tc>
                <w:tcPr>
                  <w:tcW w:w="554" w:type="dxa"/>
                  <w:vMerge w:val="continue"/>
                  <w:vAlign w:val="center"/>
                </w:tcPr>
                <w:p>
                  <w:pPr>
                    <w:adjustRightInd w:val="0"/>
                    <w:jc w:val="center"/>
                    <w:rPr>
                      <w:szCs w:val="21"/>
                    </w:rPr>
                  </w:pPr>
                </w:p>
              </w:tc>
              <w:tc>
                <w:tcPr>
                  <w:tcW w:w="653" w:type="dxa"/>
                  <w:vAlign w:val="center"/>
                </w:tcPr>
                <w:p>
                  <w:pPr>
                    <w:adjustRightInd w:val="0"/>
                    <w:jc w:val="center"/>
                    <w:rPr>
                      <w:szCs w:val="21"/>
                    </w:rPr>
                  </w:pPr>
                  <w:r>
                    <w:rPr>
                      <w:rFonts w:hint="eastAsia"/>
                      <w:szCs w:val="21"/>
                    </w:rPr>
                    <w:t>管网淤泥</w:t>
                  </w:r>
                </w:p>
              </w:tc>
              <w:tc>
                <w:tcPr>
                  <w:tcW w:w="4394" w:type="dxa"/>
                  <w:gridSpan w:val="2"/>
                  <w:vAlign w:val="center"/>
                </w:tcPr>
                <w:p>
                  <w:pPr>
                    <w:jc w:val="center"/>
                    <w:rPr>
                      <w:rFonts w:hAnsi="宋体"/>
                      <w:szCs w:val="21"/>
                    </w:rPr>
                  </w:pPr>
                  <w:r>
                    <w:rPr>
                      <w:rFonts w:hint="eastAsia"/>
                      <w:szCs w:val="21"/>
                    </w:rPr>
                    <w:t>和污水站污泥一起处理</w:t>
                  </w:r>
                </w:p>
              </w:tc>
              <w:tc>
                <w:tcPr>
                  <w:tcW w:w="2095" w:type="dxa"/>
                  <w:vAlign w:val="center"/>
                </w:tcPr>
                <w:p>
                  <w:pPr>
                    <w:pStyle w:val="14"/>
                    <w:ind w:left="0" w:leftChars="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05" w:type="dxa"/>
                  <w:vMerge w:val="continue"/>
                  <w:vAlign w:val="center"/>
                </w:tcPr>
                <w:p>
                  <w:pPr>
                    <w:pStyle w:val="14"/>
                    <w:jc w:val="center"/>
                    <w:rPr>
                      <w:szCs w:val="21"/>
                    </w:rPr>
                  </w:pPr>
                </w:p>
              </w:tc>
              <w:tc>
                <w:tcPr>
                  <w:tcW w:w="554" w:type="dxa"/>
                  <w:vMerge w:val="continue"/>
                  <w:vAlign w:val="center"/>
                </w:tcPr>
                <w:p>
                  <w:pPr>
                    <w:adjustRightInd w:val="0"/>
                    <w:jc w:val="center"/>
                    <w:rPr>
                      <w:szCs w:val="21"/>
                    </w:rPr>
                  </w:pPr>
                </w:p>
              </w:tc>
              <w:tc>
                <w:tcPr>
                  <w:tcW w:w="653" w:type="dxa"/>
                  <w:vAlign w:val="center"/>
                </w:tcPr>
                <w:p>
                  <w:pPr>
                    <w:adjustRightInd w:val="0"/>
                    <w:jc w:val="center"/>
                    <w:rPr>
                      <w:szCs w:val="21"/>
                    </w:rPr>
                  </w:pPr>
                  <w:r>
                    <w:rPr>
                      <w:rFonts w:hint="eastAsia"/>
                      <w:szCs w:val="21"/>
                    </w:rPr>
                    <w:t>剩余污泥</w:t>
                  </w:r>
                </w:p>
              </w:tc>
              <w:tc>
                <w:tcPr>
                  <w:tcW w:w="4394" w:type="dxa"/>
                  <w:gridSpan w:val="2"/>
                  <w:vAlign w:val="center"/>
                </w:tcPr>
                <w:p>
                  <w:pPr>
                    <w:jc w:val="center"/>
                    <w:rPr>
                      <w:szCs w:val="21"/>
                    </w:rPr>
                  </w:pPr>
                  <w:r>
                    <w:rPr>
                      <w:rFonts w:hint="eastAsia" w:hAnsi="宋体"/>
                      <w:bCs/>
                      <w:szCs w:val="21"/>
                    </w:rPr>
                    <w:t>近期交由有资质单位处理，远期建设深度处理，至含水率低于60%送</w:t>
                  </w:r>
                  <w:r>
                    <w:rPr>
                      <w:rFonts w:hint="eastAsia" w:hAnsi="宋体"/>
                      <w:szCs w:val="21"/>
                    </w:rPr>
                    <w:t>宁县和盛镇生活垃圾填埋场</w:t>
                  </w:r>
                  <w:r>
                    <w:rPr>
                      <w:rFonts w:hint="eastAsia" w:hAnsi="宋体"/>
                      <w:bCs/>
                      <w:szCs w:val="21"/>
                    </w:rPr>
                    <w:t>卫生填埋</w:t>
                  </w:r>
                </w:p>
              </w:tc>
              <w:tc>
                <w:tcPr>
                  <w:tcW w:w="2095" w:type="dxa"/>
                  <w:vAlign w:val="center"/>
                </w:tcPr>
                <w:p>
                  <w:pPr>
                    <w:pStyle w:val="14"/>
                    <w:ind w:left="0" w:leftChars="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05" w:type="dxa"/>
                  <w:vMerge w:val="continue"/>
                  <w:vAlign w:val="center"/>
                </w:tcPr>
                <w:p>
                  <w:pPr>
                    <w:pStyle w:val="14"/>
                    <w:jc w:val="center"/>
                    <w:rPr>
                      <w:szCs w:val="21"/>
                    </w:rPr>
                  </w:pPr>
                </w:p>
              </w:tc>
              <w:tc>
                <w:tcPr>
                  <w:tcW w:w="554" w:type="dxa"/>
                  <w:vMerge w:val="continue"/>
                  <w:vAlign w:val="center"/>
                </w:tcPr>
                <w:p>
                  <w:pPr>
                    <w:adjustRightInd w:val="0"/>
                    <w:jc w:val="center"/>
                    <w:rPr>
                      <w:szCs w:val="21"/>
                    </w:rPr>
                  </w:pPr>
                </w:p>
              </w:tc>
              <w:tc>
                <w:tcPr>
                  <w:tcW w:w="653" w:type="dxa"/>
                  <w:vAlign w:val="center"/>
                </w:tcPr>
                <w:p>
                  <w:pPr>
                    <w:adjustRightInd w:val="0"/>
                    <w:jc w:val="center"/>
                    <w:rPr>
                      <w:szCs w:val="21"/>
                    </w:rPr>
                  </w:pPr>
                  <w:r>
                    <w:rPr>
                      <w:rFonts w:hint="eastAsia"/>
                      <w:szCs w:val="21"/>
                    </w:rPr>
                    <w:t>路面及广场垃圾</w:t>
                  </w:r>
                </w:p>
              </w:tc>
              <w:tc>
                <w:tcPr>
                  <w:tcW w:w="4394" w:type="dxa"/>
                  <w:gridSpan w:val="2"/>
                  <w:vAlign w:val="center"/>
                </w:tcPr>
                <w:p>
                  <w:pPr>
                    <w:jc w:val="center"/>
                    <w:rPr>
                      <w:rFonts w:hAnsi="宋体"/>
                      <w:szCs w:val="21"/>
                    </w:rPr>
                  </w:pPr>
                  <w:r>
                    <w:rPr>
                      <w:rFonts w:hint="eastAsia" w:hAnsi="宋体"/>
                      <w:szCs w:val="21"/>
                    </w:rPr>
                    <w:t>清理</w:t>
                  </w:r>
                  <w:r>
                    <w:rPr>
                      <w:rFonts w:hint="eastAsia" w:hAnsi="宋体"/>
                      <w:bCs/>
                      <w:szCs w:val="21"/>
                    </w:rPr>
                    <w:t>运至</w:t>
                  </w:r>
                  <w:r>
                    <w:rPr>
                      <w:rFonts w:hAnsi="宋体"/>
                      <w:szCs w:val="21"/>
                    </w:rPr>
                    <w:t>政府指定的生活垃圾填埋场处置</w:t>
                  </w:r>
                </w:p>
              </w:tc>
              <w:tc>
                <w:tcPr>
                  <w:tcW w:w="2095" w:type="dxa"/>
                  <w:vAlign w:val="center"/>
                </w:tcPr>
                <w:p>
                  <w:pPr>
                    <w:pStyle w:val="14"/>
                    <w:ind w:left="0" w:leftChars="0"/>
                    <w:jc w:val="center"/>
                    <w:rPr>
                      <w:szCs w:val="21"/>
                    </w:rPr>
                  </w:pPr>
                  <w:r>
                    <w:rPr>
                      <w:rFonts w:hint="eastAsia"/>
                      <w:szCs w:val="21"/>
                    </w:rPr>
                    <w:t>主要为行人抛洒、广场娱乐产生的生活垃圾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05" w:type="dxa"/>
                  <w:vMerge w:val="continue"/>
                  <w:vAlign w:val="center"/>
                </w:tcPr>
                <w:p>
                  <w:pPr>
                    <w:pStyle w:val="14"/>
                    <w:jc w:val="center"/>
                    <w:rPr>
                      <w:szCs w:val="21"/>
                    </w:rPr>
                  </w:pPr>
                </w:p>
              </w:tc>
              <w:tc>
                <w:tcPr>
                  <w:tcW w:w="554" w:type="dxa"/>
                  <w:vMerge w:val="continue"/>
                  <w:vAlign w:val="center"/>
                </w:tcPr>
                <w:p>
                  <w:pPr>
                    <w:adjustRightInd w:val="0"/>
                    <w:jc w:val="center"/>
                    <w:rPr>
                      <w:szCs w:val="21"/>
                    </w:rPr>
                  </w:pPr>
                </w:p>
              </w:tc>
              <w:tc>
                <w:tcPr>
                  <w:tcW w:w="653" w:type="dxa"/>
                  <w:vAlign w:val="center"/>
                </w:tcPr>
                <w:p>
                  <w:pPr>
                    <w:adjustRightInd w:val="0"/>
                    <w:jc w:val="center"/>
                    <w:rPr>
                      <w:szCs w:val="21"/>
                      <w:highlight w:val="lightGray"/>
                    </w:rPr>
                  </w:pPr>
                  <w:r>
                    <w:rPr>
                      <w:rFonts w:hint="eastAsia"/>
                      <w:szCs w:val="21"/>
                      <w:highlight w:val="lightGray"/>
                    </w:rPr>
                    <w:t>拆除工程垃圾</w:t>
                  </w:r>
                </w:p>
              </w:tc>
              <w:tc>
                <w:tcPr>
                  <w:tcW w:w="4394" w:type="dxa"/>
                  <w:gridSpan w:val="2"/>
                  <w:vAlign w:val="center"/>
                </w:tcPr>
                <w:p>
                  <w:pPr>
                    <w:jc w:val="center"/>
                    <w:rPr>
                      <w:rFonts w:hAnsi="宋体"/>
                      <w:szCs w:val="21"/>
                      <w:highlight w:val="lightGray"/>
                    </w:rPr>
                  </w:pPr>
                  <w:r>
                    <w:rPr>
                      <w:rFonts w:hint="eastAsia" w:hAnsi="宋体"/>
                      <w:szCs w:val="21"/>
                      <w:highlight w:val="lightGray"/>
                    </w:rPr>
                    <w:t>用于施工道路填方和填沟</w:t>
                  </w:r>
                </w:p>
              </w:tc>
              <w:tc>
                <w:tcPr>
                  <w:tcW w:w="2095" w:type="dxa"/>
                  <w:vAlign w:val="center"/>
                </w:tcPr>
                <w:p>
                  <w:pPr>
                    <w:pStyle w:val="14"/>
                    <w:ind w:left="0" w:leftChars="0"/>
                    <w:jc w:val="center"/>
                    <w:rPr>
                      <w:szCs w:val="21"/>
                      <w:highlight w:val="lightGray"/>
                    </w:rPr>
                  </w:pPr>
                  <w:r>
                    <w:rPr>
                      <w:rFonts w:hint="eastAsia" w:hAnsi="宋体"/>
                      <w:szCs w:val="21"/>
                      <w:highlight w:val="lightGray"/>
                    </w:rPr>
                    <w:t>路面拆除工程产生的拆除垃圾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05" w:type="dxa"/>
                  <w:vMerge w:val="continue"/>
                  <w:vAlign w:val="center"/>
                </w:tcPr>
                <w:p>
                  <w:pPr>
                    <w:pStyle w:val="14"/>
                    <w:jc w:val="center"/>
                    <w:rPr>
                      <w:szCs w:val="21"/>
                    </w:rPr>
                  </w:pPr>
                </w:p>
              </w:tc>
              <w:tc>
                <w:tcPr>
                  <w:tcW w:w="1207" w:type="dxa"/>
                  <w:gridSpan w:val="2"/>
                  <w:vMerge w:val="restart"/>
                  <w:vAlign w:val="center"/>
                </w:tcPr>
                <w:p>
                  <w:pPr>
                    <w:adjustRightInd w:val="0"/>
                    <w:jc w:val="center"/>
                    <w:rPr>
                      <w:szCs w:val="21"/>
                    </w:rPr>
                  </w:pPr>
                  <w:r>
                    <w:rPr>
                      <w:rFonts w:hint="eastAsia"/>
                      <w:szCs w:val="21"/>
                    </w:rPr>
                    <w:t>噪声</w:t>
                  </w:r>
                </w:p>
              </w:tc>
              <w:tc>
                <w:tcPr>
                  <w:tcW w:w="4394" w:type="dxa"/>
                  <w:gridSpan w:val="2"/>
                  <w:vAlign w:val="center"/>
                </w:tcPr>
                <w:p>
                  <w:pPr>
                    <w:jc w:val="center"/>
                    <w:rPr>
                      <w:rFonts w:hAnsi="宋体"/>
                      <w:szCs w:val="21"/>
                    </w:rPr>
                  </w:pPr>
                  <w:r>
                    <w:rPr>
                      <w:rFonts w:hint="eastAsia" w:hAnsi="宋体"/>
                      <w:szCs w:val="21"/>
                    </w:rPr>
                    <w:t>采取</w:t>
                  </w:r>
                  <w:r>
                    <w:rPr>
                      <w:rFonts w:hAnsi="宋体"/>
                      <w:szCs w:val="21"/>
                    </w:rPr>
                    <w:t>减振、隔声、消声器</w:t>
                  </w:r>
                  <w:r>
                    <w:rPr>
                      <w:rFonts w:hint="eastAsia" w:hAnsi="宋体"/>
                      <w:szCs w:val="21"/>
                    </w:rPr>
                    <w:t>等措施</w:t>
                  </w:r>
                </w:p>
              </w:tc>
              <w:tc>
                <w:tcPr>
                  <w:tcW w:w="2095" w:type="dxa"/>
                  <w:vAlign w:val="center"/>
                </w:tcPr>
                <w:p>
                  <w:pPr>
                    <w:pStyle w:val="14"/>
                    <w:ind w:left="0" w:leftChars="0"/>
                    <w:jc w:val="center"/>
                    <w:rPr>
                      <w:szCs w:val="21"/>
                    </w:rPr>
                  </w:pPr>
                  <w:r>
                    <w:rPr>
                      <w:rFonts w:hint="eastAsia"/>
                      <w:szCs w:val="21"/>
                    </w:rPr>
                    <w:t>各类泵、机电设备运行噪声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05" w:type="dxa"/>
                  <w:vMerge w:val="continue"/>
                  <w:vAlign w:val="center"/>
                </w:tcPr>
                <w:p>
                  <w:pPr>
                    <w:pStyle w:val="14"/>
                    <w:jc w:val="center"/>
                    <w:rPr>
                      <w:szCs w:val="21"/>
                    </w:rPr>
                  </w:pPr>
                </w:p>
              </w:tc>
              <w:tc>
                <w:tcPr>
                  <w:tcW w:w="1207" w:type="dxa"/>
                  <w:gridSpan w:val="2"/>
                  <w:vMerge w:val="continue"/>
                  <w:vAlign w:val="center"/>
                </w:tcPr>
                <w:p>
                  <w:pPr>
                    <w:adjustRightInd w:val="0"/>
                    <w:jc w:val="center"/>
                    <w:rPr>
                      <w:szCs w:val="21"/>
                    </w:rPr>
                  </w:pPr>
                </w:p>
              </w:tc>
              <w:tc>
                <w:tcPr>
                  <w:tcW w:w="4394" w:type="dxa"/>
                  <w:gridSpan w:val="2"/>
                  <w:vAlign w:val="center"/>
                </w:tcPr>
                <w:p>
                  <w:pPr>
                    <w:jc w:val="center"/>
                    <w:rPr>
                      <w:rFonts w:hAnsi="宋体"/>
                      <w:szCs w:val="21"/>
                    </w:rPr>
                  </w:pPr>
                  <w:r>
                    <w:rPr>
                      <w:rFonts w:hint="eastAsia" w:hAnsi="宋体"/>
                      <w:bCs/>
                      <w:szCs w:val="21"/>
                    </w:rPr>
                    <w:t>禁鸣标志、安装超速监控设施</w:t>
                  </w:r>
                </w:p>
              </w:tc>
              <w:tc>
                <w:tcPr>
                  <w:tcW w:w="2095" w:type="dxa"/>
                  <w:vAlign w:val="center"/>
                </w:tcPr>
                <w:p>
                  <w:pPr>
                    <w:pStyle w:val="14"/>
                    <w:ind w:left="0" w:leftChars="0"/>
                    <w:jc w:val="center"/>
                    <w:rPr>
                      <w:szCs w:val="21"/>
                    </w:rPr>
                  </w:pPr>
                  <w:r>
                    <w:rPr>
                      <w:rFonts w:hint="eastAsia"/>
                      <w:szCs w:val="21"/>
                    </w:rPr>
                    <w:t>车辆交通噪声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05" w:type="dxa"/>
                  <w:vMerge w:val="continue"/>
                  <w:vAlign w:val="center"/>
                </w:tcPr>
                <w:p>
                  <w:pPr>
                    <w:pStyle w:val="14"/>
                    <w:jc w:val="center"/>
                    <w:rPr>
                      <w:szCs w:val="21"/>
                    </w:rPr>
                  </w:pPr>
                </w:p>
              </w:tc>
              <w:tc>
                <w:tcPr>
                  <w:tcW w:w="1207" w:type="dxa"/>
                  <w:gridSpan w:val="2"/>
                  <w:vAlign w:val="center"/>
                </w:tcPr>
                <w:p>
                  <w:pPr>
                    <w:adjustRightInd w:val="0"/>
                    <w:jc w:val="center"/>
                    <w:rPr>
                      <w:szCs w:val="21"/>
                    </w:rPr>
                  </w:pPr>
                  <w:r>
                    <w:rPr>
                      <w:rFonts w:hint="eastAsia"/>
                      <w:szCs w:val="21"/>
                    </w:rPr>
                    <w:t>预留在线监测接口</w:t>
                  </w:r>
                </w:p>
              </w:tc>
              <w:tc>
                <w:tcPr>
                  <w:tcW w:w="4394" w:type="dxa"/>
                  <w:gridSpan w:val="2"/>
                  <w:vAlign w:val="center"/>
                </w:tcPr>
                <w:p>
                  <w:pPr>
                    <w:jc w:val="center"/>
                    <w:rPr>
                      <w:rFonts w:hAnsi="宋体"/>
                      <w:szCs w:val="21"/>
                    </w:rPr>
                  </w:pPr>
                  <w:r>
                    <w:rPr>
                      <w:rFonts w:hint="eastAsia" w:hAnsi="宋体"/>
                      <w:szCs w:val="21"/>
                    </w:rPr>
                    <w:t>污水站</w:t>
                  </w:r>
                  <w:r>
                    <w:rPr>
                      <w:rFonts w:hAnsi="宋体"/>
                      <w:szCs w:val="21"/>
                    </w:rPr>
                    <w:t>进、出口预留COD</w:t>
                  </w:r>
                  <w:r>
                    <w:rPr>
                      <w:rFonts w:hint="eastAsia" w:hAnsi="宋体"/>
                      <w:szCs w:val="21"/>
                      <w:vertAlign w:val="subscript"/>
                    </w:rPr>
                    <w:t>C</w:t>
                  </w:r>
                  <w:r>
                    <w:rPr>
                      <w:rFonts w:hAnsi="宋体"/>
                      <w:szCs w:val="21"/>
                      <w:vertAlign w:val="subscript"/>
                    </w:rPr>
                    <w:t>r</w:t>
                  </w:r>
                  <w:r>
                    <w:rPr>
                      <w:rFonts w:hAnsi="宋体"/>
                      <w:szCs w:val="21"/>
                    </w:rPr>
                    <w:t>和NH</w:t>
                  </w:r>
                  <w:r>
                    <w:rPr>
                      <w:rFonts w:hAnsi="宋体"/>
                      <w:szCs w:val="21"/>
                      <w:vertAlign w:val="subscript"/>
                    </w:rPr>
                    <w:t>3</w:t>
                  </w:r>
                  <w:r>
                    <w:rPr>
                      <w:rFonts w:hAnsi="宋体"/>
                      <w:szCs w:val="21"/>
                    </w:rPr>
                    <w:t>-N在线监测接口</w:t>
                  </w:r>
                </w:p>
              </w:tc>
              <w:tc>
                <w:tcPr>
                  <w:tcW w:w="2095" w:type="dxa"/>
                  <w:vAlign w:val="center"/>
                </w:tcPr>
                <w:p>
                  <w:pPr>
                    <w:pStyle w:val="14"/>
                    <w:ind w:left="0" w:leftChars="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05" w:type="dxa"/>
                  <w:vMerge w:val="continue"/>
                  <w:vAlign w:val="center"/>
                </w:tcPr>
                <w:p>
                  <w:pPr>
                    <w:pStyle w:val="14"/>
                    <w:jc w:val="center"/>
                    <w:rPr>
                      <w:szCs w:val="21"/>
                    </w:rPr>
                  </w:pPr>
                </w:p>
              </w:tc>
              <w:tc>
                <w:tcPr>
                  <w:tcW w:w="1207" w:type="dxa"/>
                  <w:gridSpan w:val="2"/>
                  <w:vAlign w:val="center"/>
                </w:tcPr>
                <w:p>
                  <w:pPr>
                    <w:pStyle w:val="14"/>
                    <w:ind w:left="0" w:leftChars="0"/>
                    <w:jc w:val="center"/>
                    <w:rPr>
                      <w:szCs w:val="21"/>
                    </w:rPr>
                  </w:pPr>
                  <w:r>
                    <w:rPr>
                      <w:rFonts w:hAnsi="宋体"/>
                      <w:szCs w:val="21"/>
                    </w:rPr>
                    <w:t>绿化</w:t>
                  </w:r>
                </w:p>
              </w:tc>
              <w:tc>
                <w:tcPr>
                  <w:tcW w:w="4394" w:type="dxa"/>
                  <w:gridSpan w:val="2"/>
                  <w:vAlign w:val="center"/>
                </w:tcPr>
                <w:p>
                  <w:pPr>
                    <w:pStyle w:val="14"/>
                    <w:ind w:left="0" w:leftChars="0"/>
                    <w:jc w:val="center"/>
                    <w:rPr>
                      <w:szCs w:val="21"/>
                    </w:rPr>
                  </w:pPr>
                  <w:r>
                    <w:rPr>
                      <w:rFonts w:hAnsi="宋体"/>
                      <w:szCs w:val="21"/>
                    </w:rPr>
                    <w:t>绿化面积</w:t>
                  </w:r>
                  <w:r>
                    <w:rPr>
                      <w:rFonts w:hint="eastAsia"/>
                      <w:szCs w:val="21"/>
                    </w:rPr>
                    <w:t>1387.28</w:t>
                  </w:r>
                  <w:r>
                    <w:rPr>
                      <w:szCs w:val="21"/>
                    </w:rPr>
                    <w:t>m</w:t>
                  </w:r>
                  <w:r>
                    <w:rPr>
                      <w:szCs w:val="21"/>
                      <w:vertAlign w:val="superscript"/>
                    </w:rPr>
                    <w:t>2</w:t>
                  </w:r>
                </w:p>
              </w:tc>
              <w:tc>
                <w:tcPr>
                  <w:tcW w:w="2095" w:type="dxa"/>
                  <w:vAlign w:val="center"/>
                </w:tcPr>
                <w:p>
                  <w:pPr>
                    <w:pStyle w:val="14"/>
                    <w:ind w:left="0" w:leftChars="0"/>
                    <w:jc w:val="center"/>
                    <w:rPr>
                      <w:szCs w:val="21"/>
                    </w:rPr>
                  </w:pPr>
                  <w:r>
                    <w:rPr>
                      <w:rFonts w:hint="eastAsia"/>
                      <w:szCs w:val="21"/>
                    </w:rPr>
                    <w:t>分布于道路、广场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05" w:type="dxa"/>
                  <w:vAlign w:val="center"/>
                </w:tcPr>
                <w:p>
                  <w:pPr>
                    <w:pStyle w:val="14"/>
                    <w:ind w:left="0" w:leftChars="0"/>
                    <w:jc w:val="center"/>
                    <w:rPr>
                      <w:szCs w:val="21"/>
                    </w:rPr>
                  </w:pPr>
                  <w:r>
                    <w:rPr>
                      <w:rFonts w:hint="eastAsia"/>
                      <w:szCs w:val="21"/>
                    </w:rPr>
                    <w:t>风险措施</w:t>
                  </w:r>
                </w:p>
              </w:tc>
              <w:tc>
                <w:tcPr>
                  <w:tcW w:w="1207" w:type="dxa"/>
                  <w:gridSpan w:val="2"/>
                  <w:vAlign w:val="center"/>
                </w:tcPr>
                <w:p>
                  <w:pPr>
                    <w:pStyle w:val="14"/>
                    <w:ind w:left="0" w:leftChars="0"/>
                    <w:jc w:val="center"/>
                    <w:rPr>
                      <w:rFonts w:hAnsi="宋体"/>
                      <w:szCs w:val="21"/>
                    </w:rPr>
                  </w:pPr>
                  <w:r>
                    <w:rPr>
                      <w:rFonts w:hint="eastAsia" w:hAnsi="宋体"/>
                      <w:szCs w:val="21"/>
                    </w:rPr>
                    <w:t>事故罐</w:t>
                  </w:r>
                </w:p>
              </w:tc>
              <w:tc>
                <w:tcPr>
                  <w:tcW w:w="4394" w:type="dxa"/>
                  <w:gridSpan w:val="2"/>
                  <w:vAlign w:val="center"/>
                </w:tcPr>
                <w:p>
                  <w:pPr>
                    <w:pStyle w:val="14"/>
                    <w:ind w:left="0" w:leftChars="0"/>
                    <w:jc w:val="center"/>
                    <w:rPr>
                      <w:rFonts w:hAnsi="宋体"/>
                      <w:szCs w:val="21"/>
                    </w:rPr>
                  </w:pPr>
                  <w:r>
                    <w:rPr>
                      <w:rFonts w:hint="eastAsia" w:hAnsi="宋体"/>
                      <w:szCs w:val="21"/>
                    </w:rPr>
                    <w:t>防止</w:t>
                  </w:r>
                  <w:r>
                    <w:rPr>
                      <w:rFonts w:hAnsi="宋体"/>
                      <w:szCs w:val="21"/>
                    </w:rPr>
                    <w:t>污水处理系统出现故障，设置</w:t>
                  </w:r>
                  <w:r>
                    <w:rPr>
                      <w:rFonts w:hint="eastAsia" w:hAnsi="宋体"/>
                      <w:szCs w:val="21"/>
                    </w:rPr>
                    <w:t>25</w:t>
                  </w:r>
                  <w:r>
                    <w:rPr>
                      <w:rFonts w:hAnsi="宋体"/>
                      <w:szCs w:val="21"/>
                    </w:rPr>
                    <w:t>m</w:t>
                  </w:r>
                  <w:r>
                    <w:rPr>
                      <w:rFonts w:hAnsi="宋体"/>
                      <w:szCs w:val="21"/>
                      <w:vertAlign w:val="superscript"/>
                    </w:rPr>
                    <w:t>3</w:t>
                  </w:r>
                  <w:r>
                    <w:rPr>
                      <w:rFonts w:hAnsi="宋体"/>
                      <w:szCs w:val="21"/>
                    </w:rPr>
                    <w:t>事故应急</w:t>
                  </w:r>
                  <w:r>
                    <w:rPr>
                      <w:rFonts w:hint="eastAsia" w:hAnsi="宋体"/>
                      <w:szCs w:val="21"/>
                    </w:rPr>
                    <w:t>罐</w:t>
                  </w:r>
                  <w:r>
                    <w:rPr>
                      <w:rFonts w:hAnsi="宋体"/>
                      <w:szCs w:val="21"/>
                    </w:rPr>
                    <w:t>，收集产生污水，待污水处理系统维修好进行处理，如处理系统出现</w:t>
                  </w:r>
                  <w:r>
                    <w:rPr>
                      <w:rFonts w:hint="eastAsia" w:hAnsi="宋体"/>
                      <w:szCs w:val="21"/>
                    </w:rPr>
                    <w:t>故障</w:t>
                  </w:r>
                  <w:r>
                    <w:rPr>
                      <w:rFonts w:hAnsi="宋体"/>
                      <w:szCs w:val="21"/>
                    </w:rPr>
                    <w:t>维修时间过长，应急事故池容纳不下产生的污水，将拉运至附近</w:t>
                  </w:r>
                  <w:r>
                    <w:rPr>
                      <w:rFonts w:hint="eastAsia" w:hAnsi="宋体"/>
                      <w:szCs w:val="21"/>
                    </w:rPr>
                    <w:t>乡镇</w:t>
                  </w:r>
                  <w:r>
                    <w:rPr>
                      <w:rFonts w:hAnsi="宋体"/>
                      <w:szCs w:val="21"/>
                    </w:rPr>
                    <w:t>污水处理厂进行处理。</w:t>
                  </w:r>
                </w:p>
              </w:tc>
              <w:tc>
                <w:tcPr>
                  <w:tcW w:w="2095" w:type="dxa"/>
                  <w:vAlign w:val="center"/>
                </w:tcPr>
                <w:p>
                  <w:pPr>
                    <w:pStyle w:val="14"/>
                    <w:ind w:left="0" w:leftChars="0"/>
                    <w:jc w:val="center"/>
                    <w:rPr>
                      <w:szCs w:val="21"/>
                    </w:rPr>
                  </w:pPr>
                  <w:r>
                    <w:rPr>
                      <w:rFonts w:hint="eastAsia"/>
                      <w:szCs w:val="21"/>
                    </w:rPr>
                    <w:t>停留时间以6小时计算</w:t>
                  </w:r>
                </w:p>
              </w:tc>
            </w:tr>
          </w:tbl>
          <w:p>
            <w:pPr>
              <w:autoSpaceDE w:val="0"/>
              <w:autoSpaceDN w:val="0"/>
              <w:adjustRightInd w:val="0"/>
              <w:spacing w:line="360" w:lineRule="auto"/>
              <w:ind w:firstLine="422" w:firstLineChars="200"/>
              <w:jc w:val="center"/>
              <w:rPr>
                <w:b/>
                <w:bCs/>
                <w:szCs w:val="21"/>
              </w:rPr>
            </w:pPr>
            <w:r>
              <w:rPr>
                <w:rFonts w:hint="eastAsia"/>
                <w:b/>
                <w:bCs/>
                <w:szCs w:val="21"/>
              </w:rPr>
              <w:t>表2  项目总工程量一览表</w:t>
            </w:r>
          </w:p>
          <w:tbl>
            <w:tblPr>
              <w:tblStyle w:val="36"/>
              <w:tblW w:w="8901"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09"/>
              <w:gridCol w:w="2410"/>
              <w:gridCol w:w="1561"/>
              <w:gridCol w:w="1134"/>
              <w:gridCol w:w="308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
                      <w:bCs/>
                      <w:szCs w:val="21"/>
                    </w:rPr>
                  </w:pPr>
                  <w:r>
                    <w:rPr>
                      <w:rFonts w:hint="eastAsia"/>
                      <w:b/>
                      <w:bCs/>
                      <w:szCs w:val="21"/>
                    </w:rPr>
                    <w:t>序号</w:t>
                  </w:r>
                </w:p>
              </w:tc>
              <w:tc>
                <w:tcPr>
                  <w:tcW w:w="2410" w:type="dxa"/>
                  <w:vAlign w:val="center"/>
                </w:tcPr>
                <w:p>
                  <w:pPr>
                    <w:autoSpaceDE w:val="0"/>
                    <w:autoSpaceDN w:val="0"/>
                    <w:adjustRightInd w:val="0"/>
                    <w:jc w:val="center"/>
                    <w:rPr>
                      <w:b/>
                      <w:bCs/>
                      <w:szCs w:val="21"/>
                    </w:rPr>
                  </w:pPr>
                  <w:r>
                    <w:rPr>
                      <w:rFonts w:hint="eastAsia"/>
                      <w:b/>
                      <w:bCs/>
                      <w:szCs w:val="21"/>
                    </w:rPr>
                    <w:t>项目</w:t>
                  </w:r>
                </w:p>
              </w:tc>
              <w:tc>
                <w:tcPr>
                  <w:tcW w:w="1561" w:type="dxa"/>
                  <w:vAlign w:val="center"/>
                </w:tcPr>
                <w:p>
                  <w:pPr>
                    <w:autoSpaceDE w:val="0"/>
                    <w:autoSpaceDN w:val="0"/>
                    <w:adjustRightInd w:val="0"/>
                    <w:jc w:val="center"/>
                    <w:rPr>
                      <w:b/>
                      <w:bCs/>
                      <w:szCs w:val="21"/>
                    </w:rPr>
                  </w:pPr>
                  <w:r>
                    <w:rPr>
                      <w:rFonts w:hint="eastAsia"/>
                      <w:b/>
                      <w:bCs/>
                      <w:szCs w:val="21"/>
                    </w:rPr>
                    <w:t>数量</w:t>
                  </w:r>
                </w:p>
              </w:tc>
              <w:tc>
                <w:tcPr>
                  <w:tcW w:w="1134" w:type="dxa"/>
                  <w:vAlign w:val="center"/>
                </w:tcPr>
                <w:p>
                  <w:pPr>
                    <w:autoSpaceDE w:val="0"/>
                    <w:autoSpaceDN w:val="0"/>
                    <w:adjustRightInd w:val="0"/>
                    <w:jc w:val="center"/>
                    <w:rPr>
                      <w:b/>
                      <w:bCs/>
                      <w:szCs w:val="21"/>
                    </w:rPr>
                  </w:pPr>
                  <w:r>
                    <w:rPr>
                      <w:rFonts w:hint="eastAsia"/>
                      <w:b/>
                      <w:bCs/>
                      <w:szCs w:val="21"/>
                    </w:rPr>
                    <w:t>单位</w:t>
                  </w:r>
                </w:p>
              </w:tc>
              <w:tc>
                <w:tcPr>
                  <w:tcW w:w="3087" w:type="dxa"/>
                  <w:vAlign w:val="center"/>
                </w:tcPr>
                <w:p>
                  <w:pPr>
                    <w:autoSpaceDE w:val="0"/>
                    <w:autoSpaceDN w:val="0"/>
                    <w:adjustRightInd w:val="0"/>
                    <w:jc w:val="center"/>
                    <w:rPr>
                      <w:b/>
                      <w:bCs/>
                      <w:szCs w:val="21"/>
                    </w:rPr>
                  </w:pPr>
                  <w:r>
                    <w:rPr>
                      <w:rFonts w:hint="eastAsia"/>
                      <w:b/>
                      <w:bCs/>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8901" w:type="dxa"/>
                  <w:gridSpan w:val="5"/>
                  <w:vAlign w:val="center"/>
                </w:tcPr>
                <w:p>
                  <w:pPr>
                    <w:autoSpaceDE w:val="0"/>
                    <w:autoSpaceDN w:val="0"/>
                    <w:adjustRightInd w:val="0"/>
                    <w:jc w:val="center"/>
                    <w:rPr>
                      <w:b/>
                      <w:bCs/>
                      <w:szCs w:val="21"/>
                    </w:rPr>
                  </w:pPr>
                  <w:r>
                    <w:rPr>
                      <w:rFonts w:hint="eastAsia"/>
                      <w:b/>
                      <w:bCs/>
                      <w:szCs w:val="21"/>
                    </w:rPr>
                    <w:t>一、道路工程</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1.1</w:t>
                  </w:r>
                </w:p>
              </w:tc>
              <w:tc>
                <w:tcPr>
                  <w:tcW w:w="2410" w:type="dxa"/>
                  <w:vAlign w:val="center"/>
                </w:tcPr>
                <w:p>
                  <w:pPr>
                    <w:autoSpaceDE w:val="0"/>
                    <w:autoSpaceDN w:val="0"/>
                    <w:adjustRightInd w:val="0"/>
                    <w:jc w:val="center"/>
                    <w:rPr>
                      <w:bCs/>
                      <w:szCs w:val="21"/>
                    </w:rPr>
                  </w:pPr>
                  <w:r>
                    <w:rPr>
                      <w:rFonts w:hint="eastAsia"/>
                      <w:bCs/>
                      <w:szCs w:val="21"/>
                    </w:rPr>
                    <w:t>透水砖铺装</w:t>
                  </w:r>
                </w:p>
              </w:tc>
              <w:tc>
                <w:tcPr>
                  <w:tcW w:w="1561" w:type="dxa"/>
                  <w:vAlign w:val="center"/>
                </w:tcPr>
                <w:p>
                  <w:pPr>
                    <w:autoSpaceDE w:val="0"/>
                    <w:autoSpaceDN w:val="0"/>
                    <w:adjustRightInd w:val="0"/>
                    <w:jc w:val="center"/>
                    <w:rPr>
                      <w:bCs/>
                      <w:szCs w:val="21"/>
                    </w:rPr>
                  </w:pPr>
                  <w:r>
                    <w:rPr>
                      <w:rFonts w:hint="eastAsia"/>
                      <w:bCs/>
                      <w:szCs w:val="21"/>
                    </w:rPr>
                    <w:t>2094.84</w:t>
                  </w:r>
                </w:p>
              </w:tc>
              <w:tc>
                <w:tcPr>
                  <w:tcW w:w="1134" w:type="dxa"/>
                  <w:vAlign w:val="center"/>
                </w:tcPr>
                <w:p>
                  <w:pPr>
                    <w:autoSpaceDE w:val="0"/>
                    <w:autoSpaceDN w:val="0"/>
                    <w:adjustRightInd w:val="0"/>
                    <w:jc w:val="center"/>
                    <w:rPr>
                      <w:bCs/>
                      <w:szCs w:val="21"/>
                    </w:rPr>
                  </w:pPr>
                  <w:r>
                    <w:rPr>
                      <w:rFonts w:hint="eastAsia" w:hAnsi="宋体"/>
                      <w:szCs w:val="21"/>
                    </w:rPr>
                    <w:t>m</w:t>
                  </w:r>
                  <w:r>
                    <w:rPr>
                      <w:rFonts w:hint="eastAsia" w:hAnsi="宋体"/>
                      <w:szCs w:val="21"/>
                      <w:vertAlign w:val="superscript"/>
                    </w:rPr>
                    <w:t>2</w:t>
                  </w:r>
                </w:p>
              </w:tc>
              <w:tc>
                <w:tcPr>
                  <w:tcW w:w="3087" w:type="dxa"/>
                  <w:vAlign w:val="center"/>
                </w:tcPr>
                <w:p>
                  <w:pPr>
                    <w:autoSpaceDE w:val="0"/>
                    <w:autoSpaceDN w:val="0"/>
                    <w:adjustRightInd w:val="0"/>
                    <w:jc w:val="center"/>
                    <w:rPr>
                      <w:bCs/>
                      <w:szCs w:val="21"/>
                    </w:rPr>
                  </w:pPr>
                  <w:r>
                    <w:rPr>
                      <w:rFonts w:hint="eastAsia"/>
                      <w:bCs/>
                      <w:szCs w:val="21"/>
                    </w:rPr>
                    <w:t>规格200mm×400mm×60mm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1.2</w:t>
                  </w:r>
                </w:p>
              </w:tc>
              <w:tc>
                <w:tcPr>
                  <w:tcW w:w="2410" w:type="dxa"/>
                  <w:vAlign w:val="center"/>
                </w:tcPr>
                <w:p>
                  <w:pPr>
                    <w:autoSpaceDE w:val="0"/>
                    <w:autoSpaceDN w:val="0"/>
                    <w:adjustRightInd w:val="0"/>
                    <w:jc w:val="center"/>
                    <w:rPr>
                      <w:bCs/>
                      <w:szCs w:val="21"/>
                    </w:rPr>
                  </w:pPr>
                  <w:r>
                    <w:rPr>
                      <w:rFonts w:hint="eastAsia"/>
                      <w:bCs/>
                      <w:szCs w:val="21"/>
                    </w:rPr>
                    <w:t>沥青混凝土道路</w:t>
                  </w:r>
                </w:p>
              </w:tc>
              <w:tc>
                <w:tcPr>
                  <w:tcW w:w="1561" w:type="dxa"/>
                  <w:vAlign w:val="center"/>
                </w:tcPr>
                <w:p>
                  <w:pPr>
                    <w:autoSpaceDE w:val="0"/>
                    <w:autoSpaceDN w:val="0"/>
                    <w:adjustRightInd w:val="0"/>
                    <w:jc w:val="center"/>
                    <w:rPr>
                      <w:bCs/>
                      <w:szCs w:val="21"/>
                    </w:rPr>
                  </w:pPr>
                  <w:r>
                    <w:rPr>
                      <w:rFonts w:hint="eastAsia"/>
                      <w:bCs/>
                      <w:szCs w:val="21"/>
                    </w:rPr>
                    <w:t>2292.49</w:t>
                  </w:r>
                </w:p>
              </w:tc>
              <w:tc>
                <w:tcPr>
                  <w:tcW w:w="1134" w:type="dxa"/>
                  <w:vAlign w:val="center"/>
                </w:tcPr>
                <w:p>
                  <w:pPr>
                    <w:autoSpaceDE w:val="0"/>
                    <w:autoSpaceDN w:val="0"/>
                    <w:adjustRightInd w:val="0"/>
                    <w:jc w:val="center"/>
                    <w:rPr>
                      <w:bCs/>
                      <w:szCs w:val="21"/>
                    </w:rPr>
                  </w:pPr>
                  <w:r>
                    <w:rPr>
                      <w:rFonts w:hint="eastAsia" w:hAnsi="宋体"/>
                      <w:szCs w:val="21"/>
                    </w:rPr>
                    <w:t>m</w:t>
                  </w:r>
                  <w:r>
                    <w:rPr>
                      <w:rFonts w:hint="eastAsia" w:hAnsi="宋体"/>
                      <w:szCs w:val="21"/>
                      <w:vertAlign w:val="superscript"/>
                    </w:rPr>
                    <w:t>2</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1.3</w:t>
                  </w:r>
                </w:p>
              </w:tc>
              <w:tc>
                <w:tcPr>
                  <w:tcW w:w="2410" w:type="dxa"/>
                  <w:vAlign w:val="center"/>
                </w:tcPr>
                <w:p>
                  <w:pPr>
                    <w:autoSpaceDE w:val="0"/>
                    <w:autoSpaceDN w:val="0"/>
                    <w:adjustRightInd w:val="0"/>
                    <w:jc w:val="center"/>
                    <w:rPr>
                      <w:bCs/>
                      <w:szCs w:val="21"/>
                    </w:rPr>
                  </w:pPr>
                  <w:r>
                    <w:rPr>
                      <w:rFonts w:hint="eastAsia"/>
                      <w:bCs/>
                      <w:szCs w:val="21"/>
                    </w:rPr>
                    <w:t>混凝土立缘石</w:t>
                  </w:r>
                </w:p>
              </w:tc>
              <w:tc>
                <w:tcPr>
                  <w:tcW w:w="1561" w:type="dxa"/>
                  <w:vAlign w:val="center"/>
                </w:tcPr>
                <w:p>
                  <w:pPr>
                    <w:autoSpaceDE w:val="0"/>
                    <w:autoSpaceDN w:val="0"/>
                    <w:adjustRightInd w:val="0"/>
                    <w:jc w:val="center"/>
                    <w:rPr>
                      <w:bCs/>
                      <w:szCs w:val="21"/>
                    </w:rPr>
                  </w:pPr>
                  <w:r>
                    <w:rPr>
                      <w:rFonts w:hint="eastAsia"/>
                      <w:bCs/>
                      <w:szCs w:val="21"/>
                    </w:rPr>
                    <w:t>4749</w:t>
                  </w:r>
                </w:p>
              </w:tc>
              <w:tc>
                <w:tcPr>
                  <w:tcW w:w="1134" w:type="dxa"/>
                  <w:vAlign w:val="center"/>
                </w:tcPr>
                <w:p>
                  <w:pPr>
                    <w:autoSpaceDE w:val="0"/>
                    <w:autoSpaceDN w:val="0"/>
                    <w:adjustRightInd w:val="0"/>
                    <w:jc w:val="center"/>
                    <w:rPr>
                      <w:bCs/>
                      <w:szCs w:val="21"/>
                    </w:rPr>
                  </w:pPr>
                  <w:r>
                    <w:rPr>
                      <w:rFonts w:hint="eastAsia" w:hAnsi="宋体"/>
                      <w:szCs w:val="21"/>
                    </w:rPr>
                    <w:t>m</w:t>
                  </w:r>
                  <w:r>
                    <w:rPr>
                      <w:rFonts w:hint="eastAsia" w:hAnsi="宋体"/>
                      <w:szCs w:val="21"/>
                      <w:vertAlign w:val="superscript"/>
                    </w:rPr>
                    <w:t>2</w:t>
                  </w:r>
                </w:p>
              </w:tc>
              <w:tc>
                <w:tcPr>
                  <w:tcW w:w="3087" w:type="dxa"/>
                  <w:vAlign w:val="center"/>
                </w:tcPr>
                <w:p>
                  <w:pPr>
                    <w:autoSpaceDE w:val="0"/>
                    <w:autoSpaceDN w:val="0"/>
                    <w:adjustRightInd w:val="0"/>
                    <w:jc w:val="center"/>
                    <w:rPr>
                      <w:bCs/>
                      <w:szCs w:val="21"/>
                    </w:rPr>
                  </w:pPr>
                  <w:r>
                    <w:rPr>
                      <w:rFonts w:hint="eastAsia" w:hAnsi="宋体"/>
                      <w:szCs w:val="21"/>
                    </w:rPr>
                    <w:t>100 mm×300 mm×495 mm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1.4</w:t>
                  </w:r>
                </w:p>
              </w:tc>
              <w:tc>
                <w:tcPr>
                  <w:tcW w:w="2410" w:type="dxa"/>
                  <w:vAlign w:val="center"/>
                </w:tcPr>
                <w:p>
                  <w:pPr>
                    <w:autoSpaceDE w:val="0"/>
                    <w:autoSpaceDN w:val="0"/>
                    <w:adjustRightInd w:val="0"/>
                    <w:jc w:val="center"/>
                    <w:rPr>
                      <w:bCs/>
                      <w:szCs w:val="21"/>
                    </w:rPr>
                  </w:pPr>
                  <w:r>
                    <w:rPr>
                      <w:rFonts w:hint="eastAsia"/>
                      <w:bCs/>
                      <w:szCs w:val="21"/>
                    </w:rPr>
                    <w:t>小冬青</w:t>
                  </w:r>
                </w:p>
              </w:tc>
              <w:tc>
                <w:tcPr>
                  <w:tcW w:w="1561" w:type="dxa"/>
                  <w:vAlign w:val="center"/>
                </w:tcPr>
                <w:p>
                  <w:pPr>
                    <w:autoSpaceDE w:val="0"/>
                    <w:autoSpaceDN w:val="0"/>
                    <w:adjustRightInd w:val="0"/>
                    <w:jc w:val="center"/>
                    <w:rPr>
                      <w:bCs/>
                      <w:szCs w:val="21"/>
                    </w:rPr>
                  </w:pPr>
                  <w:r>
                    <w:rPr>
                      <w:rFonts w:hint="eastAsia" w:hAnsi="宋体"/>
                      <w:szCs w:val="21"/>
                    </w:rPr>
                    <w:t>998.04</w:t>
                  </w:r>
                </w:p>
              </w:tc>
              <w:tc>
                <w:tcPr>
                  <w:tcW w:w="1134" w:type="dxa"/>
                  <w:vAlign w:val="center"/>
                </w:tcPr>
                <w:p>
                  <w:pPr>
                    <w:autoSpaceDE w:val="0"/>
                    <w:autoSpaceDN w:val="0"/>
                    <w:adjustRightInd w:val="0"/>
                    <w:jc w:val="center"/>
                    <w:rPr>
                      <w:bCs/>
                      <w:szCs w:val="21"/>
                    </w:rPr>
                  </w:pPr>
                  <w:r>
                    <w:rPr>
                      <w:rFonts w:hint="eastAsia" w:hAnsi="宋体"/>
                      <w:szCs w:val="21"/>
                    </w:rPr>
                    <w:t>m</w:t>
                  </w:r>
                  <w:r>
                    <w:rPr>
                      <w:rFonts w:hint="eastAsia" w:hAnsi="宋体"/>
                      <w:szCs w:val="21"/>
                      <w:vertAlign w:val="superscript"/>
                    </w:rPr>
                    <w:t>2</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1.5</w:t>
                  </w:r>
                </w:p>
              </w:tc>
              <w:tc>
                <w:tcPr>
                  <w:tcW w:w="2410" w:type="dxa"/>
                  <w:vAlign w:val="center"/>
                </w:tcPr>
                <w:p>
                  <w:pPr>
                    <w:autoSpaceDE w:val="0"/>
                    <w:autoSpaceDN w:val="0"/>
                    <w:adjustRightInd w:val="0"/>
                    <w:jc w:val="center"/>
                    <w:rPr>
                      <w:bCs/>
                      <w:szCs w:val="21"/>
                    </w:rPr>
                  </w:pPr>
                  <w:r>
                    <w:rPr>
                      <w:rFonts w:hint="eastAsia"/>
                      <w:bCs/>
                      <w:szCs w:val="21"/>
                    </w:rPr>
                    <w:t>大冬青</w:t>
                  </w:r>
                </w:p>
              </w:tc>
              <w:tc>
                <w:tcPr>
                  <w:tcW w:w="1561" w:type="dxa"/>
                  <w:vAlign w:val="center"/>
                </w:tcPr>
                <w:p>
                  <w:pPr>
                    <w:autoSpaceDE w:val="0"/>
                    <w:autoSpaceDN w:val="0"/>
                    <w:adjustRightInd w:val="0"/>
                    <w:jc w:val="center"/>
                    <w:rPr>
                      <w:bCs/>
                      <w:szCs w:val="21"/>
                    </w:rPr>
                  </w:pPr>
                  <w:r>
                    <w:rPr>
                      <w:rFonts w:hint="eastAsia"/>
                      <w:bCs/>
                      <w:szCs w:val="21"/>
                    </w:rPr>
                    <w:t>130</w:t>
                  </w:r>
                </w:p>
              </w:tc>
              <w:tc>
                <w:tcPr>
                  <w:tcW w:w="1134" w:type="dxa"/>
                  <w:vAlign w:val="center"/>
                </w:tcPr>
                <w:p>
                  <w:pPr>
                    <w:autoSpaceDE w:val="0"/>
                    <w:autoSpaceDN w:val="0"/>
                    <w:adjustRightInd w:val="0"/>
                    <w:jc w:val="center"/>
                    <w:rPr>
                      <w:bCs/>
                      <w:szCs w:val="21"/>
                    </w:rPr>
                  </w:pPr>
                  <w:r>
                    <w:rPr>
                      <w:rFonts w:hint="eastAsia" w:hAnsi="宋体"/>
                      <w:szCs w:val="21"/>
                    </w:rPr>
                    <w:t>棵</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1.6</w:t>
                  </w:r>
                </w:p>
              </w:tc>
              <w:tc>
                <w:tcPr>
                  <w:tcW w:w="2410" w:type="dxa"/>
                  <w:vAlign w:val="center"/>
                </w:tcPr>
                <w:p>
                  <w:pPr>
                    <w:autoSpaceDE w:val="0"/>
                    <w:autoSpaceDN w:val="0"/>
                    <w:adjustRightInd w:val="0"/>
                    <w:jc w:val="center"/>
                    <w:rPr>
                      <w:bCs/>
                      <w:szCs w:val="21"/>
                    </w:rPr>
                  </w:pPr>
                  <w:r>
                    <w:rPr>
                      <w:rFonts w:hint="eastAsia"/>
                      <w:bCs/>
                      <w:szCs w:val="21"/>
                    </w:rPr>
                    <w:t>美国红枫</w:t>
                  </w:r>
                </w:p>
              </w:tc>
              <w:tc>
                <w:tcPr>
                  <w:tcW w:w="1561" w:type="dxa"/>
                  <w:vAlign w:val="center"/>
                </w:tcPr>
                <w:p>
                  <w:pPr>
                    <w:autoSpaceDE w:val="0"/>
                    <w:autoSpaceDN w:val="0"/>
                    <w:adjustRightInd w:val="0"/>
                    <w:jc w:val="center"/>
                    <w:rPr>
                      <w:bCs/>
                      <w:szCs w:val="21"/>
                    </w:rPr>
                  </w:pPr>
                  <w:r>
                    <w:rPr>
                      <w:rFonts w:hint="eastAsia"/>
                      <w:bCs/>
                      <w:szCs w:val="21"/>
                    </w:rPr>
                    <w:t>54</w:t>
                  </w:r>
                </w:p>
              </w:tc>
              <w:tc>
                <w:tcPr>
                  <w:tcW w:w="1134" w:type="dxa"/>
                  <w:vAlign w:val="center"/>
                </w:tcPr>
                <w:p>
                  <w:pPr>
                    <w:autoSpaceDE w:val="0"/>
                    <w:autoSpaceDN w:val="0"/>
                    <w:adjustRightInd w:val="0"/>
                    <w:jc w:val="center"/>
                    <w:rPr>
                      <w:bCs/>
                      <w:szCs w:val="21"/>
                    </w:rPr>
                  </w:pPr>
                  <w:r>
                    <w:rPr>
                      <w:rFonts w:hint="eastAsia" w:hAnsi="宋体"/>
                      <w:szCs w:val="21"/>
                    </w:rPr>
                    <w:t>棵</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8901" w:type="dxa"/>
                  <w:gridSpan w:val="5"/>
                  <w:vAlign w:val="center"/>
                </w:tcPr>
                <w:p>
                  <w:pPr>
                    <w:autoSpaceDE w:val="0"/>
                    <w:autoSpaceDN w:val="0"/>
                    <w:adjustRightInd w:val="0"/>
                    <w:jc w:val="center"/>
                    <w:rPr>
                      <w:b/>
                      <w:bCs/>
                      <w:szCs w:val="21"/>
                    </w:rPr>
                  </w:pPr>
                  <w:r>
                    <w:rPr>
                      <w:rFonts w:hint="eastAsia"/>
                      <w:b/>
                      <w:bCs/>
                      <w:szCs w:val="21"/>
                    </w:rPr>
                    <w:t>二、广场工程</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 xml:space="preserve">2.1 </w:t>
                  </w:r>
                </w:p>
              </w:tc>
              <w:tc>
                <w:tcPr>
                  <w:tcW w:w="2410" w:type="dxa"/>
                  <w:vAlign w:val="center"/>
                </w:tcPr>
                <w:p>
                  <w:pPr>
                    <w:autoSpaceDE w:val="0"/>
                    <w:autoSpaceDN w:val="0"/>
                    <w:adjustRightInd w:val="0"/>
                    <w:jc w:val="center"/>
                    <w:rPr>
                      <w:bCs/>
                      <w:szCs w:val="21"/>
                    </w:rPr>
                  </w:pPr>
                  <w:r>
                    <w:rPr>
                      <w:rFonts w:hint="eastAsia"/>
                      <w:bCs/>
                      <w:szCs w:val="21"/>
                    </w:rPr>
                    <w:t>透水砖铺装</w:t>
                  </w:r>
                </w:p>
              </w:tc>
              <w:tc>
                <w:tcPr>
                  <w:tcW w:w="1561" w:type="dxa"/>
                  <w:vAlign w:val="center"/>
                </w:tcPr>
                <w:p>
                  <w:pPr>
                    <w:autoSpaceDE w:val="0"/>
                    <w:autoSpaceDN w:val="0"/>
                    <w:adjustRightInd w:val="0"/>
                    <w:jc w:val="center"/>
                    <w:rPr>
                      <w:bCs/>
                      <w:szCs w:val="21"/>
                    </w:rPr>
                  </w:pPr>
                  <w:r>
                    <w:rPr>
                      <w:rFonts w:hint="eastAsia" w:hAnsi="宋体"/>
                      <w:szCs w:val="21"/>
                    </w:rPr>
                    <w:t>375.16</w:t>
                  </w:r>
                </w:p>
              </w:tc>
              <w:tc>
                <w:tcPr>
                  <w:tcW w:w="1134" w:type="dxa"/>
                  <w:vAlign w:val="center"/>
                </w:tcPr>
                <w:p>
                  <w:pPr>
                    <w:autoSpaceDE w:val="0"/>
                    <w:autoSpaceDN w:val="0"/>
                    <w:adjustRightInd w:val="0"/>
                    <w:jc w:val="center"/>
                    <w:rPr>
                      <w:rFonts w:hAnsi="宋体"/>
                      <w:szCs w:val="21"/>
                    </w:rPr>
                  </w:pPr>
                  <w:r>
                    <w:rPr>
                      <w:rFonts w:hint="eastAsia" w:hAnsi="宋体"/>
                      <w:szCs w:val="21"/>
                    </w:rPr>
                    <w:t>m</w:t>
                  </w:r>
                  <w:r>
                    <w:rPr>
                      <w:rFonts w:hint="eastAsia" w:hAnsi="宋体"/>
                      <w:szCs w:val="21"/>
                      <w:vertAlign w:val="superscript"/>
                    </w:rPr>
                    <w:t>2</w:t>
                  </w:r>
                </w:p>
              </w:tc>
              <w:tc>
                <w:tcPr>
                  <w:tcW w:w="3087" w:type="dxa"/>
                  <w:vAlign w:val="center"/>
                </w:tcPr>
                <w:p>
                  <w:pPr>
                    <w:autoSpaceDE w:val="0"/>
                    <w:autoSpaceDN w:val="0"/>
                    <w:adjustRightInd w:val="0"/>
                    <w:jc w:val="center"/>
                    <w:rPr>
                      <w:bCs/>
                      <w:szCs w:val="21"/>
                    </w:rPr>
                  </w:pPr>
                  <w:r>
                    <w:rPr>
                      <w:rFonts w:hint="eastAsia"/>
                      <w:bCs/>
                      <w:szCs w:val="21"/>
                    </w:rPr>
                    <w:t>规格</w:t>
                  </w:r>
                  <w:r>
                    <w:rPr>
                      <w:rFonts w:hint="eastAsia" w:hAnsi="宋体"/>
                      <w:szCs w:val="21"/>
                    </w:rPr>
                    <w:t>200 mm×400 mm×60 mm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2.2</w:t>
                  </w:r>
                </w:p>
              </w:tc>
              <w:tc>
                <w:tcPr>
                  <w:tcW w:w="2410" w:type="dxa"/>
                  <w:vAlign w:val="center"/>
                </w:tcPr>
                <w:p>
                  <w:pPr>
                    <w:autoSpaceDE w:val="0"/>
                    <w:autoSpaceDN w:val="0"/>
                    <w:adjustRightInd w:val="0"/>
                    <w:jc w:val="center"/>
                    <w:rPr>
                      <w:bCs/>
                      <w:szCs w:val="21"/>
                    </w:rPr>
                  </w:pPr>
                  <w:r>
                    <w:rPr>
                      <w:rFonts w:hint="eastAsia" w:hAnsi="宋体"/>
                      <w:szCs w:val="21"/>
                    </w:rPr>
                    <w:t>树池</w:t>
                  </w:r>
                </w:p>
              </w:tc>
              <w:tc>
                <w:tcPr>
                  <w:tcW w:w="1561" w:type="dxa"/>
                  <w:vAlign w:val="center"/>
                </w:tcPr>
                <w:p>
                  <w:pPr>
                    <w:autoSpaceDE w:val="0"/>
                    <w:autoSpaceDN w:val="0"/>
                    <w:adjustRightInd w:val="0"/>
                    <w:jc w:val="center"/>
                    <w:rPr>
                      <w:bCs/>
                      <w:szCs w:val="21"/>
                    </w:rPr>
                  </w:pPr>
                  <w:r>
                    <w:rPr>
                      <w:rFonts w:hint="eastAsia"/>
                      <w:bCs/>
                      <w:szCs w:val="21"/>
                    </w:rPr>
                    <w:t>4</w:t>
                  </w:r>
                </w:p>
              </w:tc>
              <w:tc>
                <w:tcPr>
                  <w:tcW w:w="1134" w:type="dxa"/>
                  <w:vAlign w:val="center"/>
                </w:tcPr>
                <w:p>
                  <w:pPr>
                    <w:autoSpaceDE w:val="0"/>
                    <w:autoSpaceDN w:val="0"/>
                    <w:adjustRightInd w:val="0"/>
                    <w:jc w:val="center"/>
                    <w:rPr>
                      <w:rFonts w:hAnsi="宋体"/>
                      <w:szCs w:val="21"/>
                    </w:rPr>
                  </w:pPr>
                  <w:r>
                    <w:rPr>
                      <w:rFonts w:hint="eastAsia" w:hAnsi="宋体"/>
                      <w:szCs w:val="21"/>
                    </w:rPr>
                    <w:t>个</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2.3</w:t>
                  </w:r>
                </w:p>
              </w:tc>
              <w:tc>
                <w:tcPr>
                  <w:tcW w:w="2410" w:type="dxa"/>
                  <w:vAlign w:val="center"/>
                </w:tcPr>
                <w:p>
                  <w:pPr>
                    <w:autoSpaceDE w:val="0"/>
                    <w:autoSpaceDN w:val="0"/>
                    <w:adjustRightInd w:val="0"/>
                    <w:jc w:val="center"/>
                    <w:rPr>
                      <w:bCs/>
                      <w:szCs w:val="21"/>
                    </w:rPr>
                  </w:pPr>
                  <w:r>
                    <w:rPr>
                      <w:rFonts w:hint="eastAsia" w:hAnsi="宋体"/>
                      <w:szCs w:val="21"/>
                    </w:rPr>
                    <w:t>雕塑</w:t>
                  </w:r>
                </w:p>
              </w:tc>
              <w:tc>
                <w:tcPr>
                  <w:tcW w:w="1561" w:type="dxa"/>
                  <w:vAlign w:val="center"/>
                </w:tcPr>
                <w:p>
                  <w:pPr>
                    <w:autoSpaceDE w:val="0"/>
                    <w:autoSpaceDN w:val="0"/>
                    <w:adjustRightInd w:val="0"/>
                    <w:jc w:val="center"/>
                    <w:rPr>
                      <w:bCs/>
                      <w:szCs w:val="21"/>
                    </w:rPr>
                  </w:pPr>
                  <w:r>
                    <w:rPr>
                      <w:rFonts w:hint="eastAsia"/>
                      <w:bCs/>
                      <w:szCs w:val="21"/>
                    </w:rPr>
                    <w:t>1</w:t>
                  </w:r>
                </w:p>
              </w:tc>
              <w:tc>
                <w:tcPr>
                  <w:tcW w:w="1134" w:type="dxa"/>
                  <w:vAlign w:val="center"/>
                </w:tcPr>
                <w:p>
                  <w:pPr>
                    <w:autoSpaceDE w:val="0"/>
                    <w:autoSpaceDN w:val="0"/>
                    <w:adjustRightInd w:val="0"/>
                    <w:jc w:val="center"/>
                    <w:rPr>
                      <w:rFonts w:hAnsi="宋体"/>
                      <w:szCs w:val="21"/>
                    </w:rPr>
                  </w:pPr>
                  <w:r>
                    <w:rPr>
                      <w:rFonts w:hint="eastAsia" w:hAnsi="宋体"/>
                      <w:szCs w:val="21"/>
                    </w:rPr>
                    <w:t>个</w:t>
                  </w:r>
                </w:p>
              </w:tc>
              <w:tc>
                <w:tcPr>
                  <w:tcW w:w="3087" w:type="dxa"/>
                  <w:vAlign w:val="center"/>
                </w:tcPr>
                <w:p>
                  <w:pPr>
                    <w:autoSpaceDE w:val="0"/>
                    <w:autoSpaceDN w:val="0"/>
                    <w:adjustRightInd w:val="0"/>
                    <w:jc w:val="center"/>
                    <w:rPr>
                      <w:bCs/>
                      <w:szCs w:val="21"/>
                    </w:rPr>
                  </w:pPr>
                  <w:r>
                    <w:rPr>
                      <w:rFonts w:hint="eastAsia" w:hAnsi="宋体"/>
                      <w:szCs w:val="21"/>
                    </w:rPr>
                    <w:t>红色火炬造型</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2.4</w:t>
                  </w:r>
                </w:p>
              </w:tc>
              <w:tc>
                <w:tcPr>
                  <w:tcW w:w="2410" w:type="dxa"/>
                  <w:vAlign w:val="center"/>
                </w:tcPr>
                <w:p>
                  <w:pPr>
                    <w:autoSpaceDE w:val="0"/>
                    <w:autoSpaceDN w:val="0"/>
                    <w:adjustRightInd w:val="0"/>
                    <w:jc w:val="center"/>
                    <w:rPr>
                      <w:bCs/>
                      <w:szCs w:val="21"/>
                    </w:rPr>
                  </w:pPr>
                  <w:r>
                    <w:rPr>
                      <w:rFonts w:hint="eastAsia" w:hAnsi="宋体"/>
                      <w:szCs w:val="21"/>
                    </w:rPr>
                    <w:t>木质长廊</w:t>
                  </w:r>
                </w:p>
              </w:tc>
              <w:tc>
                <w:tcPr>
                  <w:tcW w:w="1561" w:type="dxa"/>
                  <w:vAlign w:val="center"/>
                </w:tcPr>
                <w:p>
                  <w:pPr>
                    <w:autoSpaceDE w:val="0"/>
                    <w:autoSpaceDN w:val="0"/>
                    <w:adjustRightInd w:val="0"/>
                    <w:jc w:val="center"/>
                    <w:rPr>
                      <w:bCs/>
                      <w:szCs w:val="21"/>
                    </w:rPr>
                  </w:pPr>
                  <w:r>
                    <w:rPr>
                      <w:rFonts w:hint="eastAsia"/>
                      <w:bCs/>
                      <w:szCs w:val="21"/>
                    </w:rPr>
                    <w:t>2</w:t>
                  </w:r>
                </w:p>
              </w:tc>
              <w:tc>
                <w:tcPr>
                  <w:tcW w:w="1134" w:type="dxa"/>
                  <w:vAlign w:val="center"/>
                </w:tcPr>
                <w:p>
                  <w:pPr>
                    <w:autoSpaceDE w:val="0"/>
                    <w:autoSpaceDN w:val="0"/>
                    <w:adjustRightInd w:val="0"/>
                    <w:jc w:val="center"/>
                    <w:rPr>
                      <w:rFonts w:hAnsi="宋体"/>
                      <w:szCs w:val="21"/>
                    </w:rPr>
                  </w:pPr>
                  <w:r>
                    <w:rPr>
                      <w:rFonts w:hint="eastAsia" w:hAnsi="宋体"/>
                      <w:szCs w:val="21"/>
                    </w:rPr>
                    <w:t>个</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2.5</w:t>
                  </w:r>
                </w:p>
              </w:tc>
              <w:tc>
                <w:tcPr>
                  <w:tcW w:w="2410" w:type="dxa"/>
                  <w:vAlign w:val="center"/>
                </w:tcPr>
                <w:p>
                  <w:pPr>
                    <w:autoSpaceDE w:val="0"/>
                    <w:autoSpaceDN w:val="0"/>
                    <w:adjustRightInd w:val="0"/>
                    <w:jc w:val="center"/>
                    <w:rPr>
                      <w:bCs/>
                      <w:szCs w:val="21"/>
                    </w:rPr>
                  </w:pPr>
                  <w:r>
                    <w:rPr>
                      <w:rFonts w:hint="eastAsia" w:hAnsi="宋体"/>
                      <w:szCs w:val="21"/>
                    </w:rPr>
                    <w:t>花池</w:t>
                  </w:r>
                </w:p>
              </w:tc>
              <w:tc>
                <w:tcPr>
                  <w:tcW w:w="1561" w:type="dxa"/>
                  <w:vAlign w:val="center"/>
                </w:tcPr>
                <w:p>
                  <w:pPr>
                    <w:autoSpaceDE w:val="0"/>
                    <w:autoSpaceDN w:val="0"/>
                    <w:adjustRightInd w:val="0"/>
                    <w:jc w:val="center"/>
                    <w:rPr>
                      <w:bCs/>
                      <w:szCs w:val="21"/>
                    </w:rPr>
                  </w:pPr>
                  <w:r>
                    <w:rPr>
                      <w:rFonts w:hint="eastAsia" w:hAnsi="宋体"/>
                      <w:szCs w:val="21"/>
                    </w:rPr>
                    <w:t>193.71</w:t>
                  </w:r>
                </w:p>
              </w:tc>
              <w:tc>
                <w:tcPr>
                  <w:tcW w:w="1134" w:type="dxa"/>
                  <w:vAlign w:val="center"/>
                </w:tcPr>
                <w:p>
                  <w:pPr>
                    <w:autoSpaceDE w:val="0"/>
                    <w:autoSpaceDN w:val="0"/>
                    <w:adjustRightInd w:val="0"/>
                    <w:jc w:val="center"/>
                    <w:rPr>
                      <w:rFonts w:hAnsi="宋体"/>
                      <w:szCs w:val="21"/>
                    </w:rPr>
                  </w:pPr>
                  <w:r>
                    <w:rPr>
                      <w:rFonts w:hint="eastAsia" w:hAnsi="宋体"/>
                      <w:szCs w:val="21"/>
                    </w:rPr>
                    <w:t>m</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2.6</w:t>
                  </w:r>
                </w:p>
              </w:tc>
              <w:tc>
                <w:tcPr>
                  <w:tcW w:w="2410" w:type="dxa"/>
                  <w:vAlign w:val="center"/>
                </w:tcPr>
                <w:p>
                  <w:pPr>
                    <w:autoSpaceDE w:val="0"/>
                    <w:autoSpaceDN w:val="0"/>
                    <w:adjustRightInd w:val="0"/>
                    <w:jc w:val="center"/>
                    <w:rPr>
                      <w:bCs/>
                      <w:szCs w:val="21"/>
                    </w:rPr>
                  </w:pPr>
                  <w:r>
                    <w:rPr>
                      <w:rFonts w:hint="eastAsia" w:hAnsi="宋体"/>
                      <w:szCs w:val="21"/>
                    </w:rPr>
                    <w:t>卵石铺装</w:t>
                  </w:r>
                </w:p>
              </w:tc>
              <w:tc>
                <w:tcPr>
                  <w:tcW w:w="1561" w:type="dxa"/>
                  <w:vAlign w:val="center"/>
                </w:tcPr>
                <w:p>
                  <w:pPr>
                    <w:autoSpaceDE w:val="0"/>
                    <w:autoSpaceDN w:val="0"/>
                    <w:adjustRightInd w:val="0"/>
                    <w:jc w:val="center"/>
                    <w:rPr>
                      <w:bCs/>
                      <w:szCs w:val="21"/>
                    </w:rPr>
                  </w:pPr>
                  <w:r>
                    <w:rPr>
                      <w:rFonts w:hint="eastAsia" w:hAnsi="宋体"/>
                      <w:szCs w:val="21"/>
                    </w:rPr>
                    <w:t>46.88</w:t>
                  </w:r>
                </w:p>
              </w:tc>
              <w:tc>
                <w:tcPr>
                  <w:tcW w:w="1134" w:type="dxa"/>
                  <w:vAlign w:val="center"/>
                </w:tcPr>
                <w:p>
                  <w:pPr>
                    <w:autoSpaceDE w:val="0"/>
                    <w:autoSpaceDN w:val="0"/>
                    <w:adjustRightInd w:val="0"/>
                    <w:jc w:val="center"/>
                    <w:rPr>
                      <w:rFonts w:hAnsi="宋体"/>
                      <w:szCs w:val="21"/>
                    </w:rPr>
                  </w:pPr>
                  <w:r>
                    <w:rPr>
                      <w:rFonts w:hint="eastAsia" w:hAnsi="宋体"/>
                      <w:szCs w:val="21"/>
                    </w:rPr>
                    <w:t>m</w:t>
                  </w:r>
                  <w:r>
                    <w:rPr>
                      <w:rFonts w:hint="eastAsia" w:hAnsi="宋体"/>
                      <w:szCs w:val="21"/>
                      <w:vertAlign w:val="superscript"/>
                    </w:rPr>
                    <w:t>2</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2.7</w:t>
                  </w:r>
                </w:p>
              </w:tc>
              <w:tc>
                <w:tcPr>
                  <w:tcW w:w="2410" w:type="dxa"/>
                  <w:vAlign w:val="center"/>
                </w:tcPr>
                <w:p>
                  <w:pPr>
                    <w:autoSpaceDE w:val="0"/>
                    <w:autoSpaceDN w:val="0"/>
                    <w:adjustRightInd w:val="0"/>
                    <w:jc w:val="center"/>
                    <w:rPr>
                      <w:bCs/>
                      <w:szCs w:val="21"/>
                    </w:rPr>
                  </w:pPr>
                  <w:r>
                    <w:rPr>
                      <w:rFonts w:hint="eastAsia" w:hAnsi="宋体"/>
                      <w:szCs w:val="21"/>
                    </w:rPr>
                    <w:t>混凝土平缘石</w:t>
                  </w:r>
                </w:p>
              </w:tc>
              <w:tc>
                <w:tcPr>
                  <w:tcW w:w="1561" w:type="dxa"/>
                  <w:vAlign w:val="center"/>
                </w:tcPr>
                <w:p>
                  <w:pPr>
                    <w:autoSpaceDE w:val="0"/>
                    <w:autoSpaceDN w:val="0"/>
                    <w:adjustRightInd w:val="0"/>
                    <w:jc w:val="center"/>
                    <w:rPr>
                      <w:bCs/>
                      <w:szCs w:val="21"/>
                    </w:rPr>
                  </w:pPr>
                  <w:r>
                    <w:rPr>
                      <w:rFonts w:hint="eastAsia" w:hAnsi="宋体"/>
                      <w:szCs w:val="21"/>
                    </w:rPr>
                    <w:t>21.63</w:t>
                  </w:r>
                </w:p>
              </w:tc>
              <w:tc>
                <w:tcPr>
                  <w:tcW w:w="1134" w:type="dxa"/>
                  <w:vAlign w:val="center"/>
                </w:tcPr>
                <w:p>
                  <w:pPr>
                    <w:autoSpaceDE w:val="0"/>
                    <w:autoSpaceDN w:val="0"/>
                    <w:adjustRightInd w:val="0"/>
                    <w:jc w:val="center"/>
                    <w:rPr>
                      <w:rFonts w:hAnsi="宋体"/>
                      <w:szCs w:val="21"/>
                    </w:rPr>
                  </w:pPr>
                  <w:r>
                    <w:rPr>
                      <w:rFonts w:hint="eastAsia" w:hAnsi="宋体"/>
                      <w:szCs w:val="21"/>
                    </w:rPr>
                    <w:t>m</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2.8</w:t>
                  </w:r>
                </w:p>
              </w:tc>
              <w:tc>
                <w:tcPr>
                  <w:tcW w:w="2410" w:type="dxa"/>
                  <w:vAlign w:val="center"/>
                </w:tcPr>
                <w:p>
                  <w:pPr>
                    <w:autoSpaceDE w:val="0"/>
                    <w:autoSpaceDN w:val="0"/>
                    <w:adjustRightInd w:val="0"/>
                    <w:jc w:val="center"/>
                    <w:rPr>
                      <w:bCs/>
                      <w:szCs w:val="21"/>
                    </w:rPr>
                  </w:pPr>
                  <w:r>
                    <w:rPr>
                      <w:rFonts w:hint="eastAsia" w:hAnsi="宋体"/>
                      <w:szCs w:val="21"/>
                    </w:rPr>
                    <w:t>混凝土立缘石</w:t>
                  </w:r>
                </w:p>
              </w:tc>
              <w:tc>
                <w:tcPr>
                  <w:tcW w:w="1561" w:type="dxa"/>
                  <w:vAlign w:val="center"/>
                </w:tcPr>
                <w:p>
                  <w:pPr>
                    <w:autoSpaceDE w:val="0"/>
                    <w:autoSpaceDN w:val="0"/>
                    <w:adjustRightInd w:val="0"/>
                    <w:jc w:val="center"/>
                    <w:rPr>
                      <w:bCs/>
                      <w:szCs w:val="21"/>
                    </w:rPr>
                  </w:pPr>
                  <w:r>
                    <w:rPr>
                      <w:rFonts w:hint="eastAsia"/>
                      <w:bCs/>
                      <w:szCs w:val="21"/>
                    </w:rPr>
                    <w:t>34.55</w:t>
                  </w:r>
                </w:p>
              </w:tc>
              <w:tc>
                <w:tcPr>
                  <w:tcW w:w="1134" w:type="dxa"/>
                  <w:vAlign w:val="center"/>
                </w:tcPr>
                <w:p>
                  <w:pPr>
                    <w:autoSpaceDE w:val="0"/>
                    <w:autoSpaceDN w:val="0"/>
                    <w:adjustRightInd w:val="0"/>
                    <w:jc w:val="center"/>
                    <w:rPr>
                      <w:rFonts w:hAnsi="宋体"/>
                      <w:szCs w:val="21"/>
                    </w:rPr>
                  </w:pPr>
                  <w:r>
                    <w:rPr>
                      <w:rFonts w:hint="eastAsia" w:hAnsi="宋体"/>
                      <w:szCs w:val="21"/>
                    </w:rPr>
                    <w:t>m</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2.9</w:t>
                  </w:r>
                </w:p>
              </w:tc>
              <w:tc>
                <w:tcPr>
                  <w:tcW w:w="2410" w:type="dxa"/>
                  <w:vAlign w:val="center"/>
                </w:tcPr>
                <w:p>
                  <w:pPr>
                    <w:autoSpaceDE w:val="0"/>
                    <w:autoSpaceDN w:val="0"/>
                    <w:adjustRightInd w:val="0"/>
                    <w:jc w:val="center"/>
                    <w:rPr>
                      <w:bCs/>
                      <w:szCs w:val="21"/>
                    </w:rPr>
                  </w:pPr>
                  <w:r>
                    <w:rPr>
                      <w:rFonts w:hint="eastAsia" w:hAnsi="宋体"/>
                      <w:szCs w:val="21"/>
                    </w:rPr>
                    <w:t>大理石铺装</w:t>
                  </w:r>
                </w:p>
              </w:tc>
              <w:tc>
                <w:tcPr>
                  <w:tcW w:w="1561" w:type="dxa"/>
                  <w:vAlign w:val="center"/>
                </w:tcPr>
                <w:p>
                  <w:pPr>
                    <w:autoSpaceDE w:val="0"/>
                    <w:autoSpaceDN w:val="0"/>
                    <w:adjustRightInd w:val="0"/>
                    <w:jc w:val="center"/>
                    <w:rPr>
                      <w:bCs/>
                      <w:szCs w:val="21"/>
                    </w:rPr>
                  </w:pPr>
                  <w:r>
                    <w:rPr>
                      <w:rFonts w:hint="eastAsia" w:hAnsi="宋体"/>
                      <w:szCs w:val="21"/>
                    </w:rPr>
                    <w:t>63.60</w:t>
                  </w:r>
                </w:p>
              </w:tc>
              <w:tc>
                <w:tcPr>
                  <w:tcW w:w="1134" w:type="dxa"/>
                  <w:vAlign w:val="center"/>
                </w:tcPr>
                <w:p>
                  <w:pPr>
                    <w:autoSpaceDE w:val="0"/>
                    <w:autoSpaceDN w:val="0"/>
                    <w:adjustRightInd w:val="0"/>
                    <w:jc w:val="center"/>
                    <w:rPr>
                      <w:rFonts w:hAnsi="宋体"/>
                      <w:szCs w:val="21"/>
                    </w:rPr>
                  </w:pPr>
                  <w:r>
                    <w:rPr>
                      <w:rFonts w:hint="eastAsia" w:hAnsi="宋体"/>
                      <w:szCs w:val="21"/>
                    </w:rPr>
                    <w:t>m</w:t>
                  </w:r>
                  <w:r>
                    <w:rPr>
                      <w:rFonts w:hint="eastAsia" w:hAnsi="宋体"/>
                      <w:szCs w:val="21"/>
                      <w:vertAlign w:val="superscript"/>
                    </w:rPr>
                    <w:t>2</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2.10</w:t>
                  </w:r>
                </w:p>
              </w:tc>
              <w:tc>
                <w:tcPr>
                  <w:tcW w:w="2410" w:type="dxa"/>
                  <w:vAlign w:val="center"/>
                </w:tcPr>
                <w:p>
                  <w:pPr>
                    <w:autoSpaceDE w:val="0"/>
                    <w:autoSpaceDN w:val="0"/>
                    <w:adjustRightInd w:val="0"/>
                    <w:jc w:val="center"/>
                    <w:rPr>
                      <w:bCs/>
                      <w:szCs w:val="21"/>
                    </w:rPr>
                  </w:pPr>
                  <w:r>
                    <w:rPr>
                      <w:rFonts w:hint="eastAsia" w:hAnsi="宋体"/>
                      <w:szCs w:val="21"/>
                    </w:rPr>
                    <w:t>浮雕墙</w:t>
                  </w:r>
                </w:p>
              </w:tc>
              <w:tc>
                <w:tcPr>
                  <w:tcW w:w="1561" w:type="dxa"/>
                  <w:vAlign w:val="center"/>
                </w:tcPr>
                <w:p>
                  <w:pPr>
                    <w:autoSpaceDE w:val="0"/>
                    <w:autoSpaceDN w:val="0"/>
                    <w:adjustRightInd w:val="0"/>
                    <w:jc w:val="center"/>
                    <w:rPr>
                      <w:bCs/>
                      <w:szCs w:val="21"/>
                    </w:rPr>
                  </w:pPr>
                  <w:r>
                    <w:rPr>
                      <w:rFonts w:hint="eastAsia" w:hAnsi="宋体"/>
                      <w:szCs w:val="21"/>
                    </w:rPr>
                    <w:t>26.88</w:t>
                  </w:r>
                </w:p>
              </w:tc>
              <w:tc>
                <w:tcPr>
                  <w:tcW w:w="1134" w:type="dxa"/>
                  <w:vAlign w:val="center"/>
                </w:tcPr>
                <w:p>
                  <w:pPr>
                    <w:autoSpaceDE w:val="0"/>
                    <w:autoSpaceDN w:val="0"/>
                    <w:adjustRightInd w:val="0"/>
                    <w:jc w:val="center"/>
                    <w:rPr>
                      <w:rFonts w:hAnsi="宋体"/>
                      <w:szCs w:val="21"/>
                    </w:rPr>
                  </w:pPr>
                  <w:r>
                    <w:rPr>
                      <w:rFonts w:hint="eastAsia" w:hAnsi="宋体"/>
                      <w:szCs w:val="21"/>
                    </w:rPr>
                    <w:t>m</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2.11</w:t>
                  </w:r>
                </w:p>
              </w:tc>
              <w:tc>
                <w:tcPr>
                  <w:tcW w:w="2410" w:type="dxa"/>
                  <w:vAlign w:val="center"/>
                </w:tcPr>
                <w:p>
                  <w:pPr>
                    <w:autoSpaceDE w:val="0"/>
                    <w:autoSpaceDN w:val="0"/>
                    <w:adjustRightInd w:val="0"/>
                    <w:jc w:val="center"/>
                    <w:rPr>
                      <w:bCs/>
                      <w:szCs w:val="21"/>
                    </w:rPr>
                  </w:pPr>
                  <w:r>
                    <w:rPr>
                      <w:rFonts w:hint="eastAsia" w:hAnsi="宋体"/>
                      <w:szCs w:val="21"/>
                    </w:rPr>
                    <w:t>小冬青</w:t>
                  </w:r>
                </w:p>
              </w:tc>
              <w:tc>
                <w:tcPr>
                  <w:tcW w:w="1561" w:type="dxa"/>
                  <w:vAlign w:val="center"/>
                </w:tcPr>
                <w:p>
                  <w:pPr>
                    <w:autoSpaceDE w:val="0"/>
                    <w:autoSpaceDN w:val="0"/>
                    <w:adjustRightInd w:val="0"/>
                    <w:jc w:val="center"/>
                    <w:rPr>
                      <w:bCs/>
                      <w:szCs w:val="21"/>
                    </w:rPr>
                  </w:pPr>
                  <w:r>
                    <w:rPr>
                      <w:rFonts w:hint="eastAsia" w:hAnsi="宋体"/>
                      <w:szCs w:val="21"/>
                    </w:rPr>
                    <w:t>69.04</w:t>
                  </w:r>
                </w:p>
              </w:tc>
              <w:tc>
                <w:tcPr>
                  <w:tcW w:w="1134" w:type="dxa"/>
                  <w:vAlign w:val="center"/>
                </w:tcPr>
                <w:p>
                  <w:pPr>
                    <w:autoSpaceDE w:val="0"/>
                    <w:autoSpaceDN w:val="0"/>
                    <w:adjustRightInd w:val="0"/>
                    <w:jc w:val="center"/>
                    <w:rPr>
                      <w:rFonts w:hAnsi="宋体"/>
                      <w:szCs w:val="21"/>
                    </w:rPr>
                  </w:pPr>
                  <w:r>
                    <w:rPr>
                      <w:rFonts w:hint="eastAsia" w:hAnsi="宋体"/>
                      <w:szCs w:val="21"/>
                    </w:rPr>
                    <w:t>m</w:t>
                  </w:r>
                  <w:r>
                    <w:rPr>
                      <w:rFonts w:hint="eastAsia" w:hAnsi="宋体"/>
                      <w:szCs w:val="21"/>
                      <w:vertAlign w:val="superscript"/>
                    </w:rPr>
                    <w:t>2</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2.12</w:t>
                  </w:r>
                </w:p>
              </w:tc>
              <w:tc>
                <w:tcPr>
                  <w:tcW w:w="2410" w:type="dxa"/>
                  <w:vAlign w:val="center"/>
                </w:tcPr>
                <w:p>
                  <w:pPr>
                    <w:autoSpaceDE w:val="0"/>
                    <w:autoSpaceDN w:val="0"/>
                    <w:adjustRightInd w:val="0"/>
                    <w:jc w:val="center"/>
                    <w:rPr>
                      <w:bCs/>
                      <w:szCs w:val="21"/>
                    </w:rPr>
                  </w:pPr>
                  <w:r>
                    <w:rPr>
                      <w:rFonts w:hint="eastAsia" w:hAnsi="宋体"/>
                      <w:szCs w:val="21"/>
                    </w:rPr>
                    <w:t>大冬青</w:t>
                  </w:r>
                </w:p>
              </w:tc>
              <w:tc>
                <w:tcPr>
                  <w:tcW w:w="1561" w:type="dxa"/>
                  <w:vAlign w:val="center"/>
                </w:tcPr>
                <w:p>
                  <w:pPr>
                    <w:autoSpaceDE w:val="0"/>
                    <w:autoSpaceDN w:val="0"/>
                    <w:adjustRightInd w:val="0"/>
                    <w:jc w:val="center"/>
                    <w:rPr>
                      <w:bCs/>
                      <w:szCs w:val="21"/>
                    </w:rPr>
                  </w:pPr>
                  <w:r>
                    <w:rPr>
                      <w:rFonts w:hint="eastAsia"/>
                      <w:bCs/>
                      <w:szCs w:val="21"/>
                    </w:rPr>
                    <w:t>11</w:t>
                  </w:r>
                </w:p>
              </w:tc>
              <w:tc>
                <w:tcPr>
                  <w:tcW w:w="1134" w:type="dxa"/>
                  <w:vAlign w:val="center"/>
                </w:tcPr>
                <w:p>
                  <w:pPr>
                    <w:autoSpaceDE w:val="0"/>
                    <w:autoSpaceDN w:val="0"/>
                    <w:adjustRightInd w:val="0"/>
                    <w:jc w:val="center"/>
                    <w:rPr>
                      <w:rFonts w:hAnsi="宋体"/>
                      <w:szCs w:val="21"/>
                    </w:rPr>
                  </w:pPr>
                  <w:r>
                    <w:rPr>
                      <w:rFonts w:hint="eastAsia" w:hAnsi="宋体"/>
                      <w:szCs w:val="21"/>
                    </w:rPr>
                    <w:t>棵</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2.13</w:t>
                  </w:r>
                </w:p>
              </w:tc>
              <w:tc>
                <w:tcPr>
                  <w:tcW w:w="2410" w:type="dxa"/>
                  <w:vAlign w:val="center"/>
                </w:tcPr>
                <w:p>
                  <w:pPr>
                    <w:autoSpaceDE w:val="0"/>
                    <w:autoSpaceDN w:val="0"/>
                    <w:adjustRightInd w:val="0"/>
                    <w:jc w:val="center"/>
                    <w:rPr>
                      <w:bCs/>
                      <w:szCs w:val="21"/>
                    </w:rPr>
                  </w:pPr>
                  <w:r>
                    <w:rPr>
                      <w:rFonts w:hint="eastAsia" w:hAnsi="宋体"/>
                      <w:szCs w:val="21"/>
                    </w:rPr>
                    <w:t>美国红枫</w:t>
                  </w:r>
                </w:p>
              </w:tc>
              <w:tc>
                <w:tcPr>
                  <w:tcW w:w="1561" w:type="dxa"/>
                  <w:vAlign w:val="center"/>
                </w:tcPr>
                <w:p>
                  <w:pPr>
                    <w:autoSpaceDE w:val="0"/>
                    <w:autoSpaceDN w:val="0"/>
                    <w:adjustRightInd w:val="0"/>
                    <w:jc w:val="center"/>
                    <w:rPr>
                      <w:bCs/>
                      <w:szCs w:val="21"/>
                    </w:rPr>
                  </w:pPr>
                  <w:r>
                    <w:rPr>
                      <w:rFonts w:hint="eastAsia"/>
                      <w:bCs/>
                      <w:szCs w:val="21"/>
                    </w:rPr>
                    <w:t>8</w:t>
                  </w:r>
                </w:p>
              </w:tc>
              <w:tc>
                <w:tcPr>
                  <w:tcW w:w="1134" w:type="dxa"/>
                  <w:vAlign w:val="center"/>
                </w:tcPr>
                <w:p>
                  <w:pPr>
                    <w:autoSpaceDE w:val="0"/>
                    <w:autoSpaceDN w:val="0"/>
                    <w:adjustRightInd w:val="0"/>
                    <w:jc w:val="center"/>
                    <w:rPr>
                      <w:rFonts w:hAnsi="宋体"/>
                      <w:szCs w:val="21"/>
                    </w:rPr>
                  </w:pPr>
                  <w:r>
                    <w:rPr>
                      <w:rFonts w:hint="eastAsia" w:hAnsi="宋体"/>
                      <w:szCs w:val="21"/>
                    </w:rPr>
                    <w:t>棵</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2.14</w:t>
                  </w:r>
                </w:p>
              </w:tc>
              <w:tc>
                <w:tcPr>
                  <w:tcW w:w="2410" w:type="dxa"/>
                  <w:vAlign w:val="center"/>
                </w:tcPr>
                <w:p>
                  <w:pPr>
                    <w:autoSpaceDE w:val="0"/>
                    <w:autoSpaceDN w:val="0"/>
                    <w:adjustRightInd w:val="0"/>
                    <w:jc w:val="center"/>
                    <w:rPr>
                      <w:bCs/>
                      <w:szCs w:val="21"/>
                    </w:rPr>
                  </w:pPr>
                  <w:r>
                    <w:rPr>
                      <w:rFonts w:hint="eastAsia" w:hAnsi="宋体"/>
                      <w:szCs w:val="21"/>
                    </w:rPr>
                    <w:t>塔松</w:t>
                  </w:r>
                </w:p>
              </w:tc>
              <w:tc>
                <w:tcPr>
                  <w:tcW w:w="1561" w:type="dxa"/>
                  <w:vAlign w:val="center"/>
                </w:tcPr>
                <w:p>
                  <w:pPr>
                    <w:autoSpaceDE w:val="0"/>
                    <w:autoSpaceDN w:val="0"/>
                    <w:adjustRightInd w:val="0"/>
                    <w:jc w:val="center"/>
                    <w:rPr>
                      <w:bCs/>
                      <w:szCs w:val="21"/>
                    </w:rPr>
                  </w:pPr>
                  <w:r>
                    <w:rPr>
                      <w:rFonts w:hint="eastAsia"/>
                      <w:bCs/>
                      <w:szCs w:val="21"/>
                    </w:rPr>
                    <w:t>4</w:t>
                  </w:r>
                </w:p>
              </w:tc>
              <w:tc>
                <w:tcPr>
                  <w:tcW w:w="1134" w:type="dxa"/>
                  <w:vAlign w:val="center"/>
                </w:tcPr>
                <w:p>
                  <w:pPr>
                    <w:autoSpaceDE w:val="0"/>
                    <w:autoSpaceDN w:val="0"/>
                    <w:adjustRightInd w:val="0"/>
                    <w:jc w:val="center"/>
                    <w:rPr>
                      <w:rFonts w:hAnsi="宋体"/>
                      <w:szCs w:val="21"/>
                    </w:rPr>
                  </w:pPr>
                  <w:r>
                    <w:rPr>
                      <w:rFonts w:hint="eastAsia" w:hAnsi="宋体"/>
                      <w:szCs w:val="21"/>
                    </w:rPr>
                    <w:t>棵</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2.15</w:t>
                  </w:r>
                </w:p>
              </w:tc>
              <w:tc>
                <w:tcPr>
                  <w:tcW w:w="2410" w:type="dxa"/>
                  <w:vAlign w:val="center"/>
                </w:tcPr>
                <w:p>
                  <w:pPr>
                    <w:autoSpaceDE w:val="0"/>
                    <w:autoSpaceDN w:val="0"/>
                    <w:adjustRightInd w:val="0"/>
                    <w:jc w:val="center"/>
                    <w:rPr>
                      <w:rFonts w:hAnsi="宋体"/>
                      <w:szCs w:val="21"/>
                    </w:rPr>
                  </w:pPr>
                  <w:r>
                    <w:rPr>
                      <w:rFonts w:hint="eastAsia" w:hAnsi="宋体"/>
                      <w:szCs w:val="21"/>
                    </w:rPr>
                    <w:t>紫叶小檗</w:t>
                  </w:r>
                </w:p>
              </w:tc>
              <w:tc>
                <w:tcPr>
                  <w:tcW w:w="1561" w:type="dxa"/>
                  <w:vAlign w:val="center"/>
                </w:tcPr>
                <w:p>
                  <w:pPr>
                    <w:autoSpaceDE w:val="0"/>
                    <w:autoSpaceDN w:val="0"/>
                    <w:adjustRightInd w:val="0"/>
                    <w:jc w:val="center"/>
                    <w:rPr>
                      <w:bCs/>
                      <w:szCs w:val="21"/>
                    </w:rPr>
                  </w:pPr>
                  <w:r>
                    <w:rPr>
                      <w:rFonts w:hint="eastAsia"/>
                      <w:bCs/>
                      <w:szCs w:val="21"/>
                    </w:rPr>
                    <w:t>8.12</w:t>
                  </w:r>
                </w:p>
              </w:tc>
              <w:tc>
                <w:tcPr>
                  <w:tcW w:w="1134" w:type="dxa"/>
                  <w:vAlign w:val="center"/>
                </w:tcPr>
                <w:p>
                  <w:pPr>
                    <w:autoSpaceDE w:val="0"/>
                    <w:autoSpaceDN w:val="0"/>
                    <w:adjustRightInd w:val="0"/>
                    <w:jc w:val="center"/>
                    <w:rPr>
                      <w:rFonts w:hAnsi="宋体"/>
                      <w:szCs w:val="21"/>
                    </w:rPr>
                  </w:pPr>
                  <w:r>
                    <w:rPr>
                      <w:rFonts w:hint="eastAsia" w:hAnsi="宋体"/>
                      <w:szCs w:val="21"/>
                    </w:rPr>
                    <w:t>m</w:t>
                  </w:r>
                  <w:r>
                    <w:rPr>
                      <w:rFonts w:hint="eastAsia" w:hAnsi="宋体"/>
                      <w:szCs w:val="21"/>
                      <w:vertAlign w:val="superscript"/>
                    </w:rPr>
                    <w:t>2</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2.16</w:t>
                  </w:r>
                </w:p>
              </w:tc>
              <w:tc>
                <w:tcPr>
                  <w:tcW w:w="2410" w:type="dxa"/>
                  <w:vAlign w:val="center"/>
                </w:tcPr>
                <w:p>
                  <w:pPr>
                    <w:autoSpaceDE w:val="0"/>
                    <w:autoSpaceDN w:val="0"/>
                    <w:adjustRightInd w:val="0"/>
                    <w:jc w:val="center"/>
                    <w:rPr>
                      <w:rFonts w:hAnsi="宋体"/>
                      <w:szCs w:val="21"/>
                    </w:rPr>
                  </w:pPr>
                  <w:r>
                    <w:rPr>
                      <w:rFonts w:hint="eastAsia" w:hAnsi="宋体"/>
                      <w:szCs w:val="21"/>
                    </w:rPr>
                    <w:t>金叶女贞</w:t>
                  </w:r>
                </w:p>
              </w:tc>
              <w:tc>
                <w:tcPr>
                  <w:tcW w:w="1561" w:type="dxa"/>
                  <w:vAlign w:val="center"/>
                </w:tcPr>
                <w:p>
                  <w:pPr>
                    <w:autoSpaceDE w:val="0"/>
                    <w:autoSpaceDN w:val="0"/>
                    <w:adjustRightInd w:val="0"/>
                    <w:jc w:val="center"/>
                    <w:rPr>
                      <w:bCs/>
                      <w:szCs w:val="21"/>
                    </w:rPr>
                  </w:pPr>
                  <w:r>
                    <w:rPr>
                      <w:rFonts w:hint="eastAsia" w:hAnsi="宋体"/>
                      <w:szCs w:val="21"/>
                    </w:rPr>
                    <w:t>12.58</w:t>
                  </w:r>
                </w:p>
              </w:tc>
              <w:tc>
                <w:tcPr>
                  <w:tcW w:w="1134" w:type="dxa"/>
                  <w:vAlign w:val="center"/>
                </w:tcPr>
                <w:p>
                  <w:pPr>
                    <w:autoSpaceDE w:val="0"/>
                    <w:autoSpaceDN w:val="0"/>
                    <w:adjustRightInd w:val="0"/>
                    <w:jc w:val="center"/>
                    <w:rPr>
                      <w:rFonts w:hAnsi="宋体"/>
                      <w:szCs w:val="21"/>
                    </w:rPr>
                  </w:pPr>
                  <w:r>
                    <w:rPr>
                      <w:rFonts w:hint="eastAsia" w:hAnsi="宋体"/>
                      <w:szCs w:val="21"/>
                    </w:rPr>
                    <w:t>m</w:t>
                  </w:r>
                  <w:r>
                    <w:rPr>
                      <w:rFonts w:hint="eastAsia" w:hAnsi="宋体"/>
                      <w:szCs w:val="21"/>
                      <w:vertAlign w:val="superscript"/>
                    </w:rPr>
                    <w:t>2</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2.17</w:t>
                  </w:r>
                </w:p>
              </w:tc>
              <w:tc>
                <w:tcPr>
                  <w:tcW w:w="2410" w:type="dxa"/>
                  <w:vAlign w:val="center"/>
                </w:tcPr>
                <w:p>
                  <w:pPr>
                    <w:autoSpaceDE w:val="0"/>
                    <w:autoSpaceDN w:val="0"/>
                    <w:adjustRightInd w:val="0"/>
                    <w:jc w:val="center"/>
                    <w:rPr>
                      <w:rFonts w:hAnsi="宋体"/>
                      <w:szCs w:val="21"/>
                    </w:rPr>
                  </w:pPr>
                  <w:r>
                    <w:rPr>
                      <w:rFonts w:hint="eastAsia" w:hAnsi="宋体"/>
                      <w:szCs w:val="21"/>
                    </w:rPr>
                    <w:t>时令花卉</w:t>
                  </w:r>
                </w:p>
              </w:tc>
              <w:tc>
                <w:tcPr>
                  <w:tcW w:w="1561" w:type="dxa"/>
                  <w:vAlign w:val="center"/>
                </w:tcPr>
                <w:p>
                  <w:pPr>
                    <w:autoSpaceDE w:val="0"/>
                    <w:autoSpaceDN w:val="0"/>
                    <w:adjustRightInd w:val="0"/>
                    <w:jc w:val="center"/>
                    <w:rPr>
                      <w:bCs/>
                      <w:szCs w:val="21"/>
                    </w:rPr>
                  </w:pPr>
                  <w:r>
                    <w:rPr>
                      <w:rFonts w:hint="eastAsia" w:hAnsi="宋体"/>
                      <w:szCs w:val="21"/>
                    </w:rPr>
                    <w:t>44.60</w:t>
                  </w:r>
                </w:p>
              </w:tc>
              <w:tc>
                <w:tcPr>
                  <w:tcW w:w="1134" w:type="dxa"/>
                  <w:vAlign w:val="center"/>
                </w:tcPr>
                <w:p>
                  <w:pPr>
                    <w:autoSpaceDE w:val="0"/>
                    <w:autoSpaceDN w:val="0"/>
                    <w:adjustRightInd w:val="0"/>
                    <w:jc w:val="center"/>
                    <w:rPr>
                      <w:rFonts w:hAnsi="宋体"/>
                      <w:szCs w:val="21"/>
                    </w:rPr>
                  </w:pPr>
                  <w:r>
                    <w:rPr>
                      <w:rFonts w:hint="eastAsia" w:hAnsi="宋体"/>
                      <w:szCs w:val="21"/>
                    </w:rPr>
                    <w:t>m</w:t>
                  </w:r>
                  <w:r>
                    <w:rPr>
                      <w:rFonts w:hint="eastAsia" w:hAnsi="宋体"/>
                      <w:szCs w:val="21"/>
                      <w:vertAlign w:val="superscript"/>
                    </w:rPr>
                    <w:t>2</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2.18</w:t>
                  </w:r>
                </w:p>
              </w:tc>
              <w:tc>
                <w:tcPr>
                  <w:tcW w:w="2410" w:type="dxa"/>
                  <w:vAlign w:val="center"/>
                </w:tcPr>
                <w:p>
                  <w:pPr>
                    <w:autoSpaceDE w:val="0"/>
                    <w:autoSpaceDN w:val="0"/>
                    <w:adjustRightInd w:val="0"/>
                    <w:jc w:val="center"/>
                    <w:rPr>
                      <w:rFonts w:hAnsi="宋体"/>
                      <w:szCs w:val="21"/>
                    </w:rPr>
                  </w:pPr>
                  <w:r>
                    <w:rPr>
                      <w:rFonts w:hint="eastAsia" w:hAnsi="宋体"/>
                      <w:szCs w:val="21"/>
                    </w:rPr>
                    <w:t>黑麦草</w:t>
                  </w:r>
                </w:p>
              </w:tc>
              <w:tc>
                <w:tcPr>
                  <w:tcW w:w="1561" w:type="dxa"/>
                  <w:vAlign w:val="center"/>
                </w:tcPr>
                <w:p>
                  <w:pPr>
                    <w:autoSpaceDE w:val="0"/>
                    <w:autoSpaceDN w:val="0"/>
                    <w:adjustRightInd w:val="0"/>
                    <w:jc w:val="center"/>
                    <w:rPr>
                      <w:bCs/>
                      <w:szCs w:val="21"/>
                    </w:rPr>
                  </w:pPr>
                  <w:r>
                    <w:rPr>
                      <w:rFonts w:hint="eastAsia" w:hAnsi="宋体"/>
                      <w:szCs w:val="21"/>
                    </w:rPr>
                    <w:t>37.90</w:t>
                  </w:r>
                </w:p>
              </w:tc>
              <w:tc>
                <w:tcPr>
                  <w:tcW w:w="1134" w:type="dxa"/>
                  <w:vAlign w:val="center"/>
                </w:tcPr>
                <w:p>
                  <w:pPr>
                    <w:autoSpaceDE w:val="0"/>
                    <w:autoSpaceDN w:val="0"/>
                    <w:adjustRightInd w:val="0"/>
                    <w:jc w:val="center"/>
                    <w:rPr>
                      <w:rFonts w:hAnsi="宋体"/>
                      <w:szCs w:val="21"/>
                    </w:rPr>
                  </w:pPr>
                  <w:r>
                    <w:rPr>
                      <w:rFonts w:hint="eastAsia" w:hAnsi="宋体"/>
                      <w:szCs w:val="21"/>
                    </w:rPr>
                    <w:t>m</w:t>
                  </w:r>
                  <w:r>
                    <w:rPr>
                      <w:rFonts w:hint="eastAsia" w:hAnsi="宋体"/>
                      <w:szCs w:val="21"/>
                      <w:vertAlign w:val="superscript"/>
                    </w:rPr>
                    <w:t>2</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2.19</w:t>
                  </w:r>
                </w:p>
              </w:tc>
              <w:tc>
                <w:tcPr>
                  <w:tcW w:w="2410" w:type="dxa"/>
                  <w:vAlign w:val="center"/>
                </w:tcPr>
                <w:p>
                  <w:pPr>
                    <w:autoSpaceDE w:val="0"/>
                    <w:autoSpaceDN w:val="0"/>
                    <w:adjustRightInd w:val="0"/>
                    <w:jc w:val="center"/>
                    <w:rPr>
                      <w:rFonts w:hAnsi="宋体"/>
                      <w:szCs w:val="21"/>
                    </w:rPr>
                  </w:pPr>
                  <w:r>
                    <w:rPr>
                      <w:rFonts w:hint="eastAsia" w:hAnsi="宋体"/>
                      <w:szCs w:val="21"/>
                    </w:rPr>
                    <w:t>油松</w:t>
                  </w:r>
                </w:p>
              </w:tc>
              <w:tc>
                <w:tcPr>
                  <w:tcW w:w="1561" w:type="dxa"/>
                  <w:vAlign w:val="center"/>
                </w:tcPr>
                <w:p>
                  <w:pPr>
                    <w:autoSpaceDE w:val="0"/>
                    <w:autoSpaceDN w:val="0"/>
                    <w:adjustRightInd w:val="0"/>
                    <w:jc w:val="center"/>
                    <w:rPr>
                      <w:rFonts w:hAnsi="宋体"/>
                      <w:szCs w:val="21"/>
                    </w:rPr>
                  </w:pPr>
                  <w:r>
                    <w:rPr>
                      <w:rFonts w:hint="eastAsia" w:hAnsi="宋体"/>
                      <w:szCs w:val="21"/>
                    </w:rPr>
                    <w:t>10</w:t>
                  </w:r>
                </w:p>
              </w:tc>
              <w:tc>
                <w:tcPr>
                  <w:tcW w:w="1134" w:type="dxa"/>
                  <w:vAlign w:val="center"/>
                </w:tcPr>
                <w:p>
                  <w:pPr>
                    <w:autoSpaceDE w:val="0"/>
                    <w:autoSpaceDN w:val="0"/>
                    <w:adjustRightInd w:val="0"/>
                    <w:jc w:val="center"/>
                    <w:rPr>
                      <w:rFonts w:hAnsi="宋体"/>
                      <w:szCs w:val="21"/>
                    </w:rPr>
                  </w:pPr>
                  <w:r>
                    <w:rPr>
                      <w:rFonts w:hint="eastAsia" w:hAnsi="宋体"/>
                      <w:szCs w:val="21"/>
                    </w:rPr>
                    <w:t>棵</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8901" w:type="dxa"/>
                  <w:gridSpan w:val="5"/>
                  <w:vAlign w:val="center"/>
                </w:tcPr>
                <w:p>
                  <w:pPr>
                    <w:autoSpaceDE w:val="0"/>
                    <w:autoSpaceDN w:val="0"/>
                    <w:adjustRightInd w:val="0"/>
                    <w:jc w:val="center"/>
                    <w:rPr>
                      <w:b/>
                      <w:bCs/>
                      <w:szCs w:val="21"/>
                    </w:rPr>
                  </w:pPr>
                  <w:r>
                    <w:rPr>
                      <w:rFonts w:hint="eastAsia"/>
                      <w:b/>
                      <w:bCs/>
                      <w:szCs w:val="21"/>
                    </w:rPr>
                    <w:t>三、给排水工程</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3.1</w:t>
                  </w:r>
                </w:p>
              </w:tc>
              <w:tc>
                <w:tcPr>
                  <w:tcW w:w="2410" w:type="dxa"/>
                  <w:vAlign w:val="center"/>
                </w:tcPr>
                <w:p>
                  <w:pPr>
                    <w:autoSpaceDE w:val="0"/>
                    <w:autoSpaceDN w:val="0"/>
                    <w:adjustRightInd w:val="0"/>
                    <w:jc w:val="center"/>
                    <w:rPr>
                      <w:rFonts w:hAnsi="宋体"/>
                      <w:szCs w:val="21"/>
                    </w:rPr>
                  </w:pPr>
                  <w:r>
                    <w:rPr>
                      <w:rFonts w:hint="eastAsia" w:hAnsi="宋体"/>
                      <w:szCs w:val="21"/>
                    </w:rPr>
                    <w:t>雨水管</w:t>
                  </w:r>
                </w:p>
              </w:tc>
              <w:tc>
                <w:tcPr>
                  <w:tcW w:w="1561" w:type="dxa"/>
                  <w:vAlign w:val="center"/>
                </w:tcPr>
                <w:p>
                  <w:pPr>
                    <w:autoSpaceDE w:val="0"/>
                    <w:autoSpaceDN w:val="0"/>
                    <w:adjustRightInd w:val="0"/>
                    <w:jc w:val="center"/>
                    <w:rPr>
                      <w:rFonts w:hAnsi="宋体"/>
                      <w:szCs w:val="21"/>
                    </w:rPr>
                  </w:pPr>
                  <w:r>
                    <w:rPr>
                      <w:rFonts w:hint="eastAsia" w:hAnsi="宋体"/>
                      <w:szCs w:val="21"/>
                    </w:rPr>
                    <w:t>896</w:t>
                  </w:r>
                </w:p>
              </w:tc>
              <w:tc>
                <w:tcPr>
                  <w:tcW w:w="1134" w:type="dxa"/>
                  <w:vAlign w:val="center"/>
                </w:tcPr>
                <w:p>
                  <w:pPr>
                    <w:autoSpaceDE w:val="0"/>
                    <w:autoSpaceDN w:val="0"/>
                    <w:adjustRightInd w:val="0"/>
                    <w:jc w:val="center"/>
                    <w:rPr>
                      <w:rFonts w:hAnsi="宋体"/>
                      <w:szCs w:val="21"/>
                    </w:rPr>
                  </w:pPr>
                  <w:r>
                    <w:rPr>
                      <w:rFonts w:hint="eastAsia" w:hAnsi="宋体"/>
                      <w:szCs w:val="21"/>
                    </w:rPr>
                    <w:t>m</w:t>
                  </w:r>
                </w:p>
              </w:tc>
              <w:tc>
                <w:tcPr>
                  <w:tcW w:w="3087" w:type="dxa"/>
                  <w:vAlign w:val="center"/>
                </w:tcPr>
                <w:p>
                  <w:pPr>
                    <w:autoSpaceDE w:val="0"/>
                    <w:autoSpaceDN w:val="0"/>
                    <w:adjustRightInd w:val="0"/>
                    <w:jc w:val="center"/>
                    <w:rPr>
                      <w:bCs/>
                      <w:szCs w:val="21"/>
                    </w:rPr>
                  </w:pPr>
                  <w:r>
                    <w:rPr>
                      <w:rFonts w:hint="eastAsia" w:hAnsi="宋体"/>
                      <w:szCs w:val="21"/>
                    </w:rPr>
                    <w:t>DN200-DN700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3.2</w:t>
                  </w:r>
                </w:p>
              </w:tc>
              <w:tc>
                <w:tcPr>
                  <w:tcW w:w="2410" w:type="dxa"/>
                  <w:vAlign w:val="center"/>
                </w:tcPr>
                <w:p>
                  <w:pPr>
                    <w:autoSpaceDE w:val="0"/>
                    <w:autoSpaceDN w:val="0"/>
                    <w:adjustRightInd w:val="0"/>
                    <w:jc w:val="center"/>
                    <w:rPr>
                      <w:rFonts w:hAnsi="宋体"/>
                      <w:szCs w:val="21"/>
                    </w:rPr>
                  </w:pPr>
                  <w:r>
                    <w:rPr>
                      <w:rFonts w:hint="eastAsia" w:hAnsi="宋体"/>
                      <w:szCs w:val="21"/>
                    </w:rPr>
                    <w:t>钢筋混凝土检查井</w:t>
                  </w:r>
                </w:p>
              </w:tc>
              <w:tc>
                <w:tcPr>
                  <w:tcW w:w="1561" w:type="dxa"/>
                  <w:vAlign w:val="center"/>
                </w:tcPr>
                <w:p>
                  <w:pPr>
                    <w:autoSpaceDE w:val="0"/>
                    <w:autoSpaceDN w:val="0"/>
                    <w:adjustRightInd w:val="0"/>
                    <w:jc w:val="center"/>
                    <w:rPr>
                      <w:rFonts w:hAnsi="宋体"/>
                      <w:szCs w:val="21"/>
                    </w:rPr>
                  </w:pPr>
                  <w:r>
                    <w:rPr>
                      <w:rFonts w:hint="eastAsia" w:hAnsi="宋体"/>
                      <w:szCs w:val="21"/>
                    </w:rPr>
                    <w:t>70</w:t>
                  </w:r>
                </w:p>
              </w:tc>
              <w:tc>
                <w:tcPr>
                  <w:tcW w:w="1134" w:type="dxa"/>
                  <w:vAlign w:val="center"/>
                </w:tcPr>
                <w:p>
                  <w:pPr>
                    <w:autoSpaceDE w:val="0"/>
                    <w:autoSpaceDN w:val="0"/>
                    <w:adjustRightInd w:val="0"/>
                    <w:jc w:val="center"/>
                    <w:rPr>
                      <w:rFonts w:hAnsi="宋体"/>
                      <w:szCs w:val="21"/>
                    </w:rPr>
                  </w:pPr>
                  <w:r>
                    <w:rPr>
                      <w:rFonts w:hint="eastAsia" w:hAnsi="宋体"/>
                      <w:szCs w:val="21"/>
                    </w:rPr>
                    <w:t>座</w:t>
                  </w:r>
                </w:p>
              </w:tc>
              <w:tc>
                <w:tcPr>
                  <w:tcW w:w="3087" w:type="dxa"/>
                  <w:vAlign w:val="center"/>
                </w:tcPr>
                <w:p>
                  <w:pPr>
                    <w:autoSpaceDE w:val="0"/>
                    <w:autoSpaceDN w:val="0"/>
                    <w:adjustRightInd w:val="0"/>
                    <w:jc w:val="center"/>
                    <w:rPr>
                      <w:bCs/>
                      <w:szCs w:val="21"/>
                    </w:rPr>
                  </w:pPr>
                  <w:r>
                    <w:rPr>
                      <w:rFonts w:hint="eastAsia" w:hAnsi="宋体"/>
                      <w:szCs w:val="21"/>
                    </w:rPr>
                    <w:t>1000mm×1000mm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3.3</w:t>
                  </w:r>
                </w:p>
              </w:tc>
              <w:tc>
                <w:tcPr>
                  <w:tcW w:w="2410" w:type="dxa"/>
                  <w:vAlign w:val="center"/>
                </w:tcPr>
                <w:p>
                  <w:pPr>
                    <w:autoSpaceDE w:val="0"/>
                    <w:autoSpaceDN w:val="0"/>
                    <w:adjustRightInd w:val="0"/>
                    <w:jc w:val="center"/>
                    <w:rPr>
                      <w:rFonts w:hAnsi="宋体"/>
                      <w:szCs w:val="21"/>
                    </w:rPr>
                  </w:pPr>
                  <w:r>
                    <w:rPr>
                      <w:rFonts w:hint="eastAsia" w:hAnsi="宋体"/>
                      <w:szCs w:val="21"/>
                    </w:rPr>
                    <w:t>雨水口</w:t>
                  </w:r>
                </w:p>
              </w:tc>
              <w:tc>
                <w:tcPr>
                  <w:tcW w:w="1561" w:type="dxa"/>
                  <w:vAlign w:val="center"/>
                </w:tcPr>
                <w:p>
                  <w:pPr>
                    <w:autoSpaceDE w:val="0"/>
                    <w:autoSpaceDN w:val="0"/>
                    <w:adjustRightInd w:val="0"/>
                    <w:jc w:val="center"/>
                    <w:rPr>
                      <w:rFonts w:hAnsi="宋体"/>
                      <w:szCs w:val="21"/>
                    </w:rPr>
                  </w:pPr>
                  <w:r>
                    <w:rPr>
                      <w:rFonts w:hint="eastAsia" w:hAnsi="宋体"/>
                      <w:szCs w:val="21"/>
                    </w:rPr>
                    <w:t>52</w:t>
                  </w:r>
                </w:p>
              </w:tc>
              <w:tc>
                <w:tcPr>
                  <w:tcW w:w="1134" w:type="dxa"/>
                  <w:vAlign w:val="center"/>
                </w:tcPr>
                <w:p>
                  <w:pPr>
                    <w:autoSpaceDE w:val="0"/>
                    <w:autoSpaceDN w:val="0"/>
                    <w:adjustRightInd w:val="0"/>
                    <w:jc w:val="center"/>
                    <w:rPr>
                      <w:rFonts w:hAnsi="宋体"/>
                      <w:szCs w:val="21"/>
                    </w:rPr>
                  </w:pPr>
                  <w:r>
                    <w:rPr>
                      <w:rFonts w:hint="eastAsia" w:hAnsi="宋体"/>
                      <w:szCs w:val="21"/>
                    </w:rPr>
                    <w:t>个</w:t>
                  </w:r>
                </w:p>
              </w:tc>
              <w:tc>
                <w:tcPr>
                  <w:tcW w:w="3087" w:type="dxa"/>
                  <w:vAlign w:val="center"/>
                </w:tcPr>
                <w:p>
                  <w:pPr>
                    <w:autoSpaceDE w:val="0"/>
                    <w:autoSpaceDN w:val="0"/>
                    <w:adjustRightInd w:val="0"/>
                    <w:jc w:val="center"/>
                    <w:rPr>
                      <w:bCs/>
                      <w:szCs w:val="21"/>
                    </w:rPr>
                  </w:pPr>
                  <w:r>
                    <w:rPr>
                      <w:rFonts w:hint="eastAsia" w:hAnsi="宋体"/>
                      <w:szCs w:val="21"/>
                    </w:rPr>
                    <w:t>砖砌</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3.4</w:t>
                  </w:r>
                </w:p>
              </w:tc>
              <w:tc>
                <w:tcPr>
                  <w:tcW w:w="2410" w:type="dxa"/>
                  <w:vAlign w:val="center"/>
                </w:tcPr>
                <w:p>
                  <w:pPr>
                    <w:autoSpaceDE w:val="0"/>
                    <w:autoSpaceDN w:val="0"/>
                    <w:adjustRightInd w:val="0"/>
                    <w:jc w:val="center"/>
                    <w:rPr>
                      <w:rFonts w:hAnsi="宋体"/>
                      <w:szCs w:val="21"/>
                    </w:rPr>
                  </w:pPr>
                  <w:r>
                    <w:rPr>
                      <w:rFonts w:hint="eastAsia" w:hAnsi="宋体"/>
                      <w:szCs w:val="21"/>
                    </w:rPr>
                    <w:t>给水管</w:t>
                  </w:r>
                </w:p>
              </w:tc>
              <w:tc>
                <w:tcPr>
                  <w:tcW w:w="1561" w:type="dxa"/>
                  <w:vAlign w:val="center"/>
                </w:tcPr>
                <w:p>
                  <w:pPr>
                    <w:autoSpaceDE w:val="0"/>
                    <w:autoSpaceDN w:val="0"/>
                    <w:adjustRightInd w:val="0"/>
                    <w:jc w:val="center"/>
                    <w:rPr>
                      <w:rFonts w:hAnsi="宋体"/>
                      <w:szCs w:val="21"/>
                    </w:rPr>
                  </w:pPr>
                  <w:r>
                    <w:rPr>
                      <w:rFonts w:hint="eastAsia" w:hAnsi="宋体"/>
                      <w:szCs w:val="21"/>
                    </w:rPr>
                    <w:t>1080</w:t>
                  </w:r>
                </w:p>
              </w:tc>
              <w:tc>
                <w:tcPr>
                  <w:tcW w:w="1134" w:type="dxa"/>
                  <w:vAlign w:val="center"/>
                </w:tcPr>
                <w:p>
                  <w:pPr>
                    <w:autoSpaceDE w:val="0"/>
                    <w:autoSpaceDN w:val="0"/>
                    <w:adjustRightInd w:val="0"/>
                    <w:jc w:val="center"/>
                    <w:rPr>
                      <w:rFonts w:hAnsi="宋体"/>
                      <w:szCs w:val="21"/>
                    </w:rPr>
                  </w:pPr>
                  <w:r>
                    <w:rPr>
                      <w:rFonts w:hint="eastAsia" w:hAnsi="宋体"/>
                      <w:szCs w:val="21"/>
                    </w:rPr>
                    <w:t>m</w:t>
                  </w:r>
                </w:p>
              </w:tc>
              <w:tc>
                <w:tcPr>
                  <w:tcW w:w="3087" w:type="dxa"/>
                  <w:vAlign w:val="center"/>
                </w:tcPr>
                <w:p>
                  <w:pPr>
                    <w:autoSpaceDE w:val="0"/>
                    <w:autoSpaceDN w:val="0"/>
                    <w:adjustRightInd w:val="0"/>
                    <w:jc w:val="center"/>
                    <w:rPr>
                      <w:bCs/>
                      <w:szCs w:val="21"/>
                    </w:rPr>
                  </w:pPr>
                  <w:r>
                    <w:rPr>
                      <w:rFonts w:hint="eastAsia" w:hAnsi="宋体"/>
                      <w:szCs w:val="21"/>
                    </w:rPr>
                    <w:t>DN150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3.5</w:t>
                  </w:r>
                </w:p>
              </w:tc>
              <w:tc>
                <w:tcPr>
                  <w:tcW w:w="2410" w:type="dxa"/>
                  <w:vAlign w:val="center"/>
                </w:tcPr>
                <w:p>
                  <w:pPr>
                    <w:autoSpaceDE w:val="0"/>
                    <w:autoSpaceDN w:val="0"/>
                    <w:adjustRightInd w:val="0"/>
                    <w:jc w:val="center"/>
                    <w:rPr>
                      <w:rFonts w:hAnsi="宋体"/>
                      <w:szCs w:val="21"/>
                    </w:rPr>
                  </w:pPr>
                  <w:r>
                    <w:rPr>
                      <w:rFonts w:hint="eastAsia" w:hAnsi="宋体"/>
                      <w:szCs w:val="21"/>
                    </w:rPr>
                    <w:t>钢筋混凝土阀门井</w:t>
                  </w:r>
                </w:p>
              </w:tc>
              <w:tc>
                <w:tcPr>
                  <w:tcW w:w="1561" w:type="dxa"/>
                  <w:vAlign w:val="center"/>
                </w:tcPr>
                <w:p>
                  <w:pPr>
                    <w:autoSpaceDE w:val="0"/>
                    <w:autoSpaceDN w:val="0"/>
                    <w:adjustRightInd w:val="0"/>
                    <w:jc w:val="center"/>
                    <w:rPr>
                      <w:rFonts w:hAnsi="宋体"/>
                      <w:szCs w:val="21"/>
                    </w:rPr>
                  </w:pPr>
                  <w:r>
                    <w:rPr>
                      <w:rFonts w:hint="eastAsia" w:hAnsi="宋体"/>
                      <w:szCs w:val="21"/>
                    </w:rPr>
                    <w:t>27</w:t>
                  </w:r>
                </w:p>
              </w:tc>
              <w:tc>
                <w:tcPr>
                  <w:tcW w:w="1134" w:type="dxa"/>
                  <w:vAlign w:val="center"/>
                </w:tcPr>
                <w:p>
                  <w:pPr>
                    <w:autoSpaceDE w:val="0"/>
                    <w:autoSpaceDN w:val="0"/>
                    <w:adjustRightInd w:val="0"/>
                    <w:jc w:val="center"/>
                    <w:rPr>
                      <w:rFonts w:hAnsi="宋体"/>
                      <w:szCs w:val="21"/>
                    </w:rPr>
                  </w:pPr>
                  <w:r>
                    <w:rPr>
                      <w:rFonts w:hint="eastAsia" w:hAnsi="宋体"/>
                      <w:szCs w:val="21"/>
                    </w:rPr>
                    <w:t>座</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3.6</w:t>
                  </w:r>
                </w:p>
              </w:tc>
              <w:tc>
                <w:tcPr>
                  <w:tcW w:w="2410" w:type="dxa"/>
                  <w:vAlign w:val="center"/>
                </w:tcPr>
                <w:p>
                  <w:pPr>
                    <w:autoSpaceDE w:val="0"/>
                    <w:autoSpaceDN w:val="0"/>
                    <w:adjustRightInd w:val="0"/>
                    <w:jc w:val="center"/>
                    <w:rPr>
                      <w:rFonts w:hAnsi="宋体"/>
                      <w:szCs w:val="21"/>
                    </w:rPr>
                  </w:pPr>
                  <w:r>
                    <w:rPr>
                      <w:rFonts w:hint="eastAsia" w:hAnsi="宋体"/>
                      <w:szCs w:val="21"/>
                    </w:rPr>
                    <w:t>钢筋混凝土消火栓井</w:t>
                  </w:r>
                </w:p>
              </w:tc>
              <w:tc>
                <w:tcPr>
                  <w:tcW w:w="1561" w:type="dxa"/>
                  <w:vAlign w:val="center"/>
                </w:tcPr>
                <w:p>
                  <w:pPr>
                    <w:autoSpaceDE w:val="0"/>
                    <w:autoSpaceDN w:val="0"/>
                    <w:adjustRightInd w:val="0"/>
                    <w:jc w:val="center"/>
                    <w:rPr>
                      <w:rFonts w:hAnsi="宋体"/>
                      <w:szCs w:val="21"/>
                    </w:rPr>
                  </w:pPr>
                  <w:r>
                    <w:rPr>
                      <w:rFonts w:hint="eastAsia" w:hAnsi="宋体"/>
                      <w:szCs w:val="21"/>
                    </w:rPr>
                    <w:t xml:space="preserve">8 </w:t>
                  </w:r>
                </w:p>
              </w:tc>
              <w:tc>
                <w:tcPr>
                  <w:tcW w:w="1134" w:type="dxa"/>
                  <w:vAlign w:val="center"/>
                </w:tcPr>
                <w:p>
                  <w:pPr>
                    <w:autoSpaceDE w:val="0"/>
                    <w:autoSpaceDN w:val="0"/>
                    <w:adjustRightInd w:val="0"/>
                    <w:jc w:val="center"/>
                    <w:rPr>
                      <w:rFonts w:hAnsi="宋体"/>
                      <w:szCs w:val="21"/>
                    </w:rPr>
                  </w:pPr>
                  <w:r>
                    <w:rPr>
                      <w:rFonts w:hint="eastAsia" w:hAnsi="宋体"/>
                      <w:szCs w:val="21"/>
                    </w:rPr>
                    <w:t>套</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3.7</w:t>
                  </w:r>
                </w:p>
              </w:tc>
              <w:tc>
                <w:tcPr>
                  <w:tcW w:w="2410" w:type="dxa"/>
                  <w:vAlign w:val="center"/>
                </w:tcPr>
                <w:p>
                  <w:pPr>
                    <w:autoSpaceDE w:val="0"/>
                    <w:autoSpaceDN w:val="0"/>
                    <w:adjustRightInd w:val="0"/>
                    <w:jc w:val="center"/>
                    <w:rPr>
                      <w:rFonts w:hAnsi="宋体"/>
                      <w:szCs w:val="21"/>
                    </w:rPr>
                  </w:pPr>
                  <w:r>
                    <w:rPr>
                      <w:rFonts w:hint="eastAsia" w:hAnsi="宋体"/>
                      <w:szCs w:val="21"/>
                    </w:rPr>
                    <w:t>污水管</w:t>
                  </w:r>
                </w:p>
              </w:tc>
              <w:tc>
                <w:tcPr>
                  <w:tcW w:w="1561" w:type="dxa"/>
                  <w:vAlign w:val="center"/>
                </w:tcPr>
                <w:p>
                  <w:pPr>
                    <w:autoSpaceDE w:val="0"/>
                    <w:autoSpaceDN w:val="0"/>
                    <w:adjustRightInd w:val="0"/>
                    <w:jc w:val="center"/>
                    <w:rPr>
                      <w:rFonts w:hAnsi="宋体"/>
                      <w:szCs w:val="21"/>
                    </w:rPr>
                  </w:pPr>
                  <w:r>
                    <w:rPr>
                      <w:rFonts w:hint="eastAsia" w:hAnsi="宋体"/>
                      <w:szCs w:val="21"/>
                    </w:rPr>
                    <w:t>1359</w:t>
                  </w:r>
                </w:p>
              </w:tc>
              <w:tc>
                <w:tcPr>
                  <w:tcW w:w="1134" w:type="dxa"/>
                  <w:vAlign w:val="center"/>
                </w:tcPr>
                <w:p>
                  <w:pPr>
                    <w:autoSpaceDE w:val="0"/>
                    <w:autoSpaceDN w:val="0"/>
                    <w:adjustRightInd w:val="0"/>
                    <w:jc w:val="center"/>
                    <w:rPr>
                      <w:rFonts w:hAnsi="宋体"/>
                      <w:szCs w:val="21"/>
                    </w:rPr>
                  </w:pPr>
                  <w:r>
                    <w:rPr>
                      <w:rFonts w:hint="eastAsia" w:hAnsi="宋体"/>
                      <w:szCs w:val="21"/>
                    </w:rPr>
                    <w:t>m</w:t>
                  </w:r>
                </w:p>
              </w:tc>
              <w:tc>
                <w:tcPr>
                  <w:tcW w:w="3087" w:type="dxa"/>
                  <w:vAlign w:val="center"/>
                </w:tcPr>
                <w:p>
                  <w:pPr>
                    <w:autoSpaceDE w:val="0"/>
                    <w:autoSpaceDN w:val="0"/>
                    <w:adjustRightInd w:val="0"/>
                    <w:jc w:val="center"/>
                    <w:rPr>
                      <w:bCs/>
                      <w:szCs w:val="21"/>
                    </w:rPr>
                  </w:pPr>
                  <w:r>
                    <w:rPr>
                      <w:rFonts w:hint="eastAsia" w:hAnsi="宋体"/>
                      <w:szCs w:val="21"/>
                    </w:rPr>
                    <w:t>DN400-DN600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8901" w:type="dxa"/>
                  <w:gridSpan w:val="5"/>
                  <w:vAlign w:val="center"/>
                </w:tcPr>
                <w:p>
                  <w:pPr>
                    <w:autoSpaceDE w:val="0"/>
                    <w:autoSpaceDN w:val="0"/>
                    <w:adjustRightInd w:val="0"/>
                    <w:jc w:val="center"/>
                    <w:rPr>
                      <w:b/>
                      <w:bCs/>
                      <w:szCs w:val="21"/>
                    </w:rPr>
                  </w:pPr>
                  <w:r>
                    <w:rPr>
                      <w:rFonts w:hint="eastAsia"/>
                      <w:b/>
                      <w:bCs/>
                      <w:szCs w:val="21"/>
                    </w:rPr>
                    <w:t>四、照明工程</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4.1</w:t>
                  </w:r>
                </w:p>
              </w:tc>
              <w:tc>
                <w:tcPr>
                  <w:tcW w:w="2410" w:type="dxa"/>
                  <w:vAlign w:val="center"/>
                </w:tcPr>
                <w:p>
                  <w:pPr>
                    <w:autoSpaceDE w:val="0"/>
                    <w:autoSpaceDN w:val="0"/>
                    <w:adjustRightInd w:val="0"/>
                    <w:jc w:val="center"/>
                    <w:rPr>
                      <w:rFonts w:hAnsi="宋体"/>
                      <w:szCs w:val="21"/>
                    </w:rPr>
                  </w:pPr>
                  <w:r>
                    <w:rPr>
                      <w:rFonts w:hint="eastAsia" w:hAnsi="宋体"/>
                      <w:szCs w:val="21"/>
                    </w:rPr>
                    <w:t>广场高杆灯</w:t>
                  </w:r>
                </w:p>
              </w:tc>
              <w:tc>
                <w:tcPr>
                  <w:tcW w:w="1561" w:type="dxa"/>
                  <w:vAlign w:val="center"/>
                </w:tcPr>
                <w:p>
                  <w:pPr>
                    <w:autoSpaceDE w:val="0"/>
                    <w:autoSpaceDN w:val="0"/>
                    <w:adjustRightInd w:val="0"/>
                    <w:jc w:val="center"/>
                    <w:rPr>
                      <w:rFonts w:hAnsi="宋体"/>
                      <w:szCs w:val="21"/>
                    </w:rPr>
                  </w:pPr>
                  <w:r>
                    <w:rPr>
                      <w:rFonts w:hint="eastAsia" w:hAnsi="宋体"/>
                      <w:szCs w:val="21"/>
                    </w:rPr>
                    <w:t>1</w:t>
                  </w:r>
                </w:p>
              </w:tc>
              <w:tc>
                <w:tcPr>
                  <w:tcW w:w="1134" w:type="dxa"/>
                  <w:vAlign w:val="center"/>
                </w:tcPr>
                <w:p>
                  <w:pPr>
                    <w:autoSpaceDE w:val="0"/>
                    <w:autoSpaceDN w:val="0"/>
                    <w:adjustRightInd w:val="0"/>
                    <w:jc w:val="center"/>
                    <w:rPr>
                      <w:rFonts w:hAnsi="宋体"/>
                      <w:szCs w:val="21"/>
                    </w:rPr>
                  </w:pPr>
                  <w:r>
                    <w:rPr>
                      <w:rFonts w:hint="eastAsia" w:hAnsi="宋体"/>
                      <w:szCs w:val="21"/>
                    </w:rPr>
                    <w:t>套</w:t>
                  </w:r>
                </w:p>
              </w:tc>
              <w:tc>
                <w:tcPr>
                  <w:tcW w:w="3087" w:type="dxa"/>
                  <w:vAlign w:val="center"/>
                </w:tcPr>
                <w:p>
                  <w:pPr>
                    <w:autoSpaceDE w:val="0"/>
                    <w:autoSpaceDN w:val="0"/>
                    <w:adjustRightInd w:val="0"/>
                    <w:jc w:val="center"/>
                    <w:rPr>
                      <w:bCs/>
                      <w:szCs w:val="21"/>
                    </w:rPr>
                  </w:pPr>
                  <w:r>
                    <w:rPr>
                      <w:rFonts w:hint="eastAsia"/>
                      <w:bCs/>
                      <w:szCs w:val="21"/>
                    </w:rPr>
                    <w:t>高20m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4.2</w:t>
                  </w:r>
                </w:p>
              </w:tc>
              <w:tc>
                <w:tcPr>
                  <w:tcW w:w="2410" w:type="dxa"/>
                  <w:vAlign w:val="center"/>
                </w:tcPr>
                <w:p>
                  <w:pPr>
                    <w:autoSpaceDE w:val="0"/>
                    <w:autoSpaceDN w:val="0"/>
                    <w:adjustRightInd w:val="0"/>
                    <w:jc w:val="center"/>
                    <w:rPr>
                      <w:rFonts w:hAnsi="宋体"/>
                      <w:szCs w:val="21"/>
                    </w:rPr>
                  </w:pPr>
                  <w:r>
                    <w:rPr>
                      <w:rFonts w:hint="eastAsia" w:hAnsi="宋体"/>
                      <w:szCs w:val="21"/>
                    </w:rPr>
                    <w:t>单臂太阳能路灯</w:t>
                  </w:r>
                </w:p>
              </w:tc>
              <w:tc>
                <w:tcPr>
                  <w:tcW w:w="1561" w:type="dxa"/>
                  <w:vAlign w:val="center"/>
                </w:tcPr>
                <w:p>
                  <w:pPr>
                    <w:autoSpaceDE w:val="0"/>
                    <w:autoSpaceDN w:val="0"/>
                    <w:adjustRightInd w:val="0"/>
                    <w:jc w:val="center"/>
                    <w:rPr>
                      <w:rFonts w:hAnsi="宋体"/>
                      <w:szCs w:val="21"/>
                    </w:rPr>
                  </w:pPr>
                  <w:r>
                    <w:rPr>
                      <w:rFonts w:hint="eastAsia" w:hAnsi="宋体"/>
                      <w:szCs w:val="21"/>
                    </w:rPr>
                    <w:t>38</w:t>
                  </w:r>
                </w:p>
              </w:tc>
              <w:tc>
                <w:tcPr>
                  <w:tcW w:w="1134" w:type="dxa"/>
                  <w:vAlign w:val="center"/>
                </w:tcPr>
                <w:p>
                  <w:pPr>
                    <w:autoSpaceDE w:val="0"/>
                    <w:autoSpaceDN w:val="0"/>
                    <w:adjustRightInd w:val="0"/>
                    <w:jc w:val="center"/>
                    <w:rPr>
                      <w:rFonts w:hAnsi="宋体"/>
                      <w:szCs w:val="21"/>
                    </w:rPr>
                  </w:pPr>
                  <w:r>
                    <w:rPr>
                      <w:rFonts w:hint="eastAsia" w:hAnsi="宋体"/>
                      <w:szCs w:val="21"/>
                    </w:rPr>
                    <w:t>套</w:t>
                  </w:r>
                </w:p>
              </w:tc>
              <w:tc>
                <w:tcPr>
                  <w:tcW w:w="3087" w:type="dxa"/>
                  <w:vAlign w:val="center"/>
                </w:tcPr>
                <w:p>
                  <w:pPr>
                    <w:autoSpaceDE w:val="0"/>
                    <w:autoSpaceDN w:val="0"/>
                    <w:adjustRightInd w:val="0"/>
                    <w:jc w:val="center"/>
                    <w:rPr>
                      <w:bCs/>
                      <w:szCs w:val="21"/>
                    </w:rPr>
                  </w:pPr>
                  <w:r>
                    <w:rPr>
                      <w:rFonts w:hint="eastAsia" w:hAnsi="宋体"/>
                      <w:szCs w:val="21"/>
                    </w:rPr>
                    <w:t>单灯总功率为64W，杆高7m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4.3</w:t>
                  </w:r>
                </w:p>
              </w:tc>
              <w:tc>
                <w:tcPr>
                  <w:tcW w:w="2410" w:type="dxa"/>
                  <w:vAlign w:val="center"/>
                </w:tcPr>
                <w:p>
                  <w:pPr>
                    <w:autoSpaceDE w:val="0"/>
                    <w:autoSpaceDN w:val="0"/>
                    <w:adjustRightInd w:val="0"/>
                    <w:jc w:val="center"/>
                    <w:rPr>
                      <w:rFonts w:hAnsi="宋体"/>
                      <w:szCs w:val="21"/>
                    </w:rPr>
                  </w:pPr>
                  <w:r>
                    <w:rPr>
                      <w:rFonts w:hint="eastAsia" w:hAnsi="宋体"/>
                      <w:szCs w:val="21"/>
                    </w:rPr>
                    <w:t>双臂太阳能路灯</w:t>
                  </w:r>
                </w:p>
              </w:tc>
              <w:tc>
                <w:tcPr>
                  <w:tcW w:w="1561" w:type="dxa"/>
                  <w:vAlign w:val="center"/>
                </w:tcPr>
                <w:p>
                  <w:pPr>
                    <w:autoSpaceDE w:val="0"/>
                    <w:autoSpaceDN w:val="0"/>
                    <w:adjustRightInd w:val="0"/>
                    <w:jc w:val="center"/>
                    <w:rPr>
                      <w:rFonts w:hAnsi="宋体"/>
                      <w:szCs w:val="21"/>
                    </w:rPr>
                  </w:pPr>
                  <w:r>
                    <w:rPr>
                      <w:rFonts w:hint="eastAsia" w:hAnsi="宋体"/>
                      <w:szCs w:val="21"/>
                    </w:rPr>
                    <w:t>31</w:t>
                  </w:r>
                </w:p>
              </w:tc>
              <w:tc>
                <w:tcPr>
                  <w:tcW w:w="1134" w:type="dxa"/>
                  <w:vAlign w:val="center"/>
                </w:tcPr>
                <w:p>
                  <w:pPr>
                    <w:autoSpaceDE w:val="0"/>
                    <w:autoSpaceDN w:val="0"/>
                    <w:adjustRightInd w:val="0"/>
                    <w:jc w:val="center"/>
                    <w:rPr>
                      <w:rFonts w:hAnsi="宋体"/>
                      <w:szCs w:val="21"/>
                    </w:rPr>
                  </w:pPr>
                  <w:r>
                    <w:rPr>
                      <w:rFonts w:hint="eastAsia" w:hAnsi="宋体"/>
                      <w:szCs w:val="21"/>
                    </w:rPr>
                    <w:t>套</w:t>
                  </w:r>
                </w:p>
              </w:tc>
              <w:tc>
                <w:tcPr>
                  <w:tcW w:w="3087" w:type="dxa"/>
                  <w:vAlign w:val="center"/>
                </w:tcPr>
                <w:p>
                  <w:pPr>
                    <w:autoSpaceDE w:val="0"/>
                    <w:autoSpaceDN w:val="0"/>
                    <w:adjustRightInd w:val="0"/>
                    <w:jc w:val="center"/>
                    <w:rPr>
                      <w:bCs/>
                      <w:szCs w:val="21"/>
                    </w:rPr>
                  </w:pPr>
                  <w:r>
                    <w:rPr>
                      <w:rFonts w:hint="eastAsia" w:hAnsi="宋体"/>
                      <w:szCs w:val="21"/>
                    </w:rPr>
                    <w:t>单灯功率为176W，杆高9m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8901" w:type="dxa"/>
                  <w:gridSpan w:val="5"/>
                  <w:vAlign w:val="center"/>
                </w:tcPr>
                <w:p>
                  <w:pPr>
                    <w:autoSpaceDE w:val="0"/>
                    <w:autoSpaceDN w:val="0"/>
                    <w:adjustRightInd w:val="0"/>
                    <w:jc w:val="center"/>
                    <w:rPr>
                      <w:b/>
                      <w:bCs/>
                      <w:szCs w:val="21"/>
                    </w:rPr>
                  </w:pPr>
                  <w:r>
                    <w:rPr>
                      <w:rFonts w:hint="eastAsia"/>
                      <w:b/>
                      <w:bCs/>
                      <w:szCs w:val="21"/>
                    </w:rPr>
                    <w:t>五、拆除工程</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5.1</w:t>
                  </w:r>
                </w:p>
              </w:tc>
              <w:tc>
                <w:tcPr>
                  <w:tcW w:w="2410" w:type="dxa"/>
                  <w:vAlign w:val="center"/>
                </w:tcPr>
                <w:p>
                  <w:pPr>
                    <w:autoSpaceDE w:val="0"/>
                    <w:autoSpaceDN w:val="0"/>
                    <w:adjustRightInd w:val="0"/>
                    <w:jc w:val="center"/>
                    <w:rPr>
                      <w:rFonts w:hAnsi="宋体"/>
                      <w:szCs w:val="21"/>
                    </w:rPr>
                  </w:pPr>
                  <w:r>
                    <w:rPr>
                      <w:rFonts w:hint="eastAsia" w:hAnsi="宋体"/>
                      <w:szCs w:val="21"/>
                    </w:rPr>
                    <w:t>原有沥青混凝土路面</w:t>
                  </w:r>
                </w:p>
              </w:tc>
              <w:tc>
                <w:tcPr>
                  <w:tcW w:w="1561" w:type="dxa"/>
                  <w:vAlign w:val="center"/>
                </w:tcPr>
                <w:p>
                  <w:pPr>
                    <w:autoSpaceDE w:val="0"/>
                    <w:autoSpaceDN w:val="0"/>
                    <w:adjustRightInd w:val="0"/>
                    <w:jc w:val="center"/>
                    <w:rPr>
                      <w:rFonts w:hAnsi="宋体"/>
                      <w:szCs w:val="21"/>
                    </w:rPr>
                  </w:pPr>
                  <w:r>
                    <w:rPr>
                      <w:rFonts w:hint="eastAsia" w:hAnsi="宋体"/>
                      <w:szCs w:val="21"/>
                    </w:rPr>
                    <w:t>1156.45</w:t>
                  </w:r>
                </w:p>
              </w:tc>
              <w:tc>
                <w:tcPr>
                  <w:tcW w:w="1134" w:type="dxa"/>
                  <w:vAlign w:val="center"/>
                </w:tcPr>
                <w:p>
                  <w:pPr>
                    <w:autoSpaceDE w:val="0"/>
                    <w:autoSpaceDN w:val="0"/>
                    <w:adjustRightInd w:val="0"/>
                    <w:jc w:val="center"/>
                    <w:rPr>
                      <w:rFonts w:hAnsi="宋体"/>
                      <w:szCs w:val="21"/>
                    </w:rPr>
                  </w:pPr>
                  <w:r>
                    <w:rPr>
                      <w:rFonts w:hint="eastAsia" w:hAnsi="宋体"/>
                      <w:szCs w:val="21"/>
                    </w:rPr>
                    <w:t>m</w:t>
                  </w:r>
                  <w:r>
                    <w:rPr>
                      <w:rFonts w:hint="eastAsia" w:hAnsi="宋体"/>
                      <w:szCs w:val="21"/>
                      <w:vertAlign w:val="superscript"/>
                    </w:rPr>
                    <w:t>2</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5.2</w:t>
                  </w:r>
                </w:p>
              </w:tc>
              <w:tc>
                <w:tcPr>
                  <w:tcW w:w="2410" w:type="dxa"/>
                  <w:vAlign w:val="center"/>
                </w:tcPr>
                <w:p>
                  <w:pPr>
                    <w:autoSpaceDE w:val="0"/>
                    <w:autoSpaceDN w:val="0"/>
                    <w:adjustRightInd w:val="0"/>
                    <w:jc w:val="center"/>
                    <w:rPr>
                      <w:rFonts w:hAnsi="宋体"/>
                      <w:szCs w:val="21"/>
                    </w:rPr>
                  </w:pPr>
                  <w:r>
                    <w:rPr>
                      <w:rFonts w:hint="eastAsia" w:hAnsi="宋体"/>
                      <w:szCs w:val="21"/>
                    </w:rPr>
                    <w:t>现有透水砖人行道</w:t>
                  </w:r>
                </w:p>
              </w:tc>
              <w:tc>
                <w:tcPr>
                  <w:tcW w:w="1561" w:type="dxa"/>
                  <w:vAlign w:val="center"/>
                </w:tcPr>
                <w:p>
                  <w:pPr>
                    <w:autoSpaceDE w:val="0"/>
                    <w:autoSpaceDN w:val="0"/>
                    <w:adjustRightInd w:val="0"/>
                    <w:jc w:val="center"/>
                    <w:rPr>
                      <w:rFonts w:hAnsi="宋体"/>
                      <w:szCs w:val="21"/>
                    </w:rPr>
                  </w:pPr>
                  <w:r>
                    <w:rPr>
                      <w:rFonts w:hint="eastAsia" w:hAnsi="宋体"/>
                      <w:szCs w:val="21"/>
                    </w:rPr>
                    <w:t>3641.19</w:t>
                  </w:r>
                </w:p>
              </w:tc>
              <w:tc>
                <w:tcPr>
                  <w:tcW w:w="1134" w:type="dxa"/>
                  <w:vAlign w:val="center"/>
                </w:tcPr>
                <w:p>
                  <w:pPr>
                    <w:autoSpaceDE w:val="0"/>
                    <w:autoSpaceDN w:val="0"/>
                    <w:adjustRightInd w:val="0"/>
                    <w:jc w:val="center"/>
                    <w:rPr>
                      <w:rFonts w:hAnsi="宋体"/>
                      <w:szCs w:val="21"/>
                    </w:rPr>
                  </w:pPr>
                  <w:r>
                    <w:rPr>
                      <w:rFonts w:hint="eastAsia" w:hAnsi="宋体"/>
                      <w:szCs w:val="21"/>
                    </w:rPr>
                    <w:t>m</w:t>
                  </w:r>
                  <w:r>
                    <w:rPr>
                      <w:rFonts w:hint="eastAsia" w:hAnsi="宋体"/>
                      <w:szCs w:val="21"/>
                      <w:vertAlign w:val="superscript"/>
                    </w:rPr>
                    <w:t>2</w:t>
                  </w:r>
                </w:p>
              </w:tc>
              <w:tc>
                <w:tcPr>
                  <w:tcW w:w="3087" w:type="dxa"/>
                  <w:vAlign w:val="center"/>
                </w:tcPr>
                <w:p>
                  <w:pPr>
                    <w:autoSpaceDE w:val="0"/>
                    <w:autoSpaceDN w:val="0"/>
                    <w:adjustRightInd w:val="0"/>
                    <w:jc w:val="center"/>
                    <w:rPr>
                      <w:bCs/>
                      <w:szCs w:val="21"/>
                    </w:rPr>
                  </w:pPr>
                  <w:r>
                    <w:rPr>
                      <w:rFonts w:hint="eastAsia"/>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8901" w:type="dxa"/>
                  <w:gridSpan w:val="5"/>
                  <w:vAlign w:val="center"/>
                </w:tcPr>
                <w:p>
                  <w:pPr>
                    <w:autoSpaceDE w:val="0"/>
                    <w:autoSpaceDN w:val="0"/>
                    <w:adjustRightInd w:val="0"/>
                    <w:jc w:val="center"/>
                    <w:rPr>
                      <w:b/>
                      <w:bCs/>
                      <w:szCs w:val="21"/>
                    </w:rPr>
                  </w:pPr>
                  <w:r>
                    <w:rPr>
                      <w:rFonts w:hint="eastAsia"/>
                      <w:b/>
                      <w:bCs/>
                      <w:szCs w:val="21"/>
                    </w:rPr>
                    <w:t>六、污水处理站</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6.1</w:t>
                  </w:r>
                </w:p>
              </w:tc>
              <w:tc>
                <w:tcPr>
                  <w:tcW w:w="2410" w:type="dxa"/>
                  <w:vAlign w:val="center"/>
                </w:tcPr>
                <w:p>
                  <w:pPr>
                    <w:autoSpaceDE w:val="0"/>
                    <w:autoSpaceDN w:val="0"/>
                    <w:adjustRightInd w:val="0"/>
                    <w:jc w:val="center"/>
                    <w:rPr>
                      <w:rFonts w:hAnsi="宋体"/>
                      <w:szCs w:val="21"/>
                    </w:rPr>
                  </w:pPr>
                  <w:r>
                    <w:rPr>
                      <w:rFonts w:hint="eastAsia" w:hAnsi="宋体"/>
                      <w:szCs w:val="21"/>
                    </w:rPr>
                    <w:t>污水处理站</w:t>
                  </w:r>
                </w:p>
              </w:tc>
              <w:tc>
                <w:tcPr>
                  <w:tcW w:w="1561" w:type="dxa"/>
                  <w:vAlign w:val="center"/>
                </w:tcPr>
                <w:p>
                  <w:pPr>
                    <w:autoSpaceDE w:val="0"/>
                    <w:autoSpaceDN w:val="0"/>
                    <w:adjustRightInd w:val="0"/>
                    <w:jc w:val="center"/>
                    <w:rPr>
                      <w:rFonts w:hAnsi="宋体"/>
                      <w:szCs w:val="21"/>
                    </w:rPr>
                  </w:pPr>
                  <w:r>
                    <w:rPr>
                      <w:rFonts w:hint="eastAsia" w:hAnsi="宋体"/>
                      <w:szCs w:val="21"/>
                    </w:rPr>
                    <w:t>1</w:t>
                  </w:r>
                </w:p>
              </w:tc>
              <w:tc>
                <w:tcPr>
                  <w:tcW w:w="1134" w:type="dxa"/>
                  <w:vAlign w:val="center"/>
                </w:tcPr>
                <w:p>
                  <w:pPr>
                    <w:autoSpaceDE w:val="0"/>
                    <w:autoSpaceDN w:val="0"/>
                    <w:adjustRightInd w:val="0"/>
                    <w:jc w:val="center"/>
                    <w:rPr>
                      <w:rFonts w:hAnsi="宋体"/>
                      <w:szCs w:val="21"/>
                    </w:rPr>
                  </w:pPr>
                  <w:r>
                    <w:rPr>
                      <w:rFonts w:hint="eastAsia" w:hAnsi="宋体"/>
                      <w:szCs w:val="21"/>
                    </w:rPr>
                    <w:t>座</w:t>
                  </w:r>
                </w:p>
              </w:tc>
              <w:tc>
                <w:tcPr>
                  <w:tcW w:w="3087" w:type="dxa"/>
                  <w:vAlign w:val="center"/>
                </w:tcPr>
                <w:p>
                  <w:pPr>
                    <w:autoSpaceDE w:val="0"/>
                    <w:autoSpaceDN w:val="0"/>
                    <w:adjustRightInd w:val="0"/>
                    <w:jc w:val="center"/>
                    <w:rPr>
                      <w:bCs/>
                      <w:szCs w:val="21"/>
                    </w:rPr>
                  </w:pPr>
                  <w:r>
                    <w:rPr>
                      <w:rFonts w:hint="eastAsia"/>
                      <w:bCs/>
                      <w:szCs w:val="21"/>
                    </w:rPr>
                    <w:t>规模100m</w:t>
                  </w:r>
                  <w:r>
                    <w:rPr>
                      <w:rFonts w:hint="eastAsia"/>
                      <w:bCs/>
                      <w:szCs w:val="21"/>
                      <w:vertAlign w:val="superscript"/>
                    </w:rPr>
                    <w:t>3</w:t>
                  </w:r>
                </w:p>
              </w:tc>
            </w:tr>
          </w:tbl>
          <w:p>
            <w:pPr>
              <w:autoSpaceDE w:val="0"/>
              <w:autoSpaceDN w:val="0"/>
              <w:adjustRightInd w:val="0"/>
              <w:spacing w:line="460" w:lineRule="exact"/>
              <w:ind w:firstLine="422" w:firstLineChars="200"/>
              <w:jc w:val="center"/>
              <w:rPr>
                <w:rFonts w:hAnsi="宋体"/>
                <w:b/>
                <w:kern w:val="0"/>
                <w:szCs w:val="21"/>
              </w:rPr>
            </w:pPr>
            <w:r>
              <w:rPr>
                <w:rFonts w:hint="eastAsia" w:hAnsi="宋体"/>
                <w:b/>
                <w:kern w:val="0"/>
                <w:szCs w:val="21"/>
              </w:rPr>
              <w:t>表3   主要经济技术指标一览表</w:t>
            </w:r>
          </w:p>
          <w:tbl>
            <w:tblPr>
              <w:tblStyle w:val="36"/>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275"/>
              <w:gridCol w:w="2188"/>
              <w:gridCol w:w="2225"/>
              <w:gridCol w:w="22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993" w:type="dxa"/>
                  <w:vAlign w:val="center"/>
                </w:tcPr>
                <w:p>
                  <w:pPr>
                    <w:autoSpaceDE w:val="0"/>
                    <w:autoSpaceDN w:val="0"/>
                    <w:adjustRightInd w:val="0"/>
                    <w:jc w:val="center"/>
                    <w:rPr>
                      <w:rFonts w:hAnsi="宋体"/>
                      <w:b/>
                      <w:kern w:val="0"/>
                      <w:szCs w:val="21"/>
                    </w:rPr>
                  </w:pPr>
                  <w:r>
                    <w:rPr>
                      <w:rFonts w:hint="eastAsia" w:hAnsi="宋体"/>
                      <w:b/>
                      <w:kern w:val="0"/>
                      <w:szCs w:val="21"/>
                    </w:rPr>
                    <w:t>序号</w:t>
                  </w:r>
                </w:p>
              </w:tc>
              <w:tc>
                <w:tcPr>
                  <w:tcW w:w="3463" w:type="dxa"/>
                  <w:gridSpan w:val="2"/>
                  <w:vAlign w:val="center"/>
                </w:tcPr>
                <w:p>
                  <w:pPr>
                    <w:autoSpaceDE w:val="0"/>
                    <w:autoSpaceDN w:val="0"/>
                    <w:adjustRightInd w:val="0"/>
                    <w:jc w:val="center"/>
                    <w:rPr>
                      <w:rFonts w:hAnsi="宋体"/>
                      <w:b/>
                      <w:kern w:val="0"/>
                      <w:szCs w:val="21"/>
                    </w:rPr>
                  </w:pPr>
                  <w:r>
                    <w:rPr>
                      <w:rFonts w:hint="eastAsia" w:hAnsi="宋体"/>
                      <w:b/>
                      <w:kern w:val="0"/>
                      <w:szCs w:val="21"/>
                    </w:rPr>
                    <w:t>项目</w:t>
                  </w:r>
                </w:p>
              </w:tc>
              <w:tc>
                <w:tcPr>
                  <w:tcW w:w="2225" w:type="dxa"/>
                  <w:vAlign w:val="center"/>
                </w:tcPr>
                <w:p>
                  <w:pPr>
                    <w:autoSpaceDE w:val="0"/>
                    <w:autoSpaceDN w:val="0"/>
                    <w:adjustRightInd w:val="0"/>
                    <w:jc w:val="center"/>
                    <w:rPr>
                      <w:rFonts w:hAnsi="宋体"/>
                      <w:b/>
                      <w:kern w:val="0"/>
                      <w:szCs w:val="21"/>
                    </w:rPr>
                  </w:pPr>
                  <w:r>
                    <w:rPr>
                      <w:rFonts w:hint="eastAsia" w:hAnsi="宋体"/>
                      <w:b/>
                      <w:kern w:val="0"/>
                      <w:szCs w:val="21"/>
                    </w:rPr>
                    <w:t>单位</w:t>
                  </w:r>
                </w:p>
              </w:tc>
              <w:tc>
                <w:tcPr>
                  <w:tcW w:w="2220" w:type="dxa"/>
                  <w:vAlign w:val="center"/>
                </w:tcPr>
                <w:p>
                  <w:pPr>
                    <w:autoSpaceDE w:val="0"/>
                    <w:autoSpaceDN w:val="0"/>
                    <w:adjustRightInd w:val="0"/>
                    <w:jc w:val="center"/>
                    <w:rPr>
                      <w:rFonts w:hAnsi="宋体"/>
                      <w:b/>
                      <w:kern w:val="0"/>
                      <w:szCs w:val="21"/>
                    </w:rPr>
                  </w:pPr>
                  <w:r>
                    <w:rPr>
                      <w:rFonts w:hint="eastAsia" w:hAnsi="宋体"/>
                      <w:b/>
                      <w:kern w:val="0"/>
                      <w:szCs w:val="21"/>
                    </w:rPr>
                    <w:t>指标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993" w:type="dxa"/>
                  <w:vAlign w:val="center"/>
                </w:tcPr>
                <w:p>
                  <w:pPr>
                    <w:autoSpaceDE w:val="0"/>
                    <w:autoSpaceDN w:val="0"/>
                    <w:adjustRightInd w:val="0"/>
                    <w:jc w:val="center"/>
                    <w:rPr>
                      <w:rFonts w:hAnsi="宋体"/>
                      <w:kern w:val="0"/>
                      <w:szCs w:val="21"/>
                    </w:rPr>
                  </w:pPr>
                  <w:r>
                    <w:rPr>
                      <w:rFonts w:hint="eastAsia" w:hAnsi="宋体"/>
                      <w:kern w:val="0"/>
                      <w:szCs w:val="21"/>
                    </w:rPr>
                    <w:t>1</w:t>
                  </w:r>
                </w:p>
              </w:tc>
              <w:tc>
                <w:tcPr>
                  <w:tcW w:w="3463" w:type="dxa"/>
                  <w:gridSpan w:val="2"/>
                  <w:vAlign w:val="center"/>
                </w:tcPr>
                <w:p>
                  <w:pPr>
                    <w:autoSpaceDE w:val="0"/>
                    <w:autoSpaceDN w:val="0"/>
                    <w:adjustRightInd w:val="0"/>
                    <w:jc w:val="center"/>
                    <w:rPr>
                      <w:rFonts w:hAnsi="宋体"/>
                      <w:kern w:val="0"/>
                      <w:szCs w:val="21"/>
                    </w:rPr>
                  </w:pPr>
                  <w:r>
                    <w:rPr>
                      <w:rFonts w:hint="eastAsia" w:hAnsi="宋体"/>
                      <w:kern w:val="0"/>
                      <w:szCs w:val="21"/>
                    </w:rPr>
                    <w:t>工程总占地面积</w:t>
                  </w:r>
                </w:p>
              </w:tc>
              <w:tc>
                <w:tcPr>
                  <w:tcW w:w="2225" w:type="dxa"/>
                  <w:vAlign w:val="center"/>
                </w:tcPr>
                <w:p>
                  <w:pPr>
                    <w:autoSpaceDE w:val="0"/>
                    <w:autoSpaceDN w:val="0"/>
                    <w:adjustRightInd w:val="0"/>
                    <w:jc w:val="center"/>
                    <w:rPr>
                      <w:rFonts w:hAnsi="宋体"/>
                      <w:szCs w:val="21"/>
                    </w:rPr>
                  </w:pPr>
                  <w:r>
                    <w:rPr>
                      <w:rFonts w:hint="eastAsia" w:hAnsi="宋体"/>
                      <w:szCs w:val="21"/>
                    </w:rPr>
                    <w:t>m</w:t>
                  </w:r>
                  <w:r>
                    <w:rPr>
                      <w:rFonts w:hint="eastAsia" w:hAnsi="宋体"/>
                      <w:szCs w:val="21"/>
                      <w:vertAlign w:val="superscript"/>
                    </w:rPr>
                    <w:t>2</w:t>
                  </w:r>
                </w:p>
              </w:tc>
              <w:tc>
                <w:tcPr>
                  <w:tcW w:w="2220" w:type="dxa"/>
                  <w:vAlign w:val="center"/>
                </w:tcPr>
                <w:p>
                  <w:pPr>
                    <w:autoSpaceDE w:val="0"/>
                    <w:autoSpaceDN w:val="0"/>
                    <w:adjustRightInd w:val="0"/>
                    <w:jc w:val="center"/>
                    <w:rPr>
                      <w:bCs/>
                      <w:szCs w:val="21"/>
                    </w:rPr>
                  </w:pPr>
                  <w:r>
                    <w:rPr>
                      <w:rFonts w:hint="eastAsia"/>
                      <w:bCs/>
                      <w:szCs w:val="21"/>
                    </w:rPr>
                    <w:t>16959.08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993" w:type="dxa"/>
                  <w:vMerge w:val="restart"/>
                  <w:vAlign w:val="center"/>
                </w:tcPr>
                <w:p>
                  <w:pPr>
                    <w:autoSpaceDE w:val="0"/>
                    <w:autoSpaceDN w:val="0"/>
                    <w:adjustRightInd w:val="0"/>
                    <w:jc w:val="center"/>
                    <w:rPr>
                      <w:rFonts w:hAnsi="宋体"/>
                      <w:kern w:val="0"/>
                      <w:szCs w:val="21"/>
                    </w:rPr>
                  </w:pPr>
                  <w:r>
                    <w:rPr>
                      <w:rFonts w:hint="eastAsia" w:hAnsi="宋体"/>
                      <w:kern w:val="0"/>
                      <w:szCs w:val="21"/>
                    </w:rPr>
                    <w:t>2</w:t>
                  </w:r>
                </w:p>
              </w:tc>
              <w:tc>
                <w:tcPr>
                  <w:tcW w:w="1275" w:type="dxa"/>
                  <w:vMerge w:val="restart"/>
                  <w:vAlign w:val="center"/>
                </w:tcPr>
                <w:p>
                  <w:pPr>
                    <w:autoSpaceDE w:val="0"/>
                    <w:autoSpaceDN w:val="0"/>
                    <w:adjustRightInd w:val="0"/>
                    <w:jc w:val="center"/>
                    <w:rPr>
                      <w:rFonts w:hAnsi="宋体"/>
                      <w:kern w:val="0"/>
                      <w:szCs w:val="21"/>
                    </w:rPr>
                  </w:pPr>
                  <w:r>
                    <w:rPr>
                      <w:rFonts w:hint="eastAsia" w:hAnsi="宋体"/>
                      <w:kern w:val="0"/>
                      <w:szCs w:val="21"/>
                    </w:rPr>
                    <w:t>工程规模</w:t>
                  </w:r>
                </w:p>
              </w:tc>
              <w:tc>
                <w:tcPr>
                  <w:tcW w:w="2188" w:type="dxa"/>
                  <w:vAlign w:val="center"/>
                </w:tcPr>
                <w:p>
                  <w:pPr>
                    <w:autoSpaceDE w:val="0"/>
                    <w:autoSpaceDN w:val="0"/>
                    <w:adjustRightInd w:val="0"/>
                    <w:jc w:val="center"/>
                    <w:rPr>
                      <w:rFonts w:hAnsi="宋体"/>
                      <w:kern w:val="0"/>
                      <w:szCs w:val="21"/>
                    </w:rPr>
                  </w:pPr>
                  <w:r>
                    <w:rPr>
                      <w:rFonts w:hint="eastAsia" w:hAnsi="宋体"/>
                      <w:kern w:val="0"/>
                      <w:szCs w:val="21"/>
                    </w:rPr>
                    <w:t>透水砖铺装路面</w:t>
                  </w:r>
                </w:p>
              </w:tc>
              <w:tc>
                <w:tcPr>
                  <w:tcW w:w="2225" w:type="dxa"/>
                  <w:vAlign w:val="center"/>
                </w:tcPr>
                <w:p>
                  <w:pPr>
                    <w:autoSpaceDE w:val="0"/>
                    <w:autoSpaceDN w:val="0"/>
                    <w:adjustRightInd w:val="0"/>
                    <w:jc w:val="center"/>
                    <w:rPr>
                      <w:rFonts w:hAnsi="宋体"/>
                      <w:kern w:val="0"/>
                      <w:szCs w:val="21"/>
                    </w:rPr>
                  </w:pPr>
                  <w:r>
                    <w:rPr>
                      <w:rFonts w:hint="eastAsia" w:hAnsi="宋体"/>
                      <w:szCs w:val="21"/>
                    </w:rPr>
                    <w:t>m</w:t>
                  </w:r>
                  <w:r>
                    <w:rPr>
                      <w:rFonts w:hint="eastAsia" w:hAnsi="宋体"/>
                      <w:szCs w:val="21"/>
                      <w:vertAlign w:val="superscript"/>
                    </w:rPr>
                    <w:t>2</w:t>
                  </w:r>
                </w:p>
              </w:tc>
              <w:tc>
                <w:tcPr>
                  <w:tcW w:w="2220" w:type="dxa"/>
                  <w:vAlign w:val="center"/>
                </w:tcPr>
                <w:p>
                  <w:pPr>
                    <w:autoSpaceDE w:val="0"/>
                    <w:autoSpaceDN w:val="0"/>
                    <w:adjustRightInd w:val="0"/>
                    <w:jc w:val="center"/>
                    <w:rPr>
                      <w:rFonts w:hAnsi="宋体"/>
                      <w:kern w:val="0"/>
                      <w:szCs w:val="21"/>
                    </w:rPr>
                  </w:pPr>
                  <w:r>
                    <w:rPr>
                      <w:rFonts w:hint="eastAsia"/>
                      <w:bCs/>
                      <w:szCs w:val="21"/>
                    </w:rPr>
                    <w:t>2094.84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993" w:type="dxa"/>
                  <w:vMerge w:val="continue"/>
                  <w:vAlign w:val="center"/>
                </w:tcPr>
                <w:p>
                  <w:pPr>
                    <w:autoSpaceDE w:val="0"/>
                    <w:autoSpaceDN w:val="0"/>
                    <w:adjustRightInd w:val="0"/>
                    <w:jc w:val="center"/>
                    <w:rPr>
                      <w:rFonts w:hAnsi="宋体"/>
                      <w:kern w:val="0"/>
                      <w:szCs w:val="21"/>
                    </w:rPr>
                  </w:pPr>
                </w:p>
              </w:tc>
              <w:tc>
                <w:tcPr>
                  <w:tcW w:w="1275" w:type="dxa"/>
                  <w:vMerge w:val="continue"/>
                  <w:vAlign w:val="center"/>
                </w:tcPr>
                <w:p>
                  <w:pPr>
                    <w:autoSpaceDE w:val="0"/>
                    <w:autoSpaceDN w:val="0"/>
                    <w:adjustRightInd w:val="0"/>
                    <w:jc w:val="center"/>
                    <w:rPr>
                      <w:rFonts w:hAnsi="宋体"/>
                      <w:kern w:val="0"/>
                      <w:szCs w:val="21"/>
                    </w:rPr>
                  </w:pPr>
                </w:p>
              </w:tc>
              <w:tc>
                <w:tcPr>
                  <w:tcW w:w="2188" w:type="dxa"/>
                  <w:vAlign w:val="center"/>
                </w:tcPr>
                <w:p>
                  <w:pPr>
                    <w:autoSpaceDE w:val="0"/>
                    <w:autoSpaceDN w:val="0"/>
                    <w:adjustRightInd w:val="0"/>
                    <w:jc w:val="center"/>
                    <w:rPr>
                      <w:rFonts w:hAnsi="宋体"/>
                      <w:kern w:val="0"/>
                      <w:szCs w:val="21"/>
                    </w:rPr>
                  </w:pPr>
                  <w:r>
                    <w:rPr>
                      <w:rFonts w:hint="eastAsia"/>
                      <w:bCs/>
                      <w:szCs w:val="21"/>
                    </w:rPr>
                    <w:t>沥青混凝土路面</w:t>
                  </w:r>
                </w:p>
              </w:tc>
              <w:tc>
                <w:tcPr>
                  <w:tcW w:w="2225" w:type="dxa"/>
                  <w:vAlign w:val="center"/>
                </w:tcPr>
                <w:p>
                  <w:pPr>
                    <w:autoSpaceDE w:val="0"/>
                    <w:autoSpaceDN w:val="0"/>
                    <w:adjustRightInd w:val="0"/>
                    <w:jc w:val="center"/>
                    <w:rPr>
                      <w:rFonts w:hAnsi="宋体"/>
                      <w:kern w:val="0"/>
                      <w:szCs w:val="21"/>
                    </w:rPr>
                  </w:pPr>
                  <w:r>
                    <w:rPr>
                      <w:rFonts w:hint="eastAsia" w:hAnsi="宋体"/>
                      <w:szCs w:val="21"/>
                    </w:rPr>
                    <w:t>m</w:t>
                  </w:r>
                  <w:r>
                    <w:rPr>
                      <w:rFonts w:hint="eastAsia" w:hAnsi="宋体"/>
                      <w:szCs w:val="21"/>
                      <w:vertAlign w:val="superscript"/>
                    </w:rPr>
                    <w:t>2</w:t>
                  </w:r>
                </w:p>
              </w:tc>
              <w:tc>
                <w:tcPr>
                  <w:tcW w:w="2220" w:type="dxa"/>
                  <w:vAlign w:val="center"/>
                </w:tcPr>
                <w:p>
                  <w:pPr>
                    <w:autoSpaceDE w:val="0"/>
                    <w:autoSpaceDN w:val="0"/>
                    <w:adjustRightInd w:val="0"/>
                    <w:jc w:val="center"/>
                    <w:rPr>
                      <w:rFonts w:hAnsi="宋体"/>
                      <w:kern w:val="0"/>
                      <w:szCs w:val="21"/>
                    </w:rPr>
                  </w:pPr>
                  <w:r>
                    <w:rPr>
                      <w:rFonts w:hint="eastAsia" w:hAnsi="宋体"/>
                      <w:bCs/>
                      <w:kern w:val="0"/>
                      <w:szCs w:val="21"/>
                    </w:rPr>
                    <w:t xml:space="preserve">2292.49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993" w:type="dxa"/>
                  <w:vMerge w:val="continue"/>
                  <w:vAlign w:val="center"/>
                </w:tcPr>
                <w:p>
                  <w:pPr>
                    <w:autoSpaceDE w:val="0"/>
                    <w:autoSpaceDN w:val="0"/>
                    <w:adjustRightInd w:val="0"/>
                    <w:jc w:val="center"/>
                    <w:rPr>
                      <w:rFonts w:hAnsi="宋体"/>
                      <w:kern w:val="0"/>
                      <w:szCs w:val="21"/>
                    </w:rPr>
                  </w:pPr>
                </w:p>
              </w:tc>
              <w:tc>
                <w:tcPr>
                  <w:tcW w:w="1275" w:type="dxa"/>
                  <w:vMerge w:val="continue"/>
                  <w:vAlign w:val="center"/>
                </w:tcPr>
                <w:p>
                  <w:pPr>
                    <w:autoSpaceDE w:val="0"/>
                    <w:autoSpaceDN w:val="0"/>
                    <w:adjustRightInd w:val="0"/>
                    <w:jc w:val="center"/>
                    <w:rPr>
                      <w:rFonts w:hAnsi="宋体"/>
                      <w:kern w:val="0"/>
                      <w:szCs w:val="21"/>
                    </w:rPr>
                  </w:pPr>
                </w:p>
              </w:tc>
              <w:tc>
                <w:tcPr>
                  <w:tcW w:w="2188" w:type="dxa"/>
                  <w:vAlign w:val="center"/>
                </w:tcPr>
                <w:p>
                  <w:pPr>
                    <w:autoSpaceDE w:val="0"/>
                    <w:autoSpaceDN w:val="0"/>
                    <w:adjustRightInd w:val="0"/>
                    <w:jc w:val="center"/>
                    <w:rPr>
                      <w:bCs/>
                      <w:szCs w:val="21"/>
                    </w:rPr>
                  </w:pPr>
                  <w:r>
                    <w:rPr>
                      <w:rFonts w:hint="eastAsia"/>
                      <w:bCs/>
                      <w:szCs w:val="21"/>
                    </w:rPr>
                    <w:t>广场占地面积</w:t>
                  </w:r>
                </w:p>
              </w:tc>
              <w:tc>
                <w:tcPr>
                  <w:tcW w:w="2225" w:type="dxa"/>
                  <w:vAlign w:val="center"/>
                </w:tcPr>
                <w:p>
                  <w:pPr>
                    <w:autoSpaceDE w:val="0"/>
                    <w:autoSpaceDN w:val="0"/>
                    <w:adjustRightInd w:val="0"/>
                    <w:jc w:val="center"/>
                    <w:rPr>
                      <w:rFonts w:hAnsi="宋体"/>
                      <w:szCs w:val="21"/>
                    </w:rPr>
                  </w:pPr>
                  <w:r>
                    <w:rPr>
                      <w:rFonts w:hint="eastAsia" w:hAnsi="宋体"/>
                      <w:szCs w:val="21"/>
                    </w:rPr>
                    <w:t>m</w:t>
                  </w:r>
                  <w:r>
                    <w:rPr>
                      <w:rFonts w:hint="eastAsia" w:hAnsi="宋体"/>
                      <w:szCs w:val="21"/>
                      <w:vertAlign w:val="superscript"/>
                    </w:rPr>
                    <w:t>2</w:t>
                  </w:r>
                </w:p>
              </w:tc>
              <w:tc>
                <w:tcPr>
                  <w:tcW w:w="2220" w:type="dxa"/>
                  <w:vAlign w:val="center"/>
                </w:tcPr>
                <w:p>
                  <w:pPr>
                    <w:autoSpaceDE w:val="0"/>
                    <w:autoSpaceDN w:val="0"/>
                    <w:adjustRightInd w:val="0"/>
                    <w:jc w:val="center"/>
                    <w:rPr>
                      <w:rFonts w:hAnsi="宋体"/>
                      <w:bCs/>
                      <w:kern w:val="0"/>
                      <w:szCs w:val="21"/>
                    </w:rPr>
                  </w:pPr>
                  <w:r>
                    <w:rPr>
                      <w:rFonts w:hint="eastAsia" w:hAnsi="宋体"/>
                      <w:bCs/>
                      <w:kern w:val="0"/>
                      <w:szCs w:val="21"/>
                    </w:rPr>
                    <w:t>975.57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993" w:type="dxa"/>
                  <w:vMerge w:val="continue"/>
                  <w:vAlign w:val="center"/>
                </w:tcPr>
                <w:p>
                  <w:pPr>
                    <w:autoSpaceDE w:val="0"/>
                    <w:autoSpaceDN w:val="0"/>
                    <w:adjustRightInd w:val="0"/>
                    <w:jc w:val="center"/>
                    <w:rPr>
                      <w:rFonts w:hAnsi="宋体"/>
                      <w:kern w:val="0"/>
                      <w:szCs w:val="21"/>
                    </w:rPr>
                  </w:pPr>
                </w:p>
              </w:tc>
              <w:tc>
                <w:tcPr>
                  <w:tcW w:w="1275" w:type="dxa"/>
                  <w:vMerge w:val="continue"/>
                  <w:vAlign w:val="center"/>
                </w:tcPr>
                <w:p>
                  <w:pPr>
                    <w:autoSpaceDE w:val="0"/>
                    <w:autoSpaceDN w:val="0"/>
                    <w:adjustRightInd w:val="0"/>
                    <w:jc w:val="center"/>
                    <w:rPr>
                      <w:rFonts w:hAnsi="宋体"/>
                      <w:kern w:val="0"/>
                      <w:szCs w:val="21"/>
                    </w:rPr>
                  </w:pPr>
                </w:p>
              </w:tc>
              <w:tc>
                <w:tcPr>
                  <w:tcW w:w="2188" w:type="dxa"/>
                  <w:vAlign w:val="center"/>
                </w:tcPr>
                <w:p>
                  <w:pPr>
                    <w:autoSpaceDE w:val="0"/>
                    <w:autoSpaceDN w:val="0"/>
                    <w:adjustRightInd w:val="0"/>
                    <w:jc w:val="center"/>
                    <w:rPr>
                      <w:bCs/>
                      <w:szCs w:val="21"/>
                    </w:rPr>
                  </w:pPr>
                  <w:r>
                    <w:rPr>
                      <w:rFonts w:hint="eastAsia"/>
                      <w:bCs/>
                      <w:szCs w:val="21"/>
                    </w:rPr>
                    <w:t>给水管</w:t>
                  </w:r>
                </w:p>
              </w:tc>
              <w:tc>
                <w:tcPr>
                  <w:tcW w:w="2225" w:type="dxa"/>
                  <w:vAlign w:val="center"/>
                </w:tcPr>
                <w:p>
                  <w:pPr>
                    <w:autoSpaceDE w:val="0"/>
                    <w:autoSpaceDN w:val="0"/>
                    <w:adjustRightInd w:val="0"/>
                    <w:jc w:val="center"/>
                    <w:rPr>
                      <w:rFonts w:hAnsi="宋体"/>
                      <w:szCs w:val="21"/>
                    </w:rPr>
                  </w:pPr>
                  <w:r>
                    <w:rPr>
                      <w:rFonts w:hint="eastAsia" w:hAnsi="宋体"/>
                      <w:szCs w:val="21"/>
                    </w:rPr>
                    <w:t>m</w:t>
                  </w:r>
                </w:p>
              </w:tc>
              <w:tc>
                <w:tcPr>
                  <w:tcW w:w="2220" w:type="dxa"/>
                  <w:vAlign w:val="center"/>
                </w:tcPr>
                <w:p>
                  <w:pPr>
                    <w:autoSpaceDE w:val="0"/>
                    <w:autoSpaceDN w:val="0"/>
                    <w:adjustRightInd w:val="0"/>
                    <w:jc w:val="center"/>
                    <w:rPr>
                      <w:rFonts w:hAnsi="宋体"/>
                      <w:bCs/>
                      <w:kern w:val="0"/>
                      <w:szCs w:val="21"/>
                    </w:rPr>
                  </w:pPr>
                  <w:r>
                    <w:rPr>
                      <w:rFonts w:hint="eastAsia" w:hAnsi="宋体"/>
                      <w:bCs/>
                      <w:kern w:val="0"/>
                      <w:szCs w:val="21"/>
                    </w:rPr>
                    <w:t>1080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993" w:type="dxa"/>
                  <w:vMerge w:val="continue"/>
                  <w:vAlign w:val="center"/>
                </w:tcPr>
                <w:p>
                  <w:pPr>
                    <w:autoSpaceDE w:val="0"/>
                    <w:autoSpaceDN w:val="0"/>
                    <w:adjustRightInd w:val="0"/>
                    <w:jc w:val="center"/>
                    <w:rPr>
                      <w:rFonts w:hAnsi="宋体"/>
                      <w:kern w:val="0"/>
                      <w:szCs w:val="21"/>
                    </w:rPr>
                  </w:pPr>
                </w:p>
              </w:tc>
              <w:tc>
                <w:tcPr>
                  <w:tcW w:w="1275" w:type="dxa"/>
                  <w:vMerge w:val="continue"/>
                  <w:vAlign w:val="center"/>
                </w:tcPr>
                <w:p>
                  <w:pPr>
                    <w:autoSpaceDE w:val="0"/>
                    <w:autoSpaceDN w:val="0"/>
                    <w:adjustRightInd w:val="0"/>
                    <w:jc w:val="center"/>
                    <w:rPr>
                      <w:rFonts w:hAnsi="宋体"/>
                      <w:kern w:val="0"/>
                      <w:szCs w:val="21"/>
                    </w:rPr>
                  </w:pPr>
                </w:p>
              </w:tc>
              <w:tc>
                <w:tcPr>
                  <w:tcW w:w="2188" w:type="dxa"/>
                  <w:vAlign w:val="center"/>
                </w:tcPr>
                <w:p>
                  <w:pPr>
                    <w:autoSpaceDE w:val="0"/>
                    <w:autoSpaceDN w:val="0"/>
                    <w:adjustRightInd w:val="0"/>
                    <w:jc w:val="center"/>
                    <w:rPr>
                      <w:bCs/>
                      <w:szCs w:val="21"/>
                    </w:rPr>
                  </w:pPr>
                  <w:r>
                    <w:rPr>
                      <w:rFonts w:hint="eastAsia"/>
                      <w:bCs/>
                      <w:szCs w:val="21"/>
                    </w:rPr>
                    <w:t>雨水管</w:t>
                  </w:r>
                </w:p>
              </w:tc>
              <w:tc>
                <w:tcPr>
                  <w:tcW w:w="2225" w:type="dxa"/>
                  <w:vAlign w:val="center"/>
                </w:tcPr>
                <w:p>
                  <w:pPr>
                    <w:autoSpaceDE w:val="0"/>
                    <w:autoSpaceDN w:val="0"/>
                    <w:adjustRightInd w:val="0"/>
                    <w:jc w:val="center"/>
                    <w:rPr>
                      <w:rFonts w:hAnsi="宋体"/>
                      <w:szCs w:val="21"/>
                    </w:rPr>
                  </w:pPr>
                  <w:r>
                    <w:rPr>
                      <w:rFonts w:hint="eastAsia" w:hAnsi="宋体"/>
                      <w:szCs w:val="21"/>
                    </w:rPr>
                    <w:t>m</w:t>
                  </w:r>
                </w:p>
              </w:tc>
              <w:tc>
                <w:tcPr>
                  <w:tcW w:w="2220" w:type="dxa"/>
                  <w:vAlign w:val="center"/>
                </w:tcPr>
                <w:p>
                  <w:pPr>
                    <w:autoSpaceDE w:val="0"/>
                    <w:autoSpaceDN w:val="0"/>
                    <w:adjustRightInd w:val="0"/>
                    <w:jc w:val="center"/>
                    <w:rPr>
                      <w:rFonts w:hAnsi="宋体"/>
                      <w:bCs/>
                      <w:kern w:val="0"/>
                      <w:szCs w:val="21"/>
                    </w:rPr>
                  </w:pPr>
                  <w:r>
                    <w:rPr>
                      <w:rFonts w:hint="eastAsia" w:hAnsi="宋体"/>
                      <w:bCs/>
                      <w:kern w:val="0"/>
                      <w:szCs w:val="21"/>
                    </w:rPr>
                    <w:t>896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993" w:type="dxa"/>
                  <w:vMerge w:val="continue"/>
                  <w:vAlign w:val="center"/>
                </w:tcPr>
                <w:p>
                  <w:pPr>
                    <w:autoSpaceDE w:val="0"/>
                    <w:autoSpaceDN w:val="0"/>
                    <w:adjustRightInd w:val="0"/>
                    <w:jc w:val="center"/>
                    <w:rPr>
                      <w:rFonts w:hAnsi="宋体"/>
                      <w:kern w:val="0"/>
                      <w:szCs w:val="21"/>
                    </w:rPr>
                  </w:pPr>
                </w:p>
              </w:tc>
              <w:tc>
                <w:tcPr>
                  <w:tcW w:w="1275" w:type="dxa"/>
                  <w:vMerge w:val="continue"/>
                  <w:vAlign w:val="center"/>
                </w:tcPr>
                <w:p>
                  <w:pPr>
                    <w:autoSpaceDE w:val="0"/>
                    <w:autoSpaceDN w:val="0"/>
                    <w:adjustRightInd w:val="0"/>
                    <w:jc w:val="center"/>
                    <w:rPr>
                      <w:rFonts w:hAnsi="宋体"/>
                      <w:kern w:val="0"/>
                      <w:szCs w:val="21"/>
                    </w:rPr>
                  </w:pPr>
                </w:p>
              </w:tc>
              <w:tc>
                <w:tcPr>
                  <w:tcW w:w="2188" w:type="dxa"/>
                  <w:vAlign w:val="center"/>
                </w:tcPr>
                <w:p>
                  <w:pPr>
                    <w:autoSpaceDE w:val="0"/>
                    <w:autoSpaceDN w:val="0"/>
                    <w:adjustRightInd w:val="0"/>
                    <w:jc w:val="center"/>
                    <w:rPr>
                      <w:bCs/>
                      <w:szCs w:val="21"/>
                    </w:rPr>
                  </w:pPr>
                  <w:r>
                    <w:rPr>
                      <w:rFonts w:hint="eastAsia"/>
                      <w:bCs/>
                      <w:szCs w:val="21"/>
                    </w:rPr>
                    <w:t>污水管</w:t>
                  </w:r>
                </w:p>
              </w:tc>
              <w:tc>
                <w:tcPr>
                  <w:tcW w:w="2225" w:type="dxa"/>
                  <w:vAlign w:val="center"/>
                </w:tcPr>
                <w:p>
                  <w:pPr>
                    <w:autoSpaceDE w:val="0"/>
                    <w:autoSpaceDN w:val="0"/>
                    <w:adjustRightInd w:val="0"/>
                    <w:jc w:val="center"/>
                    <w:rPr>
                      <w:rFonts w:hAnsi="宋体"/>
                      <w:szCs w:val="21"/>
                    </w:rPr>
                  </w:pPr>
                  <w:r>
                    <w:rPr>
                      <w:rFonts w:hint="eastAsia" w:hAnsi="宋体"/>
                      <w:szCs w:val="21"/>
                    </w:rPr>
                    <w:t>m</w:t>
                  </w:r>
                </w:p>
              </w:tc>
              <w:tc>
                <w:tcPr>
                  <w:tcW w:w="2220" w:type="dxa"/>
                  <w:vAlign w:val="center"/>
                </w:tcPr>
                <w:p>
                  <w:pPr>
                    <w:autoSpaceDE w:val="0"/>
                    <w:autoSpaceDN w:val="0"/>
                    <w:adjustRightInd w:val="0"/>
                    <w:jc w:val="center"/>
                    <w:rPr>
                      <w:rFonts w:hAnsi="宋体"/>
                      <w:bCs/>
                      <w:kern w:val="0"/>
                      <w:szCs w:val="21"/>
                    </w:rPr>
                  </w:pPr>
                  <w:r>
                    <w:rPr>
                      <w:rFonts w:hint="eastAsia" w:hAnsi="宋体"/>
                      <w:bCs/>
                      <w:kern w:val="0"/>
                      <w:szCs w:val="21"/>
                    </w:rPr>
                    <w:t>1359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993" w:type="dxa"/>
                  <w:vMerge w:val="continue"/>
                  <w:vAlign w:val="center"/>
                </w:tcPr>
                <w:p>
                  <w:pPr>
                    <w:autoSpaceDE w:val="0"/>
                    <w:autoSpaceDN w:val="0"/>
                    <w:adjustRightInd w:val="0"/>
                    <w:jc w:val="center"/>
                    <w:rPr>
                      <w:rFonts w:hAnsi="宋体"/>
                      <w:kern w:val="0"/>
                      <w:szCs w:val="21"/>
                    </w:rPr>
                  </w:pPr>
                </w:p>
              </w:tc>
              <w:tc>
                <w:tcPr>
                  <w:tcW w:w="1275" w:type="dxa"/>
                  <w:vMerge w:val="continue"/>
                  <w:vAlign w:val="center"/>
                </w:tcPr>
                <w:p>
                  <w:pPr>
                    <w:autoSpaceDE w:val="0"/>
                    <w:autoSpaceDN w:val="0"/>
                    <w:adjustRightInd w:val="0"/>
                    <w:jc w:val="center"/>
                    <w:rPr>
                      <w:rFonts w:hAnsi="宋体"/>
                      <w:kern w:val="0"/>
                      <w:szCs w:val="21"/>
                    </w:rPr>
                  </w:pPr>
                </w:p>
              </w:tc>
              <w:tc>
                <w:tcPr>
                  <w:tcW w:w="2188" w:type="dxa"/>
                  <w:vAlign w:val="center"/>
                </w:tcPr>
                <w:p>
                  <w:pPr>
                    <w:autoSpaceDE w:val="0"/>
                    <w:autoSpaceDN w:val="0"/>
                    <w:adjustRightInd w:val="0"/>
                    <w:jc w:val="center"/>
                    <w:rPr>
                      <w:bCs/>
                      <w:szCs w:val="21"/>
                    </w:rPr>
                  </w:pPr>
                  <w:r>
                    <w:rPr>
                      <w:rFonts w:hint="eastAsia"/>
                      <w:bCs/>
                      <w:szCs w:val="21"/>
                    </w:rPr>
                    <w:t>拆除路面</w:t>
                  </w:r>
                </w:p>
              </w:tc>
              <w:tc>
                <w:tcPr>
                  <w:tcW w:w="2225" w:type="dxa"/>
                  <w:vAlign w:val="center"/>
                </w:tcPr>
                <w:p>
                  <w:pPr>
                    <w:autoSpaceDE w:val="0"/>
                    <w:autoSpaceDN w:val="0"/>
                    <w:adjustRightInd w:val="0"/>
                    <w:jc w:val="center"/>
                    <w:rPr>
                      <w:rFonts w:hAnsi="宋体"/>
                      <w:szCs w:val="21"/>
                    </w:rPr>
                  </w:pPr>
                  <w:r>
                    <w:rPr>
                      <w:rFonts w:hint="eastAsia" w:hAnsi="宋体"/>
                      <w:szCs w:val="21"/>
                    </w:rPr>
                    <w:t>m</w:t>
                  </w:r>
                  <w:r>
                    <w:rPr>
                      <w:rFonts w:hint="eastAsia" w:hAnsi="宋体"/>
                      <w:szCs w:val="21"/>
                      <w:vertAlign w:val="superscript"/>
                    </w:rPr>
                    <w:t>2</w:t>
                  </w:r>
                </w:p>
              </w:tc>
              <w:tc>
                <w:tcPr>
                  <w:tcW w:w="2220" w:type="dxa"/>
                  <w:vAlign w:val="center"/>
                </w:tcPr>
                <w:p>
                  <w:pPr>
                    <w:autoSpaceDE w:val="0"/>
                    <w:autoSpaceDN w:val="0"/>
                    <w:adjustRightInd w:val="0"/>
                    <w:jc w:val="center"/>
                    <w:rPr>
                      <w:rFonts w:hAnsi="宋体"/>
                      <w:bCs/>
                      <w:kern w:val="0"/>
                      <w:szCs w:val="21"/>
                    </w:rPr>
                  </w:pPr>
                  <w:r>
                    <w:rPr>
                      <w:rFonts w:hint="eastAsia" w:hAnsi="宋体"/>
                      <w:bCs/>
                      <w:kern w:val="0"/>
                      <w:szCs w:val="21"/>
                    </w:rPr>
                    <w:t>4797.64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993" w:type="dxa"/>
                  <w:vMerge w:val="continue"/>
                  <w:vAlign w:val="center"/>
                </w:tcPr>
                <w:p>
                  <w:pPr>
                    <w:autoSpaceDE w:val="0"/>
                    <w:autoSpaceDN w:val="0"/>
                    <w:adjustRightInd w:val="0"/>
                    <w:jc w:val="center"/>
                    <w:rPr>
                      <w:rFonts w:hAnsi="宋体"/>
                      <w:kern w:val="0"/>
                      <w:szCs w:val="21"/>
                    </w:rPr>
                  </w:pPr>
                </w:p>
              </w:tc>
              <w:tc>
                <w:tcPr>
                  <w:tcW w:w="1275" w:type="dxa"/>
                  <w:vMerge w:val="continue"/>
                  <w:vAlign w:val="center"/>
                </w:tcPr>
                <w:p>
                  <w:pPr>
                    <w:autoSpaceDE w:val="0"/>
                    <w:autoSpaceDN w:val="0"/>
                    <w:adjustRightInd w:val="0"/>
                    <w:jc w:val="center"/>
                    <w:rPr>
                      <w:rFonts w:hAnsi="宋体"/>
                      <w:kern w:val="0"/>
                      <w:szCs w:val="21"/>
                    </w:rPr>
                  </w:pPr>
                </w:p>
              </w:tc>
              <w:tc>
                <w:tcPr>
                  <w:tcW w:w="2188" w:type="dxa"/>
                  <w:vAlign w:val="center"/>
                </w:tcPr>
                <w:p>
                  <w:pPr>
                    <w:autoSpaceDE w:val="0"/>
                    <w:autoSpaceDN w:val="0"/>
                    <w:adjustRightInd w:val="0"/>
                    <w:jc w:val="center"/>
                    <w:rPr>
                      <w:rFonts w:hAnsi="宋体"/>
                      <w:kern w:val="0"/>
                      <w:szCs w:val="21"/>
                    </w:rPr>
                  </w:pPr>
                  <w:r>
                    <w:rPr>
                      <w:rFonts w:hint="eastAsia" w:hAnsi="宋体"/>
                      <w:kern w:val="0"/>
                      <w:szCs w:val="21"/>
                    </w:rPr>
                    <w:t>污水站处理规模</w:t>
                  </w:r>
                </w:p>
              </w:tc>
              <w:tc>
                <w:tcPr>
                  <w:tcW w:w="2225" w:type="dxa"/>
                  <w:vAlign w:val="center"/>
                </w:tcPr>
                <w:p>
                  <w:pPr>
                    <w:autoSpaceDE w:val="0"/>
                    <w:autoSpaceDN w:val="0"/>
                    <w:adjustRightInd w:val="0"/>
                    <w:jc w:val="center"/>
                    <w:rPr>
                      <w:rFonts w:hAnsi="宋体"/>
                      <w:kern w:val="0"/>
                      <w:szCs w:val="21"/>
                    </w:rPr>
                  </w:pPr>
                  <w:r>
                    <w:rPr>
                      <w:rFonts w:hint="eastAsia" w:hAnsi="宋体"/>
                      <w:kern w:val="0"/>
                      <w:szCs w:val="21"/>
                    </w:rPr>
                    <w:t>m</w:t>
                  </w:r>
                  <w:r>
                    <w:rPr>
                      <w:rFonts w:hint="eastAsia" w:hAnsi="宋体"/>
                      <w:kern w:val="0"/>
                      <w:szCs w:val="21"/>
                      <w:vertAlign w:val="superscript"/>
                    </w:rPr>
                    <w:t>3</w:t>
                  </w:r>
                  <w:r>
                    <w:rPr>
                      <w:rFonts w:hint="eastAsia" w:hAnsi="宋体"/>
                      <w:kern w:val="0"/>
                      <w:szCs w:val="21"/>
                    </w:rPr>
                    <w:t>/d</w:t>
                  </w:r>
                </w:p>
              </w:tc>
              <w:tc>
                <w:tcPr>
                  <w:tcW w:w="2220" w:type="dxa"/>
                  <w:vAlign w:val="center"/>
                </w:tcPr>
                <w:p>
                  <w:pPr>
                    <w:autoSpaceDE w:val="0"/>
                    <w:autoSpaceDN w:val="0"/>
                    <w:adjustRightInd w:val="0"/>
                    <w:jc w:val="center"/>
                    <w:rPr>
                      <w:rFonts w:hAnsi="宋体"/>
                      <w:kern w:val="0"/>
                      <w:szCs w:val="21"/>
                    </w:rPr>
                  </w:pPr>
                  <w:r>
                    <w:rPr>
                      <w:rFonts w:hint="eastAsia" w:hAnsi="宋体"/>
                      <w:kern w:val="0"/>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993" w:type="dxa"/>
                  <w:vAlign w:val="center"/>
                </w:tcPr>
                <w:p>
                  <w:pPr>
                    <w:autoSpaceDE w:val="0"/>
                    <w:autoSpaceDN w:val="0"/>
                    <w:adjustRightInd w:val="0"/>
                    <w:jc w:val="center"/>
                    <w:rPr>
                      <w:rFonts w:hAnsi="宋体"/>
                      <w:kern w:val="0"/>
                      <w:szCs w:val="21"/>
                    </w:rPr>
                  </w:pPr>
                  <w:r>
                    <w:rPr>
                      <w:rFonts w:hint="eastAsia" w:hAnsi="宋体"/>
                      <w:kern w:val="0"/>
                      <w:szCs w:val="21"/>
                    </w:rPr>
                    <w:t>3</w:t>
                  </w:r>
                </w:p>
              </w:tc>
              <w:tc>
                <w:tcPr>
                  <w:tcW w:w="3463" w:type="dxa"/>
                  <w:gridSpan w:val="2"/>
                  <w:vAlign w:val="center"/>
                </w:tcPr>
                <w:p>
                  <w:pPr>
                    <w:autoSpaceDE w:val="0"/>
                    <w:autoSpaceDN w:val="0"/>
                    <w:adjustRightInd w:val="0"/>
                    <w:jc w:val="center"/>
                    <w:rPr>
                      <w:rFonts w:hAnsi="宋体"/>
                      <w:kern w:val="0"/>
                      <w:szCs w:val="21"/>
                    </w:rPr>
                  </w:pPr>
                  <w:r>
                    <w:rPr>
                      <w:rFonts w:hint="eastAsia" w:hAnsi="宋体"/>
                      <w:kern w:val="0"/>
                      <w:szCs w:val="21"/>
                    </w:rPr>
                    <w:t>绿化面积</w:t>
                  </w:r>
                </w:p>
              </w:tc>
              <w:tc>
                <w:tcPr>
                  <w:tcW w:w="2225" w:type="dxa"/>
                  <w:vAlign w:val="center"/>
                </w:tcPr>
                <w:p>
                  <w:pPr>
                    <w:autoSpaceDE w:val="0"/>
                    <w:autoSpaceDN w:val="0"/>
                    <w:adjustRightInd w:val="0"/>
                    <w:jc w:val="center"/>
                    <w:rPr>
                      <w:rFonts w:hAnsi="宋体"/>
                      <w:kern w:val="0"/>
                      <w:szCs w:val="21"/>
                    </w:rPr>
                  </w:pPr>
                  <w:r>
                    <w:rPr>
                      <w:rFonts w:hint="eastAsia" w:hAnsi="宋体"/>
                      <w:kern w:val="0"/>
                      <w:szCs w:val="21"/>
                    </w:rPr>
                    <w:t>m</w:t>
                  </w:r>
                  <w:r>
                    <w:rPr>
                      <w:rFonts w:hint="eastAsia" w:hAnsi="宋体"/>
                      <w:kern w:val="0"/>
                      <w:szCs w:val="21"/>
                      <w:vertAlign w:val="superscript"/>
                    </w:rPr>
                    <w:t>2</w:t>
                  </w:r>
                </w:p>
              </w:tc>
              <w:tc>
                <w:tcPr>
                  <w:tcW w:w="2220" w:type="dxa"/>
                  <w:vAlign w:val="center"/>
                </w:tcPr>
                <w:p>
                  <w:pPr>
                    <w:autoSpaceDE w:val="0"/>
                    <w:autoSpaceDN w:val="0"/>
                    <w:adjustRightInd w:val="0"/>
                    <w:jc w:val="center"/>
                    <w:rPr>
                      <w:rFonts w:hAnsi="宋体"/>
                      <w:kern w:val="0"/>
                      <w:szCs w:val="21"/>
                    </w:rPr>
                  </w:pPr>
                  <w:r>
                    <w:rPr>
                      <w:rFonts w:hint="eastAsia" w:hAnsi="宋体"/>
                      <w:kern w:val="0"/>
                      <w:szCs w:val="21"/>
                    </w:rPr>
                    <w:t>1387.28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993" w:type="dxa"/>
                  <w:vAlign w:val="center"/>
                </w:tcPr>
                <w:p>
                  <w:pPr>
                    <w:autoSpaceDE w:val="0"/>
                    <w:autoSpaceDN w:val="0"/>
                    <w:adjustRightInd w:val="0"/>
                    <w:jc w:val="center"/>
                    <w:rPr>
                      <w:rFonts w:hAnsi="宋体"/>
                      <w:kern w:val="0"/>
                      <w:szCs w:val="21"/>
                    </w:rPr>
                  </w:pPr>
                  <w:r>
                    <w:rPr>
                      <w:rFonts w:hint="eastAsia" w:hAnsi="宋体"/>
                      <w:kern w:val="0"/>
                      <w:szCs w:val="21"/>
                    </w:rPr>
                    <w:t>4</w:t>
                  </w:r>
                </w:p>
              </w:tc>
              <w:tc>
                <w:tcPr>
                  <w:tcW w:w="3463" w:type="dxa"/>
                  <w:gridSpan w:val="2"/>
                  <w:vAlign w:val="center"/>
                </w:tcPr>
                <w:p>
                  <w:pPr>
                    <w:autoSpaceDE w:val="0"/>
                    <w:autoSpaceDN w:val="0"/>
                    <w:adjustRightInd w:val="0"/>
                    <w:jc w:val="center"/>
                    <w:rPr>
                      <w:rFonts w:hAnsi="宋体"/>
                      <w:kern w:val="0"/>
                      <w:szCs w:val="21"/>
                    </w:rPr>
                  </w:pPr>
                  <w:r>
                    <w:rPr>
                      <w:rFonts w:hint="eastAsia" w:hAnsi="宋体"/>
                      <w:kern w:val="0"/>
                      <w:szCs w:val="21"/>
                    </w:rPr>
                    <w:t>总投资</w:t>
                  </w:r>
                </w:p>
              </w:tc>
              <w:tc>
                <w:tcPr>
                  <w:tcW w:w="2225" w:type="dxa"/>
                  <w:vAlign w:val="center"/>
                </w:tcPr>
                <w:p>
                  <w:pPr>
                    <w:autoSpaceDE w:val="0"/>
                    <w:autoSpaceDN w:val="0"/>
                    <w:adjustRightInd w:val="0"/>
                    <w:jc w:val="center"/>
                    <w:rPr>
                      <w:rFonts w:hAnsi="宋体"/>
                      <w:kern w:val="0"/>
                      <w:szCs w:val="21"/>
                    </w:rPr>
                  </w:pPr>
                  <w:r>
                    <w:rPr>
                      <w:rFonts w:hint="eastAsia" w:hAnsi="宋体"/>
                      <w:kern w:val="0"/>
                      <w:szCs w:val="21"/>
                    </w:rPr>
                    <w:t>万元</w:t>
                  </w:r>
                </w:p>
              </w:tc>
              <w:tc>
                <w:tcPr>
                  <w:tcW w:w="2220" w:type="dxa"/>
                  <w:vAlign w:val="center"/>
                </w:tcPr>
                <w:p>
                  <w:pPr>
                    <w:autoSpaceDE w:val="0"/>
                    <w:autoSpaceDN w:val="0"/>
                    <w:adjustRightInd w:val="0"/>
                    <w:jc w:val="center"/>
                    <w:rPr>
                      <w:rFonts w:hAnsi="宋体"/>
                      <w:kern w:val="0"/>
                      <w:szCs w:val="21"/>
                    </w:rPr>
                  </w:pPr>
                  <w:r>
                    <w:rPr>
                      <w:rFonts w:hint="eastAsia" w:hAnsi="宋体"/>
                      <w:kern w:val="0"/>
                      <w:szCs w:val="21"/>
                    </w:rPr>
                    <w:t>872.58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993" w:type="dxa"/>
                  <w:vAlign w:val="center"/>
                </w:tcPr>
                <w:p>
                  <w:pPr>
                    <w:autoSpaceDE w:val="0"/>
                    <w:autoSpaceDN w:val="0"/>
                    <w:adjustRightInd w:val="0"/>
                    <w:jc w:val="center"/>
                    <w:rPr>
                      <w:rFonts w:hAnsi="宋体"/>
                      <w:kern w:val="0"/>
                      <w:szCs w:val="21"/>
                    </w:rPr>
                  </w:pPr>
                  <w:r>
                    <w:rPr>
                      <w:rFonts w:hint="eastAsia" w:hAnsi="宋体"/>
                      <w:kern w:val="0"/>
                      <w:szCs w:val="21"/>
                    </w:rPr>
                    <w:t>5</w:t>
                  </w:r>
                </w:p>
              </w:tc>
              <w:tc>
                <w:tcPr>
                  <w:tcW w:w="3463" w:type="dxa"/>
                  <w:gridSpan w:val="2"/>
                  <w:vAlign w:val="center"/>
                </w:tcPr>
                <w:p>
                  <w:pPr>
                    <w:autoSpaceDE w:val="0"/>
                    <w:autoSpaceDN w:val="0"/>
                    <w:adjustRightInd w:val="0"/>
                    <w:jc w:val="center"/>
                    <w:rPr>
                      <w:rFonts w:hAnsi="宋体"/>
                      <w:kern w:val="0"/>
                      <w:szCs w:val="21"/>
                    </w:rPr>
                  </w:pPr>
                  <w:r>
                    <w:rPr>
                      <w:rFonts w:hint="eastAsia" w:hAnsi="宋体"/>
                      <w:kern w:val="0"/>
                      <w:szCs w:val="21"/>
                    </w:rPr>
                    <w:t>环保投资</w:t>
                  </w:r>
                </w:p>
              </w:tc>
              <w:tc>
                <w:tcPr>
                  <w:tcW w:w="2225" w:type="dxa"/>
                  <w:vAlign w:val="center"/>
                </w:tcPr>
                <w:p>
                  <w:pPr>
                    <w:autoSpaceDE w:val="0"/>
                    <w:autoSpaceDN w:val="0"/>
                    <w:adjustRightInd w:val="0"/>
                    <w:jc w:val="center"/>
                    <w:rPr>
                      <w:rFonts w:hAnsi="宋体"/>
                      <w:kern w:val="0"/>
                      <w:szCs w:val="21"/>
                    </w:rPr>
                  </w:pPr>
                  <w:r>
                    <w:rPr>
                      <w:rFonts w:hint="eastAsia" w:hAnsi="宋体"/>
                      <w:kern w:val="0"/>
                      <w:szCs w:val="21"/>
                    </w:rPr>
                    <w:t>万元</w:t>
                  </w:r>
                </w:p>
              </w:tc>
              <w:tc>
                <w:tcPr>
                  <w:tcW w:w="2220" w:type="dxa"/>
                  <w:vAlign w:val="center"/>
                </w:tcPr>
                <w:p>
                  <w:pPr>
                    <w:autoSpaceDE w:val="0"/>
                    <w:autoSpaceDN w:val="0"/>
                    <w:adjustRightInd w:val="0"/>
                    <w:jc w:val="center"/>
                    <w:rPr>
                      <w:rFonts w:hAnsi="宋体"/>
                      <w:kern w:val="0"/>
                      <w:szCs w:val="21"/>
                    </w:rPr>
                  </w:pPr>
                  <w:r>
                    <w:rPr>
                      <w:rFonts w:hint="eastAsia" w:hAnsi="宋体"/>
                      <w:kern w:val="0"/>
                      <w:szCs w:val="21"/>
                    </w:rPr>
                    <w:t>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993" w:type="dxa"/>
                  <w:vAlign w:val="center"/>
                </w:tcPr>
                <w:p>
                  <w:pPr>
                    <w:autoSpaceDE w:val="0"/>
                    <w:autoSpaceDN w:val="0"/>
                    <w:adjustRightInd w:val="0"/>
                    <w:jc w:val="center"/>
                    <w:rPr>
                      <w:rFonts w:hAnsi="宋体"/>
                      <w:kern w:val="0"/>
                      <w:szCs w:val="21"/>
                    </w:rPr>
                  </w:pPr>
                  <w:r>
                    <w:rPr>
                      <w:rFonts w:hint="eastAsia" w:hAnsi="宋体"/>
                      <w:kern w:val="0"/>
                      <w:szCs w:val="21"/>
                    </w:rPr>
                    <w:t>6</w:t>
                  </w:r>
                </w:p>
              </w:tc>
              <w:tc>
                <w:tcPr>
                  <w:tcW w:w="3463" w:type="dxa"/>
                  <w:gridSpan w:val="2"/>
                  <w:vAlign w:val="center"/>
                </w:tcPr>
                <w:p>
                  <w:pPr>
                    <w:autoSpaceDE w:val="0"/>
                    <w:autoSpaceDN w:val="0"/>
                    <w:adjustRightInd w:val="0"/>
                    <w:jc w:val="center"/>
                    <w:rPr>
                      <w:rFonts w:hAnsi="宋体"/>
                      <w:kern w:val="0"/>
                      <w:szCs w:val="21"/>
                    </w:rPr>
                  </w:pPr>
                  <w:r>
                    <w:rPr>
                      <w:rFonts w:hint="eastAsia" w:hAnsi="宋体"/>
                      <w:kern w:val="0"/>
                      <w:szCs w:val="21"/>
                    </w:rPr>
                    <w:t>劳动定员</w:t>
                  </w:r>
                </w:p>
              </w:tc>
              <w:tc>
                <w:tcPr>
                  <w:tcW w:w="2225" w:type="dxa"/>
                  <w:vAlign w:val="center"/>
                </w:tcPr>
                <w:p>
                  <w:pPr>
                    <w:autoSpaceDE w:val="0"/>
                    <w:autoSpaceDN w:val="0"/>
                    <w:adjustRightInd w:val="0"/>
                    <w:jc w:val="center"/>
                    <w:rPr>
                      <w:rFonts w:hAnsi="宋体"/>
                      <w:kern w:val="0"/>
                      <w:szCs w:val="21"/>
                    </w:rPr>
                  </w:pPr>
                  <w:r>
                    <w:rPr>
                      <w:rFonts w:hint="eastAsia" w:hAnsi="宋体"/>
                      <w:kern w:val="0"/>
                      <w:szCs w:val="21"/>
                    </w:rPr>
                    <w:t>人</w:t>
                  </w:r>
                </w:p>
              </w:tc>
              <w:tc>
                <w:tcPr>
                  <w:tcW w:w="2220" w:type="dxa"/>
                  <w:vAlign w:val="center"/>
                </w:tcPr>
                <w:p>
                  <w:pPr>
                    <w:autoSpaceDE w:val="0"/>
                    <w:autoSpaceDN w:val="0"/>
                    <w:adjustRightInd w:val="0"/>
                    <w:jc w:val="center"/>
                    <w:rPr>
                      <w:rFonts w:hAnsi="宋体"/>
                      <w:kern w:val="0"/>
                      <w:szCs w:val="21"/>
                    </w:rPr>
                  </w:pPr>
                  <w:r>
                    <w:rPr>
                      <w:rFonts w:hint="eastAsia" w:hAnsi="宋体"/>
                      <w:kern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993" w:type="dxa"/>
                  <w:vAlign w:val="center"/>
                </w:tcPr>
                <w:p>
                  <w:pPr>
                    <w:autoSpaceDE w:val="0"/>
                    <w:autoSpaceDN w:val="0"/>
                    <w:adjustRightInd w:val="0"/>
                    <w:jc w:val="center"/>
                    <w:rPr>
                      <w:rFonts w:hAnsi="宋体"/>
                      <w:kern w:val="0"/>
                      <w:szCs w:val="21"/>
                    </w:rPr>
                  </w:pPr>
                  <w:r>
                    <w:rPr>
                      <w:rFonts w:hint="eastAsia" w:hAnsi="宋体"/>
                      <w:kern w:val="0"/>
                      <w:szCs w:val="21"/>
                    </w:rPr>
                    <w:t>7</w:t>
                  </w:r>
                </w:p>
              </w:tc>
              <w:tc>
                <w:tcPr>
                  <w:tcW w:w="3463" w:type="dxa"/>
                  <w:gridSpan w:val="2"/>
                  <w:vAlign w:val="center"/>
                </w:tcPr>
                <w:p>
                  <w:pPr>
                    <w:autoSpaceDE w:val="0"/>
                    <w:autoSpaceDN w:val="0"/>
                    <w:adjustRightInd w:val="0"/>
                    <w:jc w:val="center"/>
                    <w:rPr>
                      <w:rFonts w:hAnsi="宋体"/>
                      <w:kern w:val="0"/>
                      <w:szCs w:val="21"/>
                    </w:rPr>
                  </w:pPr>
                  <w:r>
                    <w:rPr>
                      <w:rFonts w:hint="eastAsia" w:hAnsi="宋体"/>
                      <w:kern w:val="0"/>
                      <w:szCs w:val="21"/>
                    </w:rPr>
                    <w:t>建设期</w:t>
                  </w:r>
                </w:p>
              </w:tc>
              <w:tc>
                <w:tcPr>
                  <w:tcW w:w="2225" w:type="dxa"/>
                  <w:vAlign w:val="center"/>
                </w:tcPr>
                <w:p>
                  <w:pPr>
                    <w:autoSpaceDE w:val="0"/>
                    <w:autoSpaceDN w:val="0"/>
                    <w:adjustRightInd w:val="0"/>
                    <w:jc w:val="center"/>
                    <w:rPr>
                      <w:rFonts w:hAnsi="宋体"/>
                      <w:kern w:val="0"/>
                      <w:szCs w:val="21"/>
                    </w:rPr>
                  </w:pPr>
                  <w:r>
                    <w:rPr>
                      <w:rFonts w:hint="eastAsia" w:hAnsi="宋体"/>
                      <w:kern w:val="0"/>
                      <w:szCs w:val="21"/>
                    </w:rPr>
                    <w:t>月</w:t>
                  </w:r>
                </w:p>
              </w:tc>
              <w:tc>
                <w:tcPr>
                  <w:tcW w:w="2220" w:type="dxa"/>
                  <w:vAlign w:val="center"/>
                </w:tcPr>
                <w:p>
                  <w:pPr>
                    <w:autoSpaceDE w:val="0"/>
                    <w:autoSpaceDN w:val="0"/>
                    <w:adjustRightInd w:val="0"/>
                    <w:jc w:val="center"/>
                    <w:rPr>
                      <w:rFonts w:hAnsi="宋体"/>
                      <w:kern w:val="0"/>
                      <w:szCs w:val="21"/>
                    </w:rPr>
                  </w:pPr>
                  <w:r>
                    <w:rPr>
                      <w:rFonts w:hint="eastAsia" w:hAnsi="宋体"/>
                      <w:kern w:val="0"/>
                      <w:szCs w:val="21"/>
                    </w:rPr>
                    <w:t>8</w:t>
                  </w:r>
                </w:p>
              </w:tc>
            </w:tr>
          </w:tbl>
          <w:p>
            <w:pPr>
              <w:autoSpaceDE w:val="0"/>
              <w:autoSpaceDN w:val="0"/>
              <w:adjustRightInd w:val="0"/>
              <w:spacing w:line="360" w:lineRule="auto"/>
              <w:ind w:firstLine="480" w:firstLineChars="200"/>
              <w:rPr>
                <w:bCs/>
                <w:sz w:val="24"/>
                <w:szCs w:val="28"/>
              </w:rPr>
            </w:pPr>
            <w:r>
              <w:rPr>
                <w:rFonts w:hint="eastAsia"/>
                <w:bCs/>
                <w:sz w:val="24"/>
                <w:szCs w:val="28"/>
              </w:rPr>
              <w:t>（2）工程内容概况</w:t>
            </w:r>
          </w:p>
          <w:p>
            <w:pPr>
              <w:autoSpaceDE w:val="0"/>
              <w:autoSpaceDN w:val="0"/>
              <w:adjustRightInd w:val="0"/>
              <w:spacing w:line="360" w:lineRule="auto"/>
              <w:ind w:firstLine="480" w:firstLineChars="200"/>
              <w:rPr>
                <w:bCs/>
                <w:sz w:val="24"/>
                <w:szCs w:val="28"/>
              </w:rPr>
            </w:pPr>
            <w:r>
              <w:rPr>
                <w:rFonts w:hint="eastAsia"/>
                <w:bCs/>
                <w:sz w:val="24"/>
                <w:szCs w:val="28"/>
              </w:rPr>
              <w:t>a、道路工程</w:t>
            </w:r>
          </w:p>
          <w:p>
            <w:pPr>
              <w:autoSpaceDE w:val="0"/>
              <w:autoSpaceDN w:val="0"/>
              <w:adjustRightInd w:val="0"/>
              <w:spacing w:line="360" w:lineRule="auto"/>
              <w:ind w:firstLine="480" w:firstLineChars="200"/>
              <w:rPr>
                <w:bCs/>
                <w:sz w:val="24"/>
                <w:szCs w:val="28"/>
              </w:rPr>
            </w:pPr>
            <w:r>
              <w:rPr>
                <w:rFonts w:hint="eastAsia"/>
                <w:bCs/>
                <w:sz w:val="24"/>
                <w:szCs w:val="28"/>
              </w:rPr>
              <w:t>1）道路现状</w:t>
            </w:r>
          </w:p>
          <w:p>
            <w:pPr>
              <w:autoSpaceDE w:val="0"/>
              <w:autoSpaceDN w:val="0"/>
              <w:adjustRightInd w:val="0"/>
              <w:spacing w:line="360" w:lineRule="auto"/>
              <w:ind w:firstLine="480" w:firstLineChars="200"/>
              <w:rPr>
                <w:bCs/>
                <w:sz w:val="24"/>
                <w:szCs w:val="28"/>
              </w:rPr>
            </w:pPr>
            <w:r>
              <w:rPr>
                <w:rFonts w:hint="eastAsia"/>
                <w:bCs/>
                <w:sz w:val="24"/>
                <w:szCs w:val="28"/>
              </w:rPr>
              <w:t>宁县太昌镇东风村位于太昌街道主街区，道路沿线两侧为居民用房及商铺，现状道路为沥青路面，人行道为透水砖铺装。副车道狭窄，道路宽度不一，无法满足当前交通量。</w:t>
            </w:r>
          </w:p>
          <w:p>
            <w:pPr>
              <w:autoSpaceDE w:val="0"/>
              <w:autoSpaceDN w:val="0"/>
              <w:adjustRightInd w:val="0"/>
              <w:spacing w:line="360" w:lineRule="auto"/>
              <w:ind w:firstLine="480" w:firstLineChars="200"/>
              <w:rPr>
                <w:bCs/>
                <w:sz w:val="24"/>
                <w:szCs w:val="28"/>
              </w:rPr>
            </w:pPr>
            <w:r>
              <w:rPr>
                <w:rFonts w:hint="eastAsia"/>
                <w:bCs/>
                <w:sz w:val="24"/>
                <w:szCs w:val="28"/>
              </w:rPr>
              <w:t>2）道路设计</w:t>
            </w:r>
          </w:p>
          <w:p>
            <w:pPr>
              <w:autoSpaceDE w:val="0"/>
              <w:autoSpaceDN w:val="0"/>
              <w:adjustRightInd w:val="0"/>
              <w:spacing w:line="360" w:lineRule="auto"/>
              <w:ind w:firstLine="480" w:firstLineChars="200"/>
              <w:rPr>
                <w:bCs/>
                <w:sz w:val="24"/>
                <w:szCs w:val="28"/>
              </w:rPr>
            </w:pPr>
            <w:r>
              <w:rPr>
                <w:rFonts w:hint="eastAsia"/>
                <w:bCs/>
                <w:sz w:val="24"/>
                <w:szCs w:val="28"/>
              </w:rPr>
              <w:t>《宁县太昌乡集镇总体规划（2013-2030）》中，太昌镇主干道道路红线共31m，现状中街道副车道原有宽度不一，宽度为2.2~3.2m，现将东侧路面由原有宽度拓宽至6.0m，本次采用沥青混凝土路面，其余为透水砖铺装，沥青路面2292.49m</w:t>
            </w:r>
            <w:r>
              <w:rPr>
                <w:rFonts w:hint="eastAsia"/>
                <w:bCs/>
                <w:sz w:val="24"/>
                <w:szCs w:val="28"/>
                <w:vertAlign w:val="superscript"/>
              </w:rPr>
              <w:t>2</w:t>
            </w:r>
            <w:r>
              <w:rPr>
                <w:rFonts w:hint="eastAsia"/>
                <w:bCs/>
                <w:sz w:val="24"/>
                <w:szCs w:val="28"/>
              </w:rPr>
              <w:t>，透水砖铺装2094.84 m</w:t>
            </w:r>
            <w:r>
              <w:rPr>
                <w:rFonts w:hint="eastAsia"/>
                <w:bCs/>
                <w:sz w:val="24"/>
                <w:szCs w:val="28"/>
                <w:vertAlign w:val="superscript"/>
              </w:rPr>
              <w:t>2</w:t>
            </w:r>
            <w:r>
              <w:rPr>
                <w:rFonts w:hint="eastAsia"/>
                <w:bCs/>
                <w:sz w:val="24"/>
                <w:szCs w:val="28"/>
              </w:rPr>
              <w:t>，混凝土立缘石4749m，拆除沥青路面1156.48 m</w:t>
            </w:r>
            <w:r>
              <w:rPr>
                <w:rFonts w:hint="eastAsia"/>
                <w:bCs/>
                <w:sz w:val="24"/>
                <w:szCs w:val="28"/>
                <w:vertAlign w:val="superscript"/>
              </w:rPr>
              <w:t>2</w:t>
            </w:r>
            <w:r>
              <w:rPr>
                <w:rFonts w:hint="eastAsia"/>
                <w:bCs/>
                <w:sz w:val="24"/>
                <w:szCs w:val="28"/>
              </w:rPr>
              <w:t>，透水砖人行道3641.19 m</w:t>
            </w:r>
            <w:r>
              <w:rPr>
                <w:rFonts w:hint="eastAsia"/>
                <w:bCs/>
                <w:sz w:val="24"/>
                <w:szCs w:val="28"/>
                <w:vertAlign w:val="superscript"/>
              </w:rPr>
              <w:t>2</w:t>
            </w:r>
            <w:r>
              <w:rPr>
                <w:rFonts w:hint="eastAsia"/>
                <w:bCs/>
                <w:sz w:val="24"/>
                <w:szCs w:val="28"/>
              </w:rPr>
              <w:t>。目前太昌镇东风村景观面貌较差，现以太昌镇现有街道为基础，设置1.3m绿化带，其中小冬青998.04 m</w:t>
            </w:r>
            <w:r>
              <w:rPr>
                <w:rFonts w:hint="eastAsia"/>
                <w:bCs/>
                <w:sz w:val="24"/>
                <w:szCs w:val="28"/>
                <w:vertAlign w:val="superscript"/>
              </w:rPr>
              <w:t>2</w:t>
            </w:r>
            <w:r>
              <w:rPr>
                <w:rFonts w:hint="eastAsia"/>
                <w:bCs/>
                <w:sz w:val="24"/>
                <w:szCs w:val="28"/>
              </w:rPr>
              <w:t>，大冬青130棵，美国红枫54棵。进一步完善景观设计，建立具有太昌特色的、多层次的、统一和谐的村镇景观系统。设计图见附图3。</w:t>
            </w:r>
          </w:p>
          <w:p>
            <w:pPr>
              <w:autoSpaceDE w:val="0"/>
              <w:autoSpaceDN w:val="0"/>
              <w:adjustRightInd w:val="0"/>
              <w:spacing w:line="360" w:lineRule="auto"/>
              <w:ind w:firstLine="480" w:firstLineChars="200"/>
              <w:rPr>
                <w:bCs/>
                <w:sz w:val="24"/>
                <w:szCs w:val="28"/>
              </w:rPr>
            </w:pPr>
            <w:r>
              <w:rPr>
                <w:rFonts w:hint="eastAsia"/>
                <w:bCs/>
                <w:sz w:val="24"/>
                <w:szCs w:val="28"/>
              </w:rPr>
              <w:t>3）纵断面设计</w:t>
            </w:r>
          </w:p>
          <w:p>
            <w:pPr>
              <w:autoSpaceDE w:val="0"/>
              <w:autoSpaceDN w:val="0"/>
              <w:adjustRightInd w:val="0"/>
              <w:spacing w:line="360" w:lineRule="auto"/>
              <w:ind w:firstLine="480" w:firstLineChars="200"/>
              <w:rPr>
                <w:bCs/>
                <w:sz w:val="24"/>
                <w:szCs w:val="28"/>
              </w:rPr>
            </w:pPr>
            <w:r>
              <w:rPr>
                <w:rFonts w:hint="eastAsia"/>
                <w:bCs/>
                <w:sz w:val="24"/>
                <w:szCs w:val="28"/>
              </w:rPr>
              <w:t>宁县太昌镇街道道路控制标高根据原有车行道道路控制高程确定，道路纵坡设计采用原路面纵坡，横坡坡度1.5%，东侧人行道纵坡根据原有道路纵坡，横坡为单坡，坡度1.5%。</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569585" cy="2679700"/>
                  <wp:effectExtent l="19050" t="19050" r="11888" b="25389"/>
                  <wp:docPr id="7" name="图片 7" descr="C:\Users\Administrator\AppData\Roaming\Tencent\Users\927667154\QQ\WinTemp\RichOle\@L[L93X]2]AJJU793[1R0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Tencent\Users\927667154\QQ\WinTemp\RichOle\@L[L93X]2]AJJU793[1R0DR.png"/>
                          <pic:cNvPicPr>
                            <a:picLocks noChangeAspect="1" noChangeArrowheads="1"/>
                          </pic:cNvPicPr>
                        </pic:nvPicPr>
                        <pic:blipFill>
                          <a:blip r:embed="rId7"/>
                          <a:srcRect/>
                          <a:stretch>
                            <a:fillRect/>
                          </a:stretch>
                        </pic:blipFill>
                        <pic:spPr>
                          <a:xfrm>
                            <a:off x="0" y="0"/>
                            <a:ext cx="5578646" cy="2683985"/>
                          </a:xfrm>
                          <a:prstGeom prst="rect">
                            <a:avLst/>
                          </a:prstGeom>
                          <a:noFill/>
                          <a:ln w="6350">
                            <a:solidFill>
                              <a:schemeClr val="tx1"/>
                            </a:solidFill>
                            <a:miter lim="800000"/>
                            <a:headEnd/>
                            <a:tailEnd/>
                          </a:ln>
                        </pic:spPr>
                      </pic:pic>
                    </a:graphicData>
                  </a:graphic>
                </wp:inline>
              </w:drawing>
            </w:r>
          </w:p>
          <w:p>
            <w:pPr>
              <w:autoSpaceDE w:val="0"/>
              <w:autoSpaceDN w:val="0"/>
              <w:adjustRightInd w:val="0"/>
              <w:spacing w:line="360" w:lineRule="auto"/>
              <w:ind w:firstLine="422" w:firstLineChars="200"/>
              <w:jc w:val="center"/>
              <w:rPr>
                <w:b/>
                <w:bCs/>
                <w:szCs w:val="21"/>
              </w:rPr>
            </w:pPr>
            <w:r>
              <w:rPr>
                <w:rFonts w:hint="eastAsia"/>
                <w:b/>
                <w:bCs/>
                <w:szCs w:val="21"/>
              </w:rPr>
              <w:t>图1  15m道路横断图</w:t>
            </w:r>
          </w:p>
          <w:p>
            <w:pPr>
              <w:widowControl/>
              <w:jc w:val="center"/>
              <w:rPr>
                <w:rFonts w:ascii="宋体" w:hAnsi="宋体" w:cs="宋体"/>
                <w:kern w:val="0"/>
                <w:sz w:val="24"/>
                <w:szCs w:val="24"/>
              </w:rPr>
            </w:pPr>
            <w:r>
              <w:rPr>
                <w:rFonts w:ascii="宋体" w:hAnsi="宋体" w:cs="宋体"/>
                <w:kern w:val="0"/>
                <w:sz w:val="24"/>
                <w:szCs w:val="24"/>
              </w:rPr>
              <w:drawing>
                <wp:inline distT="0" distB="0" distL="0" distR="0">
                  <wp:extent cx="3455670" cy="2486660"/>
                  <wp:effectExtent l="19050" t="19050" r="11430" b="27897"/>
                  <wp:docPr id="9" name="图片 9" descr="C:\Users\Administrator\AppData\Roaming\Tencent\Users\927667154\QQ\WinTemp\RichOle\LZ[NM0Z{VY{N0SANSFI4F9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Tencent\Users\927667154\QQ\WinTemp\RichOle\LZ[NM0Z{VY{N0SANSFI4F9Q.png"/>
                          <pic:cNvPicPr>
                            <a:picLocks noChangeAspect="1" noChangeArrowheads="1"/>
                          </pic:cNvPicPr>
                        </pic:nvPicPr>
                        <pic:blipFill>
                          <a:blip r:embed="rId8"/>
                          <a:srcRect/>
                          <a:stretch>
                            <a:fillRect/>
                          </a:stretch>
                        </pic:blipFill>
                        <pic:spPr>
                          <a:xfrm>
                            <a:off x="0" y="0"/>
                            <a:ext cx="3455844" cy="2486828"/>
                          </a:xfrm>
                          <a:prstGeom prst="rect">
                            <a:avLst/>
                          </a:prstGeom>
                          <a:noFill/>
                          <a:ln w="6350">
                            <a:solidFill>
                              <a:schemeClr val="tx1"/>
                            </a:solidFill>
                            <a:miter lim="800000"/>
                            <a:headEnd/>
                            <a:tailEnd/>
                          </a:ln>
                        </pic:spPr>
                      </pic:pic>
                    </a:graphicData>
                  </a:graphic>
                </wp:inline>
              </w:drawing>
            </w:r>
          </w:p>
          <w:p>
            <w:pPr>
              <w:widowControl/>
              <w:jc w:val="center"/>
              <w:rPr>
                <w:b/>
                <w:kern w:val="0"/>
                <w:szCs w:val="21"/>
              </w:rPr>
            </w:pPr>
            <w:r>
              <w:rPr>
                <w:rFonts w:hAnsi="宋体"/>
                <w:b/>
                <w:kern w:val="0"/>
                <w:szCs w:val="21"/>
              </w:rPr>
              <w:t>图</w:t>
            </w:r>
            <w:r>
              <w:rPr>
                <w:b/>
                <w:kern w:val="0"/>
                <w:szCs w:val="21"/>
              </w:rPr>
              <w:t>2  11m</w:t>
            </w:r>
            <w:r>
              <w:rPr>
                <w:rFonts w:hAnsi="宋体"/>
                <w:b/>
                <w:kern w:val="0"/>
                <w:szCs w:val="21"/>
              </w:rPr>
              <w:t>道路横断图</w:t>
            </w:r>
          </w:p>
          <w:p>
            <w:pPr>
              <w:widowControl/>
              <w:jc w:val="center"/>
              <w:rPr>
                <w:rFonts w:ascii="宋体" w:hAnsi="宋体" w:cs="宋体"/>
                <w:kern w:val="0"/>
                <w:sz w:val="24"/>
                <w:szCs w:val="24"/>
              </w:rPr>
            </w:pPr>
            <w:r>
              <w:rPr>
                <w:rFonts w:ascii="宋体" w:hAnsi="宋体" w:cs="宋体"/>
                <w:kern w:val="0"/>
                <w:sz w:val="24"/>
                <w:szCs w:val="24"/>
              </w:rPr>
              <w:drawing>
                <wp:inline distT="0" distB="0" distL="0" distR="0">
                  <wp:extent cx="4264660" cy="1755775"/>
                  <wp:effectExtent l="19050" t="19050" r="21590" b="15875"/>
                  <wp:docPr id="11" name="图片 11" descr="C:\Users\Administrator\AppData\Roaming\Tencent\Users\927667154\QQ\WinTemp\RichOle\9DB{Z]58TT3BEA@SY}G4M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Tencent\Users\927667154\QQ\WinTemp\RichOle\9DB{Z]58TT3BEA@SY}G4MVL.png"/>
                          <pic:cNvPicPr>
                            <a:picLocks noChangeAspect="1" noChangeArrowheads="1"/>
                          </pic:cNvPicPr>
                        </pic:nvPicPr>
                        <pic:blipFill>
                          <a:blip r:embed="rId9"/>
                          <a:srcRect/>
                          <a:stretch>
                            <a:fillRect/>
                          </a:stretch>
                        </pic:blipFill>
                        <pic:spPr>
                          <a:xfrm>
                            <a:off x="0" y="0"/>
                            <a:ext cx="4264660" cy="1755775"/>
                          </a:xfrm>
                          <a:prstGeom prst="rect">
                            <a:avLst/>
                          </a:prstGeom>
                          <a:noFill/>
                          <a:ln w="9525">
                            <a:solidFill>
                              <a:schemeClr val="tx1"/>
                            </a:solidFill>
                            <a:miter lim="800000"/>
                            <a:headEnd/>
                            <a:tailEnd/>
                          </a:ln>
                        </pic:spPr>
                      </pic:pic>
                    </a:graphicData>
                  </a:graphic>
                </wp:inline>
              </w:drawing>
            </w:r>
          </w:p>
          <w:p>
            <w:pPr>
              <w:autoSpaceDE w:val="0"/>
              <w:autoSpaceDN w:val="0"/>
              <w:adjustRightInd w:val="0"/>
              <w:spacing w:line="360" w:lineRule="auto"/>
              <w:ind w:firstLine="422" w:firstLineChars="200"/>
              <w:jc w:val="center"/>
              <w:rPr>
                <w:b/>
                <w:bCs/>
                <w:szCs w:val="21"/>
              </w:rPr>
            </w:pPr>
            <w:r>
              <w:rPr>
                <w:b/>
                <w:bCs/>
                <w:szCs w:val="21"/>
              </w:rPr>
              <w:t>图3  5m道路横断图</w:t>
            </w:r>
          </w:p>
          <w:p>
            <w:pPr>
              <w:autoSpaceDE w:val="0"/>
              <w:autoSpaceDN w:val="0"/>
              <w:adjustRightInd w:val="0"/>
              <w:spacing w:line="360" w:lineRule="auto"/>
              <w:ind w:firstLine="480" w:firstLineChars="200"/>
              <w:rPr>
                <w:bCs/>
                <w:sz w:val="24"/>
                <w:szCs w:val="28"/>
              </w:rPr>
            </w:pPr>
            <w:r>
              <w:rPr>
                <w:rFonts w:hint="eastAsia"/>
                <w:bCs/>
                <w:sz w:val="24"/>
                <w:szCs w:val="28"/>
              </w:rPr>
              <w:t>4）道路路基设计</w:t>
            </w:r>
          </w:p>
          <w:p>
            <w:pPr>
              <w:autoSpaceDE w:val="0"/>
              <w:autoSpaceDN w:val="0"/>
              <w:adjustRightInd w:val="0"/>
              <w:spacing w:line="360" w:lineRule="auto"/>
              <w:ind w:firstLine="480" w:firstLineChars="200"/>
              <w:rPr>
                <w:bCs/>
                <w:sz w:val="24"/>
                <w:szCs w:val="28"/>
              </w:rPr>
            </w:pPr>
            <w:r>
              <w:rPr>
                <w:rFonts w:hint="eastAsia"/>
                <w:bCs/>
                <w:sz w:val="24"/>
                <w:szCs w:val="28"/>
              </w:rPr>
              <w:t>路床顶面土基回弹模量：≥30MPa；路堤稳定安全系数：1.30；压实度要求：按照《城市道路工程设计规范》要求，本工程拟采用重型压实标准。</w:t>
            </w:r>
          </w:p>
          <w:p>
            <w:pPr>
              <w:autoSpaceDE w:val="0"/>
              <w:autoSpaceDN w:val="0"/>
              <w:adjustRightInd w:val="0"/>
              <w:spacing w:line="360" w:lineRule="auto"/>
              <w:ind w:firstLine="480" w:firstLineChars="200"/>
              <w:rPr>
                <w:bCs/>
                <w:sz w:val="24"/>
                <w:szCs w:val="28"/>
              </w:rPr>
            </w:pPr>
            <w:r>
              <w:rPr>
                <w:rFonts w:hint="eastAsia"/>
                <w:bCs/>
                <w:sz w:val="24"/>
                <w:szCs w:val="28"/>
              </w:rPr>
              <w:t>人行道结构层做法：</w:t>
            </w:r>
          </w:p>
          <w:p>
            <w:pPr>
              <w:autoSpaceDE w:val="0"/>
              <w:autoSpaceDN w:val="0"/>
              <w:adjustRightInd w:val="0"/>
              <w:spacing w:line="360" w:lineRule="auto"/>
              <w:ind w:firstLine="480" w:firstLineChars="200"/>
              <w:rPr>
                <w:bCs/>
                <w:sz w:val="24"/>
                <w:szCs w:val="28"/>
              </w:rPr>
            </w:pPr>
            <w:r>
              <w:rPr>
                <w:rFonts w:hint="eastAsia"/>
                <w:bCs/>
                <w:sz w:val="24"/>
                <w:szCs w:val="28"/>
              </w:rPr>
              <w:t>面层：透水砖—6cm；结合层：1:3水泥砂浆—3cm；</w:t>
            </w:r>
          </w:p>
          <w:p>
            <w:pPr>
              <w:autoSpaceDE w:val="0"/>
              <w:autoSpaceDN w:val="0"/>
              <w:adjustRightInd w:val="0"/>
              <w:spacing w:line="360" w:lineRule="auto"/>
              <w:ind w:firstLine="480" w:firstLineChars="200"/>
              <w:rPr>
                <w:bCs/>
                <w:sz w:val="24"/>
                <w:szCs w:val="28"/>
              </w:rPr>
            </w:pPr>
            <w:r>
              <w:rPr>
                <w:rFonts w:hint="eastAsia"/>
                <w:bCs/>
                <w:sz w:val="24"/>
                <w:szCs w:val="28"/>
              </w:rPr>
              <w:t>基础：C15混凝土—6cm；垫层：3:7灰土—20cm；       总厚度：35cm</w:t>
            </w:r>
          </w:p>
          <w:p>
            <w:pPr>
              <w:autoSpaceDE w:val="0"/>
              <w:autoSpaceDN w:val="0"/>
              <w:adjustRightInd w:val="0"/>
              <w:spacing w:line="360" w:lineRule="auto"/>
              <w:ind w:firstLine="480" w:firstLineChars="200"/>
              <w:rPr>
                <w:bCs/>
                <w:sz w:val="24"/>
                <w:szCs w:val="28"/>
              </w:rPr>
            </w:pPr>
            <w:r>
              <w:rPr>
                <w:rFonts w:hint="eastAsia"/>
                <w:bCs/>
                <w:sz w:val="24"/>
                <w:szCs w:val="28"/>
              </w:rPr>
              <w:t>绿化带（主要种植有冬青、红枫等）：</w:t>
            </w:r>
          </w:p>
          <w:p>
            <w:pPr>
              <w:autoSpaceDE w:val="0"/>
              <w:autoSpaceDN w:val="0"/>
              <w:adjustRightInd w:val="0"/>
              <w:spacing w:line="360" w:lineRule="auto"/>
              <w:ind w:firstLine="480" w:firstLineChars="200"/>
              <w:rPr>
                <w:bCs/>
                <w:sz w:val="24"/>
                <w:szCs w:val="28"/>
              </w:rPr>
            </w:pPr>
            <w:r>
              <w:rPr>
                <w:rFonts w:hint="eastAsia"/>
                <w:bCs/>
                <w:sz w:val="24"/>
                <w:szCs w:val="28"/>
              </w:rPr>
              <w:t>种植土—6cm；素土—30cm；                         总厚度：36cm</w:t>
            </w:r>
          </w:p>
          <w:p>
            <w:pPr>
              <w:widowControl/>
              <w:jc w:val="center"/>
              <w:rPr>
                <w:rFonts w:ascii="宋体" w:hAnsi="宋体" w:cs="宋体"/>
                <w:kern w:val="0"/>
                <w:sz w:val="24"/>
                <w:szCs w:val="24"/>
              </w:rPr>
            </w:pPr>
            <w:r>
              <w:rPr>
                <w:rFonts w:ascii="宋体" w:hAnsi="宋体" w:cs="宋体"/>
                <w:kern w:val="0"/>
                <w:sz w:val="24"/>
                <w:szCs w:val="24"/>
              </w:rPr>
              <w:drawing>
                <wp:inline distT="0" distB="0" distL="0" distR="0">
                  <wp:extent cx="5335270" cy="2515235"/>
                  <wp:effectExtent l="19050" t="19050" r="17374" b="17798"/>
                  <wp:docPr id="13" name="图片 13" descr="C:\Users\Administrator\AppData\Roaming\Tencent\Users\927667154\QQ\WinTemp\RichOle\)CT]HB6K7E_VBEQDA96YDX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AppData\Roaming\Tencent\Users\927667154\QQ\WinTemp\RichOle\)CT]HB6K7E_VBEQDA96YDXW.png"/>
                          <pic:cNvPicPr>
                            <a:picLocks noChangeAspect="1" noChangeArrowheads="1"/>
                          </pic:cNvPicPr>
                        </pic:nvPicPr>
                        <pic:blipFill>
                          <a:blip r:embed="rId10"/>
                          <a:srcRect/>
                          <a:stretch>
                            <a:fillRect/>
                          </a:stretch>
                        </pic:blipFill>
                        <pic:spPr>
                          <a:xfrm>
                            <a:off x="0" y="0"/>
                            <a:ext cx="5335379" cy="2515712"/>
                          </a:xfrm>
                          <a:prstGeom prst="rect">
                            <a:avLst/>
                          </a:prstGeom>
                          <a:noFill/>
                          <a:ln w="9525">
                            <a:solidFill>
                              <a:schemeClr val="tx1"/>
                            </a:solidFill>
                            <a:miter lim="800000"/>
                            <a:headEnd/>
                            <a:tailEnd/>
                          </a:ln>
                        </pic:spPr>
                      </pic:pic>
                    </a:graphicData>
                  </a:graphic>
                </wp:inline>
              </w:drawing>
            </w:r>
          </w:p>
          <w:p>
            <w:pPr>
              <w:autoSpaceDE w:val="0"/>
              <w:autoSpaceDN w:val="0"/>
              <w:adjustRightInd w:val="0"/>
              <w:spacing w:line="360" w:lineRule="auto"/>
              <w:ind w:firstLine="422" w:firstLineChars="200"/>
              <w:jc w:val="center"/>
              <w:rPr>
                <w:bCs/>
                <w:sz w:val="18"/>
                <w:szCs w:val="18"/>
              </w:rPr>
            </w:pPr>
            <w:r>
              <w:rPr>
                <w:rFonts w:hint="eastAsia"/>
                <w:b/>
                <w:bCs/>
                <w:szCs w:val="21"/>
              </w:rPr>
              <w:t xml:space="preserve">图4  道路绿化硬化大样图 </w:t>
            </w:r>
            <w:r>
              <w:rPr>
                <w:rFonts w:hint="eastAsia"/>
                <w:bCs/>
                <w:sz w:val="18"/>
                <w:szCs w:val="18"/>
              </w:rPr>
              <w:t xml:space="preserve"> 1:100  单位：mm</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671820" cy="1593215"/>
                  <wp:effectExtent l="19050" t="19050" r="23775" b="25521"/>
                  <wp:docPr id="15" name="图片 15" descr="C:\Users\Administrator\AppData\Roaming\Tencent\Users\927667154\QQ\WinTemp\RichOle\AM6_6{SXK91C_QK33DIT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Roaming\Tencent\Users\927667154\QQ\WinTemp\RichOle\AM6_6{SXK91C_QK33DITC@P.png"/>
                          <pic:cNvPicPr>
                            <a:picLocks noChangeAspect="1" noChangeArrowheads="1"/>
                          </pic:cNvPicPr>
                        </pic:nvPicPr>
                        <pic:blipFill>
                          <a:blip r:embed="rId11"/>
                          <a:srcRect/>
                          <a:stretch>
                            <a:fillRect/>
                          </a:stretch>
                        </pic:blipFill>
                        <pic:spPr>
                          <a:xfrm>
                            <a:off x="0" y="0"/>
                            <a:ext cx="5672175" cy="1593729"/>
                          </a:xfrm>
                          <a:prstGeom prst="rect">
                            <a:avLst/>
                          </a:prstGeom>
                          <a:noFill/>
                          <a:ln w="9525">
                            <a:solidFill>
                              <a:schemeClr val="tx1"/>
                            </a:solidFill>
                            <a:miter lim="800000"/>
                            <a:headEnd/>
                            <a:tailEnd/>
                          </a:ln>
                        </pic:spPr>
                      </pic:pic>
                    </a:graphicData>
                  </a:graphic>
                </wp:inline>
              </w:drawing>
            </w:r>
          </w:p>
          <w:p>
            <w:pPr>
              <w:autoSpaceDE w:val="0"/>
              <w:autoSpaceDN w:val="0"/>
              <w:adjustRightInd w:val="0"/>
              <w:spacing w:line="360" w:lineRule="auto"/>
              <w:ind w:firstLine="422" w:firstLineChars="200"/>
              <w:jc w:val="center"/>
              <w:rPr>
                <w:b/>
                <w:bCs/>
                <w:szCs w:val="21"/>
              </w:rPr>
            </w:pPr>
            <w:r>
              <w:rPr>
                <w:rFonts w:hint="eastAsia"/>
                <w:b/>
                <w:bCs/>
                <w:szCs w:val="21"/>
              </w:rPr>
              <w:t xml:space="preserve">图5  1-1断面图 </w:t>
            </w:r>
            <w:r>
              <w:rPr>
                <w:rFonts w:hint="eastAsia"/>
                <w:bCs/>
                <w:szCs w:val="21"/>
              </w:rPr>
              <w:t xml:space="preserve"> </w:t>
            </w:r>
            <w:r>
              <w:rPr>
                <w:rFonts w:hint="eastAsia"/>
                <w:bCs/>
                <w:sz w:val="18"/>
                <w:szCs w:val="18"/>
              </w:rPr>
              <w:t>1:20  单位：mm</w:t>
            </w:r>
          </w:p>
          <w:p>
            <w:pPr>
              <w:widowControl/>
              <w:jc w:val="center"/>
              <w:rPr>
                <w:rFonts w:ascii="宋体" w:hAnsi="宋体" w:cs="宋体"/>
                <w:kern w:val="0"/>
                <w:sz w:val="24"/>
                <w:szCs w:val="24"/>
              </w:rPr>
            </w:pPr>
            <w:r>
              <w:rPr>
                <w:rFonts w:ascii="宋体" w:hAnsi="宋体" w:cs="宋体"/>
                <w:kern w:val="0"/>
                <w:sz w:val="24"/>
                <w:szCs w:val="24"/>
              </w:rPr>
              <w:drawing>
                <wp:inline distT="0" distB="0" distL="0" distR="0">
                  <wp:extent cx="3155315" cy="1807845"/>
                  <wp:effectExtent l="19050" t="19050" r="25604" b="20633"/>
                  <wp:docPr id="17" name="图片 17" descr="C:\Users\Administrator\AppData\Roaming\Tencent\Users\927667154\QQ\WinTemp\RichOle\~6L}F7INF$J1S9_XG~A@W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Roaming\Tencent\Users\927667154\QQ\WinTemp\RichOle\~6L}F7INF$J1S9_XG~A@W9J.png"/>
                          <pic:cNvPicPr>
                            <a:picLocks noChangeAspect="1" noChangeArrowheads="1"/>
                          </pic:cNvPicPr>
                        </pic:nvPicPr>
                        <pic:blipFill>
                          <a:blip r:embed="rId12"/>
                          <a:srcRect/>
                          <a:stretch>
                            <a:fillRect/>
                          </a:stretch>
                        </pic:blipFill>
                        <pic:spPr>
                          <a:xfrm>
                            <a:off x="0" y="0"/>
                            <a:ext cx="3158113" cy="1809523"/>
                          </a:xfrm>
                          <a:prstGeom prst="rect">
                            <a:avLst/>
                          </a:prstGeom>
                          <a:noFill/>
                          <a:ln w="9525">
                            <a:solidFill>
                              <a:schemeClr val="tx1"/>
                            </a:solidFill>
                            <a:miter lim="800000"/>
                            <a:headEnd/>
                            <a:tailEnd/>
                          </a:ln>
                        </pic:spPr>
                      </pic:pic>
                    </a:graphicData>
                  </a:graphic>
                </wp:inline>
              </w:drawing>
            </w:r>
          </w:p>
          <w:p>
            <w:pPr>
              <w:widowControl/>
              <w:jc w:val="center"/>
              <w:rPr>
                <w:rFonts w:ascii="宋体" w:hAnsi="宋体" w:cs="宋体"/>
                <w:kern w:val="0"/>
                <w:sz w:val="24"/>
                <w:szCs w:val="24"/>
              </w:rPr>
            </w:pPr>
            <w:r>
              <w:rPr>
                <w:rFonts w:hAnsi="宋体"/>
                <w:b/>
                <w:kern w:val="0"/>
                <w:szCs w:val="21"/>
              </w:rPr>
              <w:t>图</w:t>
            </w:r>
            <w:r>
              <w:rPr>
                <w:b/>
                <w:kern w:val="0"/>
                <w:szCs w:val="21"/>
              </w:rPr>
              <w:t xml:space="preserve">6  </w:t>
            </w:r>
            <w:r>
              <w:rPr>
                <w:rFonts w:hAnsi="宋体"/>
                <w:b/>
                <w:kern w:val="0"/>
                <w:szCs w:val="21"/>
              </w:rPr>
              <w:t>非机动车道路拱大样图</w:t>
            </w:r>
            <w:r>
              <w:rPr>
                <w:b/>
                <w:kern w:val="0"/>
                <w:szCs w:val="21"/>
              </w:rPr>
              <w:t xml:space="preserve"> </w:t>
            </w:r>
            <w:r>
              <w:rPr>
                <w:rFonts w:hint="eastAsia" w:ascii="宋体" w:hAnsi="宋体" w:cs="宋体"/>
                <w:kern w:val="0"/>
                <w:sz w:val="24"/>
                <w:szCs w:val="24"/>
              </w:rPr>
              <w:t xml:space="preserve"> </w:t>
            </w:r>
            <w:r>
              <w:rPr>
                <w:rFonts w:hint="eastAsia" w:ascii="宋体" w:hAnsi="宋体" w:cs="宋体"/>
                <w:kern w:val="0"/>
                <w:sz w:val="18"/>
                <w:szCs w:val="18"/>
              </w:rPr>
              <w:t>单位：mm</w:t>
            </w:r>
          </w:p>
          <w:p>
            <w:pPr>
              <w:widowControl/>
              <w:jc w:val="center"/>
              <w:rPr>
                <w:rFonts w:ascii="宋体" w:hAnsi="宋体" w:cs="宋体"/>
                <w:kern w:val="0"/>
                <w:sz w:val="24"/>
                <w:szCs w:val="24"/>
              </w:rPr>
            </w:pPr>
            <w:r>
              <w:rPr>
                <w:rFonts w:ascii="宋体" w:hAnsi="宋体" w:cs="宋体"/>
                <w:kern w:val="0"/>
                <w:sz w:val="24"/>
                <w:szCs w:val="24"/>
              </w:rPr>
              <w:drawing>
                <wp:inline distT="0" distB="0" distL="0" distR="0">
                  <wp:extent cx="3667760" cy="1049020"/>
                  <wp:effectExtent l="19050" t="19050" r="27890" b="17529"/>
                  <wp:docPr id="19" name="图片 19" descr="C:\Users\Administrator\AppData\Roaming\Tencent\Users\927667154\QQ\WinTemp\RichOle\CH(JHY_}8H7FFE8_E$A%H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Roaming\Tencent\Users\927667154\QQ\WinTemp\RichOle\CH(JHY_}8H7FFE8_E$A%HMG.png"/>
                          <pic:cNvPicPr>
                            <a:picLocks noChangeAspect="1" noChangeArrowheads="1"/>
                          </pic:cNvPicPr>
                        </pic:nvPicPr>
                        <pic:blipFill>
                          <a:blip r:embed="rId13"/>
                          <a:srcRect/>
                          <a:stretch>
                            <a:fillRect/>
                          </a:stretch>
                        </pic:blipFill>
                        <pic:spPr>
                          <a:xfrm>
                            <a:off x="0" y="0"/>
                            <a:ext cx="3666053" cy="1048768"/>
                          </a:xfrm>
                          <a:prstGeom prst="rect">
                            <a:avLst/>
                          </a:prstGeom>
                          <a:noFill/>
                          <a:ln w="9525">
                            <a:solidFill>
                              <a:schemeClr val="tx1"/>
                            </a:solidFill>
                            <a:miter lim="800000"/>
                            <a:headEnd/>
                            <a:tailEnd/>
                          </a:ln>
                        </pic:spPr>
                      </pic:pic>
                    </a:graphicData>
                  </a:graphic>
                </wp:inline>
              </w:drawing>
            </w:r>
          </w:p>
          <w:p>
            <w:pPr>
              <w:autoSpaceDE w:val="0"/>
              <w:autoSpaceDN w:val="0"/>
              <w:adjustRightInd w:val="0"/>
              <w:spacing w:line="360" w:lineRule="auto"/>
              <w:ind w:firstLine="422" w:firstLineChars="200"/>
              <w:jc w:val="center"/>
              <w:rPr>
                <w:bCs/>
                <w:sz w:val="24"/>
                <w:szCs w:val="28"/>
              </w:rPr>
            </w:pPr>
            <w:r>
              <w:rPr>
                <w:rFonts w:hint="eastAsia"/>
                <w:b/>
                <w:bCs/>
                <w:szCs w:val="21"/>
              </w:rPr>
              <w:t>图7  道路绿化大样图</w:t>
            </w:r>
            <w:r>
              <w:rPr>
                <w:rFonts w:hint="eastAsia"/>
                <w:bCs/>
                <w:sz w:val="24"/>
                <w:szCs w:val="28"/>
              </w:rPr>
              <w:t xml:space="preserve">  </w:t>
            </w:r>
            <w:r>
              <w:rPr>
                <w:rFonts w:hint="eastAsia"/>
                <w:bCs/>
                <w:sz w:val="18"/>
                <w:szCs w:val="18"/>
              </w:rPr>
              <w:t>单位：mm</w:t>
            </w:r>
          </w:p>
          <w:p>
            <w:pPr>
              <w:widowControl/>
              <w:jc w:val="center"/>
              <w:rPr>
                <w:rFonts w:ascii="宋体" w:hAnsi="宋体" w:cs="宋体"/>
                <w:kern w:val="0"/>
                <w:sz w:val="24"/>
                <w:szCs w:val="24"/>
              </w:rPr>
            </w:pPr>
            <w:r>
              <w:rPr>
                <w:rFonts w:ascii="宋体" w:hAnsi="宋体" w:cs="宋体"/>
                <w:kern w:val="0"/>
                <w:sz w:val="24"/>
                <w:szCs w:val="24"/>
              </w:rPr>
              <w:drawing>
                <wp:inline distT="0" distB="0" distL="0" distR="0">
                  <wp:extent cx="3192145" cy="1544955"/>
                  <wp:effectExtent l="19050" t="19050" r="27128" b="16891"/>
                  <wp:docPr id="21" name="图片 21" descr="C:\Users\Administrator\AppData\Roaming\Tencent\Users\927667154\QQ\WinTemp\RichOle\_)`5EF7A7G~W{A8]4TT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Tencent\Users\927667154\QQ\WinTemp\RichOle\_)`5EF7A7G~W{A8]4TTB}CH.png"/>
                          <pic:cNvPicPr>
                            <a:picLocks noChangeAspect="1" noChangeArrowheads="1"/>
                          </pic:cNvPicPr>
                        </pic:nvPicPr>
                        <pic:blipFill>
                          <a:blip r:embed="rId14"/>
                          <a:srcRect/>
                          <a:stretch>
                            <a:fillRect/>
                          </a:stretch>
                        </pic:blipFill>
                        <pic:spPr>
                          <a:xfrm>
                            <a:off x="0" y="0"/>
                            <a:ext cx="3192018" cy="1543507"/>
                          </a:xfrm>
                          <a:prstGeom prst="rect">
                            <a:avLst/>
                          </a:prstGeom>
                          <a:noFill/>
                          <a:ln w="9525">
                            <a:solidFill>
                              <a:schemeClr val="tx1"/>
                            </a:solidFill>
                            <a:miter lim="800000"/>
                            <a:headEnd/>
                            <a:tailEnd/>
                          </a:ln>
                        </pic:spPr>
                      </pic:pic>
                    </a:graphicData>
                  </a:graphic>
                </wp:inline>
              </w:drawing>
            </w:r>
          </w:p>
          <w:p>
            <w:pPr>
              <w:autoSpaceDE w:val="0"/>
              <w:autoSpaceDN w:val="0"/>
              <w:adjustRightInd w:val="0"/>
              <w:spacing w:line="360" w:lineRule="auto"/>
              <w:ind w:firstLine="422" w:firstLineChars="200"/>
              <w:jc w:val="center"/>
              <w:rPr>
                <w:b/>
                <w:bCs/>
                <w:szCs w:val="21"/>
              </w:rPr>
            </w:pPr>
            <w:r>
              <w:rPr>
                <w:rFonts w:hint="eastAsia"/>
                <w:b/>
                <w:bCs/>
                <w:szCs w:val="21"/>
              </w:rPr>
              <w:t>图8  小路口单面坡缘石坡道</w:t>
            </w:r>
          </w:p>
          <w:p>
            <w:pPr>
              <w:autoSpaceDE w:val="0"/>
              <w:autoSpaceDN w:val="0"/>
              <w:adjustRightInd w:val="0"/>
              <w:spacing w:line="360" w:lineRule="auto"/>
              <w:ind w:firstLine="480" w:firstLineChars="200"/>
              <w:rPr>
                <w:bCs/>
                <w:sz w:val="24"/>
                <w:szCs w:val="28"/>
              </w:rPr>
            </w:pPr>
            <w:r>
              <w:rPr>
                <w:rFonts w:hint="eastAsia"/>
                <w:bCs/>
                <w:sz w:val="24"/>
                <w:szCs w:val="28"/>
              </w:rPr>
              <w:t>b、广场工程</w:t>
            </w:r>
          </w:p>
          <w:p>
            <w:pPr>
              <w:autoSpaceDE w:val="0"/>
              <w:autoSpaceDN w:val="0"/>
              <w:adjustRightInd w:val="0"/>
              <w:spacing w:line="360" w:lineRule="auto"/>
              <w:ind w:firstLine="480" w:firstLineChars="200"/>
              <w:rPr>
                <w:bCs/>
                <w:sz w:val="24"/>
                <w:szCs w:val="28"/>
              </w:rPr>
            </w:pPr>
            <w:r>
              <w:rPr>
                <w:rFonts w:hint="eastAsia"/>
                <w:bCs/>
                <w:sz w:val="24"/>
                <w:szCs w:val="28"/>
              </w:rPr>
              <w:t>1）透水砖铺装</w:t>
            </w:r>
          </w:p>
          <w:p>
            <w:pPr>
              <w:autoSpaceDE w:val="0"/>
              <w:autoSpaceDN w:val="0"/>
              <w:adjustRightInd w:val="0"/>
              <w:spacing w:line="360" w:lineRule="auto"/>
              <w:ind w:firstLine="480" w:firstLineChars="200"/>
              <w:rPr>
                <w:bCs/>
                <w:sz w:val="24"/>
                <w:szCs w:val="28"/>
              </w:rPr>
            </w:pPr>
            <w:r>
              <w:rPr>
                <w:rFonts w:hint="eastAsia"/>
                <w:bCs/>
                <w:sz w:val="24"/>
                <w:szCs w:val="28"/>
              </w:rPr>
              <w:t>材料及做法（由上至下）：60mm厚透水砖、30mm厚1:3水泥砂浆、60mm厚C15细石混凝土、200mm厚3:7灰土、素土夯实（翻夯厚度不小于300mm，压实系数不小于0.93）。</w:t>
            </w:r>
          </w:p>
          <w:p>
            <w:pPr>
              <w:autoSpaceDE w:val="0"/>
              <w:autoSpaceDN w:val="0"/>
              <w:adjustRightInd w:val="0"/>
              <w:spacing w:line="360" w:lineRule="auto"/>
              <w:ind w:firstLine="480" w:firstLineChars="200"/>
              <w:rPr>
                <w:bCs/>
                <w:sz w:val="24"/>
                <w:szCs w:val="28"/>
              </w:rPr>
            </w:pPr>
            <w:r>
              <w:rPr>
                <w:rFonts w:hint="eastAsia"/>
                <w:bCs/>
                <w:sz w:val="24"/>
                <w:szCs w:val="28"/>
              </w:rPr>
              <w:t>2）卵石铺装</w:t>
            </w:r>
          </w:p>
          <w:p>
            <w:pPr>
              <w:autoSpaceDE w:val="0"/>
              <w:autoSpaceDN w:val="0"/>
              <w:adjustRightInd w:val="0"/>
              <w:spacing w:line="360" w:lineRule="auto"/>
              <w:ind w:firstLine="480" w:firstLineChars="200"/>
              <w:rPr>
                <w:bCs/>
                <w:sz w:val="24"/>
                <w:szCs w:val="28"/>
              </w:rPr>
            </w:pPr>
            <w:r>
              <w:rPr>
                <w:rFonts w:hint="eastAsia"/>
                <w:bCs/>
                <w:sz w:val="24"/>
                <w:szCs w:val="28"/>
              </w:rPr>
              <w:t>材料及做法（由上至下）：130mm—150mm卵石均匀嵌铺、50厚1:2干硬水泥砂浆、100厚C20素混凝土、100厚级配碎石压实、素土夯实（翻夯厚度不小于300，压实系数不小于0.93）。</w:t>
            </w:r>
          </w:p>
          <w:p>
            <w:pPr>
              <w:autoSpaceDE w:val="0"/>
              <w:autoSpaceDN w:val="0"/>
              <w:adjustRightInd w:val="0"/>
              <w:spacing w:line="360" w:lineRule="auto"/>
              <w:ind w:firstLine="480" w:firstLineChars="200"/>
              <w:rPr>
                <w:bCs/>
                <w:sz w:val="24"/>
                <w:szCs w:val="28"/>
              </w:rPr>
            </w:pPr>
            <w:r>
              <w:rPr>
                <w:rFonts w:hint="eastAsia"/>
                <w:bCs/>
                <w:sz w:val="24"/>
                <w:szCs w:val="28"/>
              </w:rPr>
              <w:t>3）大理石铺装</w:t>
            </w:r>
          </w:p>
          <w:p>
            <w:pPr>
              <w:autoSpaceDE w:val="0"/>
              <w:autoSpaceDN w:val="0"/>
              <w:adjustRightInd w:val="0"/>
              <w:spacing w:line="360" w:lineRule="auto"/>
              <w:ind w:firstLine="480" w:firstLineChars="200"/>
              <w:rPr>
                <w:bCs/>
                <w:sz w:val="24"/>
                <w:szCs w:val="28"/>
              </w:rPr>
            </w:pPr>
            <w:r>
              <w:rPr>
                <w:rFonts w:hint="eastAsia"/>
                <w:bCs/>
                <w:sz w:val="24"/>
                <w:szCs w:val="28"/>
              </w:rPr>
              <w:t>材料及做法（由上至下）：40厚大理石、30厚1:3干硬性水泥砂浆、250厚3:7灰土、素土夯实（翻夯厚度不小于300，压实系数不小于0.93）。</w:t>
            </w:r>
          </w:p>
          <w:p>
            <w:pPr>
              <w:autoSpaceDE w:val="0"/>
              <w:autoSpaceDN w:val="0"/>
              <w:adjustRightInd w:val="0"/>
              <w:spacing w:line="360" w:lineRule="auto"/>
              <w:ind w:firstLine="480" w:firstLineChars="200"/>
              <w:rPr>
                <w:bCs/>
                <w:sz w:val="24"/>
                <w:szCs w:val="28"/>
              </w:rPr>
            </w:pPr>
            <w:r>
              <w:rPr>
                <w:rFonts w:hint="eastAsia"/>
                <w:bCs/>
                <w:sz w:val="24"/>
                <w:szCs w:val="28"/>
              </w:rPr>
              <w:t>4）花池</w:t>
            </w:r>
          </w:p>
          <w:p>
            <w:pPr>
              <w:autoSpaceDE w:val="0"/>
              <w:autoSpaceDN w:val="0"/>
              <w:adjustRightInd w:val="0"/>
              <w:spacing w:line="360" w:lineRule="auto"/>
              <w:ind w:firstLine="480" w:firstLineChars="200"/>
              <w:rPr>
                <w:bCs/>
                <w:sz w:val="24"/>
                <w:szCs w:val="28"/>
              </w:rPr>
            </w:pPr>
            <w:r>
              <w:rPr>
                <w:rFonts w:hint="eastAsia"/>
                <w:bCs/>
                <w:sz w:val="24"/>
                <w:szCs w:val="28"/>
              </w:rPr>
              <w:t>材料及做法：240mm厚青砖MU10砖、M5水泥砂浆砌筑、1:2水泥砂浆勾缝。</w:t>
            </w:r>
          </w:p>
          <w:p>
            <w:pPr>
              <w:autoSpaceDE w:val="0"/>
              <w:autoSpaceDN w:val="0"/>
              <w:adjustRightInd w:val="0"/>
              <w:spacing w:line="360" w:lineRule="auto"/>
              <w:ind w:firstLine="480" w:firstLineChars="200"/>
              <w:rPr>
                <w:bCs/>
                <w:sz w:val="24"/>
                <w:szCs w:val="28"/>
              </w:rPr>
            </w:pPr>
            <w:r>
              <w:rPr>
                <w:rFonts w:hint="eastAsia"/>
                <w:bCs/>
                <w:sz w:val="24"/>
                <w:szCs w:val="28"/>
              </w:rPr>
              <w:t>5）树池</w:t>
            </w:r>
          </w:p>
          <w:p>
            <w:pPr>
              <w:autoSpaceDE w:val="0"/>
              <w:autoSpaceDN w:val="0"/>
              <w:adjustRightInd w:val="0"/>
              <w:spacing w:line="360" w:lineRule="auto"/>
              <w:ind w:firstLine="480" w:firstLineChars="200"/>
              <w:rPr>
                <w:bCs/>
                <w:sz w:val="24"/>
                <w:szCs w:val="28"/>
              </w:rPr>
            </w:pPr>
            <w:r>
              <w:rPr>
                <w:rFonts w:hint="eastAsia"/>
                <w:bCs/>
                <w:sz w:val="24"/>
                <w:szCs w:val="28"/>
              </w:rPr>
              <w:t>材料及做法：树池边框、20厚M7.5水泥砂浆、60厚C15混凝土。</w:t>
            </w:r>
          </w:p>
          <w:p>
            <w:pPr>
              <w:autoSpaceDE w:val="0"/>
              <w:autoSpaceDN w:val="0"/>
              <w:adjustRightInd w:val="0"/>
              <w:spacing w:line="360" w:lineRule="auto"/>
              <w:ind w:firstLine="480" w:firstLineChars="200"/>
              <w:rPr>
                <w:bCs/>
                <w:sz w:val="24"/>
                <w:szCs w:val="28"/>
              </w:rPr>
            </w:pPr>
            <w:r>
              <w:rPr>
                <w:rFonts w:hint="eastAsia"/>
                <w:bCs/>
                <w:sz w:val="24"/>
                <w:szCs w:val="28"/>
              </w:rPr>
              <w:t>6）浮雕墙</w:t>
            </w:r>
          </w:p>
          <w:p>
            <w:pPr>
              <w:autoSpaceDE w:val="0"/>
              <w:autoSpaceDN w:val="0"/>
              <w:adjustRightInd w:val="0"/>
              <w:spacing w:line="360" w:lineRule="auto"/>
              <w:ind w:firstLine="480" w:firstLineChars="200"/>
              <w:rPr>
                <w:bCs/>
                <w:sz w:val="24"/>
                <w:szCs w:val="28"/>
              </w:rPr>
            </w:pPr>
            <w:r>
              <w:rPr>
                <w:rFonts w:hint="eastAsia"/>
                <w:bCs/>
                <w:sz w:val="24"/>
                <w:szCs w:val="28"/>
              </w:rPr>
              <w:t>浮雕墙高2500mm，墙厚改为370mm，基础埋深H为1000mm墙面浮雕。</w:t>
            </w:r>
          </w:p>
          <w:p>
            <w:pPr>
              <w:autoSpaceDE w:val="0"/>
              <w:autoSpaceDN w:val="0"/>
              <w:adjustRightInd w:val="0"/>
              <w:spacing w:line="360" w:lineRule="auto"/>
              <w:ind w:firstLine="480" w:firstLineChars="200"/>
              <w:rPr>
                <w:bCs/>
                <w:sz w:val="24"/>
                <w:szCs w:val="28"/>
              </w:rPr>
            </w:pPr>
            <w:r>
              <w:rPr>
                <w:rFonts w:hint="eastAsia"/>
                <w:bCs/>
                <w:sz w:val="24"/>
                <w:szCs w:val="28"/>
              </w:rPr>
              <w:t>各节点示意图见图9~12，广场平面布置图见附图4。</w:t>
            </w:r>
          </w:p>
          <w:p>
            <w:pPr>
              <w:autoSpaceDE w:val="0"/>
              <w:autoSpaceDN w:val="0"/>
              <w:adjustRightInd w:val="0"/>
              <w:spacing w:line="360" w:lineRule="auto"/>
              <w:ind w:firstLine="480" w:firstLineChars="200"/>
              <w:rPr>
                <w:bCs/>
                <w:sz w:val="24"/>
                <w:szCs w:val="28"/>
              </w:rPr>
            </w:pPr>
            <w:r>
              <w:rPr>
                <w:bCs/>
                <w:sz w:val="24"/>
                <w:szCs w:val="28"/>
              </w:rPr>
              <w:drawing>
                <wp:inline distT="0" distB="0" distL="0" distR="0">
                  <wp:extent cx="2387600" cy="1646555"/>
                  <wp:effectExtent l="19050" t="19050" r="12649" b="10592"/>
                  <wp:docPr id="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pic:cNvPicPr>
                            <a:picLocks noChangeAspect="1" noChangeArrowheads="1"/>
                          </pic:cNvPicPr>
                        </pic:nvPicPr>
                        <pic:blipFill>
                          <a:blip r:embed="rId15"/>
                          <a:srcRect/>
                          <a:stretch>
                            <a:fillRect/>
                          </a:stretch>
                        </pic:blipFill>
                        <pic:spPr>
                          <a:xfrm>
                            <a:off x="0" y="0"/>
                            <a:ext cx="2387824" cy="1646877"/>
                          </a:xfrm>
                          <a:prstGeom prst="rect">
                            <a:avLst/>
                          </a:prstGeom>
                          <a:noFill/>
                          <a:ln w="3175">
                            <a:solidFill>
                              <a:schemeClr val="tx1"/>
                            </a:solidFill>
                            <a:miter lim="800000"/>
                            <a:headEnd/>
                            <a:tailEnd/>
                          </a:ln>
                        </pic:spPr>
                      </pic:pic>
                    </a:graphicData>
                  </a:graphic>
                </wp:inline>
              </w:drawing>
            </w:r>
            <w:r>
              <w:rPr>
                <w:rFonts w:hint="eastAsia"/>
                <w:bCs/>
                <w:sz w:val="24"/>
                <w:szCs w:val="28"/>
              </w:rPr>
              <w:t xml:space="preserve">   </w:t>
            </w:r>
            <w:r>
              <w:rPr>
                <w:bCs/>
                <w:sz w:val="24"/>
                <w:szCs w:val="28"/>
              </w:rPr>
              <w:drawing>
                <wp:inline distT="0" distB="0" distL="0" distR="0">
                  <wp:extent cx="2467610" cy="1660525"/>
                  <wp:effectExtent l="19050" t="19050" r="27432" b="15545"/>
                  <wp:docPr id="4" name="图片 26" descr="C:\Users\Administrator\AppData\Roaming\Tencent\Users\927667154\QQ\WinTemp\RichOle\)KA5@$MJIG61(H`_P}HAS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descr="C:\Users\Administrator\AppData\Roaming\Tencent\Users\927667154\QQ\WinTemp\RichOle\)KA5@$MJIG61(H`_P}HASQQ.png"/>
                          <pic:cNvPicPr>
                            <a:picLocks noChangeAspect="1" noChangeArrowheads="1"/>
                          </pic:cNvPicPr>
                        </pic:nvPicPr>
                        <pic:blipFill>
                          <a:blip r:embed="rId16"/>
                          <a:srcRect/>
                          <a:stretch>
                            <a:fillRect/>
                          </a:stretch>
                        </pic:blipFill>
                        <pic:spPr>
                          <a:xfrm>
                            <a:off x="0" y="0"/>
                            <a:ext cx="2467705" cy="1660577"/>
                          </a:xfrm>
                          <a:prstGeom prst="rect">
                            <a:avLst/>
                          </a:prstGeom>
                          <a:noFill/>
                          <a:ln w="9525">
                            <a:solidFill>
                              <a:schemeClr val="tx1"/>
                            </a:solidFill>
                            <a:miter lim="800000"/>
                            <a:headEnd/>
                            <a:tailEnd/>
                          </a:ln>
                        </pic:spPr>
                      </pic:pic>
                    </a:graphicData>
                  </a:graphic>
                </wp:inline>
              </w:drawing>
            </w:r>
          </w:p>
          <w:p>
            <w:pPr>
              <w:autoSpaceDE w:val="0"/>
              <w:autoSpaceDN w:val="0"/>
              <w:adjustRightInd w:val="0"/>
              <w:spacing w:line="360" w:lineRule="auto"/>
              <w:ind w:firstLine="1054" w:firstLineChars="500"/>
              <w:jc w:val="left"/>
              <w:rPr>
                <w:b/>
                <w:bCs/>
                <w:szCs w:val="21"/>
              </w:rPr>
            </w:pPr>
            <w:r>
              <w:rPr>
                <w:rFonts w:hint="eastAsia"/>
                <w:b/>
                <w:bCs/>
                <w:szCs w:val="21"/>
              </w:rPr>
              <w:t xml:space="preserve">图9  透水砖铺装  </w:t>
            </w:r>
            <w:r>
              <w:rPr>
                <w:rFonts w:hint="eastAsia"/>
                <w:bCs/>
                <w:sz w:val="18"/>
                <w:szCs w:val="18"/>
              </w:rPr>
              <w:t xml:space="preserve">1:25  单位：mm           </w:t>
            </w:r>
            <w:r>
              <w:rPr>
                <w:rFonts w:hint="eastAsia"/>
                <w:b/>
                <w:bCs/>
                <w:szCs w:val="21"/>
              </w:rPr>
              <w:t xml:space="preserve">图10  卵石铺装  </w:t>
            </w:r>
            <w:r>
              <w:rPr>
                <w:rFonts w:hint="eastAsia"/>
                <w:bCs/>
                <w:sz w:val="18"/>
                <w:szCs w:val="18"/>
              </w:rPr>
              <w:t>1:25  单位：mm</w:t>
            </w:r>
          </w:p>
          <w:p>
            <w:pPr>
              <w:ind w:firstLine="360" w:firstLineChars="150"/>
              <w:rPr>
                <w:rFonts w:ascii="宋体" w:hAnsi="宋体" w:cs="宋体"/>
                <w:kern w:val="0"/>
                <w:sz w:val="24"/>
                <w:szCs w:val="24"/>
              </w:rPr>
            </w:pPr>
            <w:r>
              <w:rPr>
                <w:bCs/>
                <w:sz w:val="24"/>
                <w:szCs w:val="28"/>
              </w:rPr>
              <w:drawing>
                <wp:inline distT="0" distB="0" distL="0" distR="0">
                  <wp:extent cx="2270125" cy="1299210"/>
                  <wp:effectExtent l="19050" t="19050" r="15393" b="15010"/>
                  <wp:docPr id="8" name="图片 28" descr="C:\Users\Administrator\AppData\Roaming\Tencent\Users\927667154\QQ\WinTemp\RichOle\P50L)D3O}K{8[ICTWLZ$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 descr="C:\Users\Administrator\AppData\Roaming\Tencent\Users\927667154\QQ\WinTemp\RichOle\P50L)D3O}K{8[ICTWLZ$S$R.png"/>
                          <pic:cNvPicPr>
                            <a:picLocks noChangeAspect="1" noChangeArrowheads="1"/>
                          </pic:cNvPicPr>
                        </pic:nvPicPr>
                        <pic:blipFill>
                          <a:blip r:embed="rId17"/>
                          <a:srcRect/>
                          <a:stretch>
                            <a:fillRect/>
                          </a:stretch>
                        </pic:blipFill>
                        <pic:spPr>
                          <a:xfrm>
                            <a:off x="0" y="0"/>
                            <a:ext cx="2274347" cy="1301581"/>
                          </a:xfrm>
                          <a:prstGeom prst="rect">
                            <a:avLst/>
                          </a:prstGeom>
                          <a:noFill/>
                          <a:ln w="9525">
                            <a:solidFill>
                              <a:schemeClr val="tx1"/>
                            </a:solidFill>
                            <a:miter lim="800000"/>
                            <a:headEnd/>
                            <a:tailEnd/>
                          </a:ln>
                        </pic:spPr>
                      </pic:pic>
                    </a:graphicData>
                  </a:graphic>
                </wp:inline>
              </w:drawing>
            </w:r>
            <w:r>
              <w:t xml:space="preserve"> </w:t>
            </w:r>
            <w:r>
              <w:rPr>
                <w:rFonts w:hint="eastAsia"/>
              </w:rPr>
              <w:t xml:space="preserve">   </w:t>
            </w:r>
            <w:r>
              <w:rPr>
                <w:rFonts w:ascii="宋体" w:hAnsi="宋体" w:cs="宋体"/>
                <w:kern w:val="0"/>
                <w:sz w:val="24"/>
                <w:szCs w:val="24"/>
              </w:rPr>
              <w:drawing>
                <wp:inline distT="0" distB="0" distL="0" distR="0">
                  <wp:extent cx="2792730" cy="1864995"/>
                  <wp:effectExtent l="19050" t="0" r="7568" b="0"/>
                  <wp:docPr id="30" name="图片 30" descr="C:\Users\Administrator\AppData\Roaming\Tencent\Users\927667154\QQ\WinTemp\RichOle\%}K4KV3K3TWA@KQKT]9)[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AppData\Roaming\Tencent\Users\927667154\QQ\WinTemp\RichOle\%}K4KV3K3TWA@KQKT]9)[9F.png"/>
                          <pic:cNvPicPr>
                            <a:picLocks noChangeAspect="1" noChangeArrowheads="1"/>
                          </pic:cNvPicPr>
                        </pic:nvPicPr>
                        <pic:blipFill>
                          <a:blip r:embed="rId18"/>
                          <a:srcRect/>
                          <a:stretch>
                            <a:fillRect/>
                          </a:stretch>
                        </pic:blipFill>
                        <pic:spPr>
                          <a:xfrm>
                            <a:off x="0" y="0"/>
                            <a:ext cx="2795999" cy="1867525"/>
                          </a:xfrm>
                          <a:prstGeom prst="rect">
                            <a:avLst/>
                          </a:prstGeom>
                          <a:noFill/>
                          <a:ln w="9525">
                            <a:noFill/>
                            <a:miter lim="800000"/>
                            <a:headEnd/>
                            <a:tailEnd/>
                          </a:ln>
                        </pic:spPr>
                      </pic:pic>
                    </a:graphicData>
                  </a:graphic>
                </wp:inline>
              </w:drawing>
            </w:r>
          </w:p>
          <w:p>
            <w:pPr>
              <w:autoSpaceDE w:val="0"/>
              <w:autoSpaceDN w:val="0"/>
              <w:adjustRightInd w:val="0"/>
              <w:spacing w:line="360" w:lineRule="auto"/>
              <w:ind w:firstLine="632" w:firstLineChars="300"/>
              <w:jc w:val="left"/>
              <w:rPr>
                <w:b/>
                <w:bCs/>
                <w:szCs w:val="21"/>
              </w:rPr>
            </w:pPr>
            <w:r>
              <w:rPr>
                <w:rFonts w:hint="eastAsia"/>
                <w:b/>
                <w:bCs/>
                <w:szCs w:val="21"/>
              </w:rPr>
              <w:t xml:space="preserve">图11  大理石铺装  </w:t>
            </w:r>
            <w:r>
              <w:rPr>
                <w:rFonts w:hint="eastAsia"/>
                <w:bCs/>
                <w:sz w:val="18"/>
                <w:szCs w:val="18"/>
              </w:rPr>
              <w:t xml:space="preserve">1:25  单位：mm               </w:t>
            </w:r>
            <w:r>
              <w:rPr>
                <w:rFonts w:hint="eastAsia"/>
                <w:b/>
                <w:bCs/>
                <w:szCs w:val="21"/>
              </w:rPr>
              <w:t xml:space="preserve">图12  花池  </w:t>
            </w:r>
            <w:r>
              <w:rPr>
                <w:rFonts w:hint="eastAsia"/>
                <w:bCs/>
                <w:sz w:val="18"/>
                <w:szCs w:val="18"/>
              </w:rPr>
              <w:t>1:25  单位：mm</w:t>
            </w:r>
          </w:p>
          <w:p>
            <w:pPr>
              <w:autoSpaceDE w:val="0"/>
              <w:autoSpaceDN w:val="0"/>
              <w:adjustRightInd w:val="0"/>
              <w:spacing w:line="360" w:lineRule="auto"/>
              <w:ind w:firstLine="480" w:firstLineChars="200"/>
              <w:rPr>
                <w:bCs/>
                <w:sz w:val="24"/>
                <w:szCs w:val="28"/>
              </w:rPr>
            </w:pPr>
            <w:r>
              <w:rPr>
                <w:rFonts w:hint="eastAsia"/>
                <w:bCs/>
                <w:sz w:val="24"/>
                <w:szCs w:val="28"/>
              </w:rPr>
              <w:t>c、给水工程</w:t>
            </w:r>
          </w:p>
          <w:p>
            <w:pPr>
              <w:autoSpaceDE w:val="0"/>
              <w:autoSpaceDN w:val="0"/>
              <w:adjustRightInd w:val="0"/>
              <w:spacing w:line="360" w:lineRule="auto"/>
              <w:ind w:firstLine="480" w:firstLineChars="200"/>
              <w:rPr>
                <w:bCs/>
                <w:sz w:val="24"/>
                <w:szCs w:val="28"/>
              </w:rPr>
            </w:pPr>
            <w:r>
              <w:rPr>
                <w:rFonts w:hint="eastAsia"/>
                <w:bCs/>
                <w:sz w:val="24"/>
                <w:szCs w:val="28"/>
              </w:rPr>
              <w:t>1）现有供水设施概况</w:t>
            </w:r>
          </w:p>
          <w:p>
            <w:pPr>
              <w:autoSpaceDE w:val="0"/>
              <w:autoSpaceDN w:val="0"/>
              <w:adjustRightInd w:val="0"/>
              <w:spacing w:line="360" w:lineRule="auto"/>
              <w:ind w:firstLine="480" w:firstLineChars="200"/>
              <w:rPr>
                <w:bCs/>
                <w:sz w:val="24"/>
                <w:szCs w:val="28"/>
              </w:rPr>
            </w:pPr>
            <w:r>
              <w:rPr>
                <w:rFonts w:hint="eastAsia"/>
                <w:bCs/>
                <w:sz w:val="24"/>
                <w:szCs w:val="28"/>
              </w:rPr>
              <w:t>本项目实施供水由街道西南侧王咀子沟水塔直接供给，水塔容量35m</w:t>
            </w:r>
            <w:r>
              <w:rPr>
                <w:rFonts w:hint="eastAsia"/>
                <w:bCs/>
                <w:sz w:val="24"/>
                <w:szCs w:val="28"/>
                <w:vertAlign w:val="superscript"/>
              </w:rPr>
              <w:t>3</w:t>
            </w:r>
            <w:r>
              <w:rPr>
                <w:rFonts w:hint="eastAsia"/>
                <w:bCs/>
                <w:sz w:val="24"/>
                <w:szCs w:val="28"/>
              </w:rPr>
              <w:t>，高度35m，供水量200m</w:t>
            </w:r>
            <w:r>
              <w:rPr>
                <w:rFonts w:hint="eastAsia"/>
                <w:bCs/>
                <w:sz w:val="24"/>
                <w:szCs w:val="28"/>
                <w:vertAlign w:val="superscript"/>
              </w:rPr>
              <w:t>3</w:t>
            </w:r>
            <w:r>
              <w:rPr>
                <w:rFonts w:hint="eastAsia"/>
                <w:bCs/>
                <w:sz w:val="24"/>
                <w:szCs w:val="28"/>
              </w:rPr>
              <w:t>/d，水量、水质、水压均能满足本项目建设和使用要求。由水塔引出一根DN150给水管，分别引至上游和下游供水，供水压力为0.35MPa，可满足本工程供水要求。</w:t>
            </w:r>
          </w:p>
          <w:p>
            <w:pPr>
              <w:autoSpaceDE w:val="0"/>
              <w:autoSpaceDN w:val="0"/>
              <w:adjustRightInd w:val="0"/>
              <w:spacing w:line="360" w:lineRule="auto"/>
              <w:ind w:firstLine="480" w:firstLineChars="200"/>
              <w:rPr>
                <w:bCs/>
                <w:sz w:val="24"/>
                <w:szCs w:val="28"/>
              </w:rPr>
            </w:pPr>
            <w:r>
              <w:rPr>
                <w:rFonts w:hint="eastAsia"/>
                <w:bCs/>
                <w:sz w:val="24"/>
                <w:szCs w:val="28"/>
              </w:rPr>
              <w:t>2）管道设计</w:t>
            </w:r>
          </w:p>
          <w:p>
            <w:pPr>
              <w:autoSpaceDE w:val="0"/>
              <w:autoSpaceDN w:val="0"/>
              <w:adjustRightInd w:val="0"/>
              <w:spacing w:line="360" w:lineRule="auto"/>
              <w:ind w:firstLine="480" w:firstLineChars="200"/>
              <w:rPr>
                <w:bCs/>
                <w:sz w:val="24"/>
                <w:szCs w:val="28"/>
              </w:rPr>
            </w:pPr>
            <w:r>
              <w:rPr>
                <w:rFonts w:hint="eastAsia"/>
                <w:bCs/>
                <w:sz w:val="24"/>
                <w:szCs w:val="28"/>
              </w:rPr>
              <w:t>给水管道均采用PE管，管材压力1.0MPa，管道接口采用热熔或橡胶圈接口，阀门等管件采用法兰连接，主管道敷设于人行道或副车道路面下，并在人行道侧面设置阀门井，阀门井内安装管线分支阀门、泄水设施、市政消火栓等相关附件及设施。</w:t>
            </w:r>
          </w:p>
          <w:p>
            <w:pPr>
              <w:autoSpaceDE w:val="0"/>
              <w:autoSpaceDN w:val="0"/>
              <w:adjustRightInd w:val="0"/>
              <w:spacing w:line="360" w:lineRule="auto"/>
              <w:ind w:firstLine="480" w:firstLineChars="200"/>
              <w:rPr>
                <w:bCs/>
                <w:sz w:val="24"/>
                <w:szCs w:val="28"/>
              </w:rPr>
            </w:pPr>
            <w:r>
              <w:rPr>
                <w:rFonts w:hint="eastAsia"/>
                <w:bCs/>
                <w:sz w:val="24"/>
                <w:szCs w:val="28"/>
              </w:rPr>
              <w:t>给水管道采用开槽直埋方式敷设，覆土厚度不应小于1.0m，不应不于6.0m。管道基础采用中粗砂基础。</w:t>
            </w:r>
          </w:p>
          <w:p>
            <w:pPr>
              <w:autoSpaceDE w:val="0"/>
              <w:autoSpaceDN w:val="0"/>
              <w:adjustRightInd w:val="0"/>
              <w:spacing w:line="360" w:lineRule="auto"/>
              <w:ind w:firstLine="480" w:firstLineChars="200"/>
              <w:rPr>
                <w:bCs/>
                <w:sz w:val="24"/>
                <w:szCs w:val="28"/>
              </w:rPr>
            </w:pPr>
            <w:r>
              <w:rPr>
                <w:rFonts w:hint="eastAsia"/>
                <w:bCs/>
                <w:sz w:val="24"/>
                <w:szCs w:val="28"/>
              </w:rPr>
              <w:t>本场地为Ⅲ级自重湿陷性，所有阀门井均采用钢筋混凝土材料。配水管道的阀门配置是按照各区节点数和连接管道数量并结合管道长度进行设置的。为随时排除管道内的积气，保证管道水流畅通，并方便检修，在管道的竖向图起点处设置排气阀门。配水管道在穿越低洼处时，在管道的最低处需设置放空井，以便于检修时泄水放空用。在管道沿线安装有弯头、三通、异径管、阀门等部位，应设置管道支墩和拖拉墩。</w:t>
            </w:r>
          </w:p>
          <w:p>
            <w:pPr>
              <w:autoSpaceDE w:val="0"/>
              <w:autoSpaceDN w:val="0"/>
              <w:adjustRightInd w:val="0"/>
              <w:spacing w:line="360" w:lineRule="auto"/>
              <w:ind w:firstLine="480" w:firstLineChars="200"/>
              <w:rPr>
                <w:bCs/>
                <w:sz w:val="24"/>
                <w:szCs w:val="28"/>
              </w:rPr>
            </w:pPr>
            <w:r>
              <w:rPr>
                <w:rFonts w:hint="eastAsia"/>
                <w:bCs/>
                <w:sz w:val="24"/>
                <w:szCs w:val="28"/>
              </w:rPr>
              <w:t>d、排水工程</w:t>
            </w:r>
          </w:p>
          <w:p>
            <w:pPr>
              <w:autoSpaceDE w:val="0"/>
              <w:autoSpaceDN w:val="0"/>
              <w:adjustRightInd w:val="0"/>
              <w:spacing w:line="360" w:lineRule="auto"/>
              <w:ind w:firstLine="480" w:firstLineChars="200"/>
              <w:rPr>
                <w:bCs/>
                <w:sz w:val="24"/>
                <w:szCs w:val="28"/>
              </w:rPr>
            </w:pPr>
            <w:r>
              <w:rPr>
                <w:rFonts w:hint="eastAsia"/>
                <w:bCs/>
                <w:sz w:val="24"/>
                <w:szCs w:val="28"/>
              </w:rPr>
              <w:t>污水充分利用地形由北向南汇集后排至南侧拟建污水处理站，污水管道管径为DN400—DN600mm。</w:t>
            </w:r>
          </w:p>
          <w:p>
            <w:pPr>
              <w:autoSpaceDE w:val="0"/>
              <w:autoSpaceDN w:val="0"/>
              <w:adjustRightInd w:val="0"/>
              <w:spacing w:line="360" w:lineRule="auto"/>
              <w:ind w:firstLine="480" w:firstLineChars="200"/>
              <w:rPr>
                <w:bCs/>
                <w:sz w:val="24"/>
                <w:szCs w:val="28"/>
              </w:rPr>
            </w:pPr>
            <w:r>
              <w:rPr>
                <w:rFonts w:hint="eastAsia"/>
                <w:bCs/>
                <w:sz w:val="24"/>
                <w:szCs w:val="28"/>
              </w:rPr>
              <w:t>雨水通过雨水口收集，排入支管汇集后，最后排入街道下雨水干管，沿绿化带敷设的雨水主干管最终排入南侧原有排水渠，雨水管道采用DN500—DN700mm雨水管道。</w:t>
            </w:r>
          </w:p>
          <w:p>
            <w:pPr>
              <w:autoSpaceDE w:val="0"/>
              <w:autoSpaceDN w:val="0"/>
              <w:adjustRightInd w:val="0"/>
              <w:spacing w:line="360" w:lineRule="auto"/>
              <w:ind w:firstLine="480" w:firstLineChars="200"/>
              <w:rPr>
                <w:bCs/>
                <w:sz w:val="24"/>
                <w:szCs w:val="28"/>
              </w:rPr>
            </w:pPr>
            <w:r>
              <w:rPr>
                <w:rFonts w:hint="eastAsia"/>
                <w:bCs/>
                <w:sz w:val="24"/>
                <w:szCs w:val="28"/>
              </w:rPr>
              <w:t>1）管道设计</w:t>
            </w:r>
          </w:p>
          <w:p>
            <w:pPr>
              <w:autoSpaceDE w:val="0"/>
              <w:autoSpaceDN w:val="0"/>
              <w:adjustRightInd w:val="0"/>
              <w:spacing w:line="360" w:lineRule="auto"/>
              <w:ind w:firstLine="480" w:firstLineChars="200"/>
              <w:rPr>
                <w:bCs/>
                <w:sz w:val="24"/>
                <w:szCs w:val="28"/>
              </w:rPr>
            </w:pPr>
            <w:r>
              <w:rPr>
                <w:rFonts w:hint="eastAsia"/>
                <w:bCs/>
                <w:sz w:val="24"/>
                <w:szCs w:val="28"/>
              </w:rPr>
              <w:t>雨、污水管道管材均选用Ⅱ级钢筋混凝土管，管道接口均采用橡胶圈套管接口。污水管直埋敷设于人行道或副车道下，雨水管道直埋于绿化带下。道路坡向北高南低，排水管道敷设沿道路坡向，坡度为0.5%，雨水管道总长度为896m，污水管道总长度为1359m。</w:t>
            </w:r>
          </w:p>
          <w:p>
            <w:pPr>
              <w:autoSpaceDE w:val="0"/>
              <w:autoSpaceDN w:val="0"/>
              <w:adjustRightInd w:val="0"/>
              <w:spacing w:line="360" w:lineRule="auto"/>
              <w:ind w:firstLine="480" w:firstLineChars="200"/>
              <w:rPr>
                <w:bCs/>
                <w:sz w:val="24"/>
                <w:szCs w:val="28"/>
              </w:rPr>
            </w:pPr>
            <w:r>
              <w:rPr>
                <w:rFonts w:hint="eastAsia"/>
                <w:bCs/>
                <w:sz w:val="24"/>
                <w:szCs w:val="28"/>
              </w:rPr>
              <w:t>本次雨水管道最小覆土按3.0m控制，污水管道最小覆土按4.0m控制。钢筋混凝土排水管道基础做法：做300mm厚土垫层+300mm3:7灰土垫层后做180º混凝土基础。</w:t>
            </w:r>
          </w:p>
          <w:p>
            <w:pPr>
              <w:autoSpaceDE w:val="0"/>
              <w:autoSpaceDN w:val="0"/>
              <w:adjustRightInd w:val="0"/>
              <w:spacing w:line="360" w:lineRule="auto"/>
              <w:ind w:firstLine="480" w:firstLineChars="200"/>
              <w:rPr>
                <w:bCs/>
                <w:sz w:val="24"/>
                <w:szCs w:val="28"/>
              </w:rPr>
            </w:pPr>
            <w:r>
              <w:rPr>
                <w:rFonts w:hint="eastAsia"/>
                <w:bCs/>
                <w:sz w:val="24"/>
                <w:szCs w:val="28"/>
              </w:rPr>
              <w:t>2）排水构筑物设计</w:t>
            </w:r>
          </w:p>
          <w:p>
            <w:pPr>
              <w:autoSpaceDE w:val="0"/>
              <w:autoSpaceDN w:val="0"/>
              <w:adjustRightInd w:val="0"/>
              <w:spacing w:line="360" w:lineRule="auto"/>
              <w:ind w:firstLine="480" w:firstLineChars="200"/>
              <w:rPr>
                <w:bCs/>
                <w:sz w:val="24"/>
                <w:szCs w:val="28"/>
              </w:rPr>
            </w:pPr>
            <w:r>
              <w:rPr>
                <w:rFonts w:hint="eastAsia"/>
                <w:bCs/>
                <w:sz w:val="24"/>
                <w:szCs w:val="28"/>
              </w:rPr>
              <w:t>排水检查井及跌水井：采用钢筋混凝土检查井，直径700刚纤维混凝土井盖及盖座，基础：原土夯实后上做300mm厚土垫层，其上再设300mm厚3:7灰土垫层；后再铺设200mm厚混凝土垫层。井盖采用球墨铸铁或复合材料，并设防盗装置。排水管道检查井最大间距按《室外排水设计规范》（GB50014-2016）设计。</w:t>
            </w:r>
          </w:p>
          <w:p>
            <w:pPr>
              <w:autoSpaceDE w:val="0"/>
              <w:autoSpaceDN w:val="0"/>
              <w:adjustRightInd w:val="0"/>
              <w:spacing w:line="360" w:lineRule="auto"/>
              <w:ind w:firstLine="480" w:firstLineChars="200"/>
              <w:rPr>
                <w:bCs/>
                <w:sz w:val="24"/>
                <w:szCs w:val="28"/>
              </w:rPr>
            </w:pPr>
            <w:r>
              <w:rPr>
                <w:rFonts w:hint="eastAsia"/>
                <w:bCs/>
                <w:sz w:val="24"/>
                <w:szCs w:val="28"/>
              </w:rPr>
              <w:t>给排水管网平面布置图见附图5。</w:t>
            </w:r>
          </w:p>
          <w:p>
            <w:pPr>
              <w:autoSpaceDE w:val="0"/>
              <w:autoSpaceDN w:val="0"/>
              <w:adjustRightInd w:val="0"/>
              <w:spacing w:line="360" w:lineRule="auto"/>
              <w:ind w:firstLine="480" w:firstLineChars="200"/>
              <w:rPr>
                <w:bCs/>
                <w:sz w:val="24"/>
                <w:szCs w:val="28"/>
              </w:rPr>
            </w:pPr>
            <w:r>
              <w:rPr>
                <w:rFonts w:hint="eastAsia"/>
                <w:bCs/>
                <w:sz w:val="24"/>
                <w:szCs w:val="28"/>
              </w:rPr>
              <w:t>e、照明工程</w:t>
            </w:r>
          </w:p>
          <w:p>
            <w:pPr>
              <w:autoSpaceDE w:val="0"/>
              <w:autoSpaceDN w:val="0"/>
              <w:adjustRightInd w:val="0"/>
              <w:spacing w:line="360" w:lineRule="auto"/>
              <w:ind w:firstLine="480" w:firstLineChars="200"/>
              <w:rPr>
                <w:bCs/>
                <w:sz w:val="24"/>
                <w:szCs w:val="28"/>
              </w:rPr>
            </w:pPr>
            <w:r>
              <w:rPr>
                <w:rFonts w:hint="eastAsia"/>
                <w:bCs/>
                <w:sz w:val="24"/>
                <w:szCs w:val="28"/>
              </w:rPr>
              <w:t>1）系统组成</w:t>
            </w:r>
          </w:p>
          <w:p>
            <w:pPr>
              <w:autoSpaceDE w:val="0"/>
              <w:autoSpaceDN w:val="0"/>
              <w:adjustRightInd w:val="0"/>
              <w:spacing w:line="360" w:lineRule="auto"/>
              <w:ind w:firstLine="480" w:firstLineChars="200"/>
              <w:rPr>
                <w:bCs/>
                <w:sz w:val="24"/>
                <w:szCs w:val="28"/>
              </w:rPr>
            </w:pPr>
            <w:r>
              <w:rPr>
                <w:rFonts w:hint="eastAsia"/>
                <w:bCs/>
                <w:sz w:val="24"/>
                <w:szCs w:val="28"/>
              </w:rPr>
              <w:t>太阳能庭院灯系统由太阳能电池板、太阳能蓄电池、太阳能控制器、主光源、电池箱、主灯头、灯杆及电缆线组成。</w:t>
            </w:r>
          </w:p>
          <w:p>
            <w:pPr>
              <w:autoSpaceDE w:val="0"/>
              <w:autoSpaceDN w:val="0"/>
              <w:adjustRightInd w:val="0"/>
              <w:spacing w:line="360" w:lineRule="auto"/>
              <w:ind w:firstLine="480" w:firstLineChars="200"/>
              <w:rPr>
                <w:bCs/>
                <w:sz w:val="24"/>
                <w:szCs w:val="28"/>
              </w:rPr>
            </w:pPr>
            <w:r>
              <w:rPr>
                <w:rFonts w:hint="eastAsia"/>
                <w:bCs/>
                <w:sz w:val="24"/>
                <w:szCs w:val="28"/>
              </w:rPr>
              <w:t>2）供电系统</w:t>
            </w:r>
          </w:p>
          <w:p>
            <w:pPr>
              <w:autoSpaceDE w:val="0"/>
              <w:autoSpaceDN w:val="0"/>
              <w:adjustRightInd w:val="0"/>
              <w:spacing w:line="360" w:lineRule="auto"/>
              <w:ind w:firstLine="480" w:firstLineChars="200"/>
              <w:rPr>
                <w:bCs/>
                <w:sz w:val="24"/>
                <w:szCs w:val="28"/>
              </w:rPr>
            </w:pPr>
            <w:r>
              <w:rPr>
                <w:rFonts w:hint="eastAsia"/>
                <w:bCs/>
                <w:sz w:val="24"/>
                <w:szCs w:val="28"/>
              </w:rPr>
              <w:t>构成太阳能庭院灯的一套独立的分散式供电系统，系统特点：不受地域限制，不受电力安装位置影响，不需开挖路面做布线埋管施工，不需输变电系统，不消耗市电，节能环保。</w:t>
            </w:r>
          </w:p>
          <w:p>
            <w:pPr>
              <w:autoSpaceDE w:val="0"/>
              <w:autoSpaceDN w:val="0"/>
              <w:adjustRightInd w:val="0"/>
              <w:spacing w:line="360" w:lineRule="auto"/>
              <w:ind w:firstLine="480" w:firstLineChars="200"/>
              <w:rPr>
                <w:bCs/>
                <w:sz w:val="24"/>
                <w:szCs w:val="28"/>
              </w:rPr>
            </w:pPr>
            <w:r>
              <w:rPr>
                <w:rFonts w:hint="eastAsia"/>
                <w:bCs/>
                <w:sz w:val="24"/>
                <w:szCs w:val="28"/>
              </w:rPr>
              <w:t>3）安装方式</w:t>
            </w:r>
          </w:p>
          <w:p>
            <w:pPr>
              <w:autoSpaceDE w:val="0"/>
              <w:autoSpaceDN w:val="0"/>
              <w:adjustRightInd w:val="0"/>
              <w:spacing w:line="360" w:lineRule="auto"/>
              <w:ind w:firstLine="480" w:firstLineChars="200"/>
              <w:rPr>
                <w:bCs/>
                <w:sz w:val="24"/>
                <w:szCs w:val="28"/>
              </w:rPr>
            </w:pPr>
            <w:r>
              <w:rPr>
                <w:rFonts w:hint="eastAsia"/>
                <w:bCs/>
                <w:sz w:val="24"/>
                <w:szCs w:val="28"/>
              </w:rPr>
              <w:t>按设计要求确定路灯安装位置（坐标），勘察地质情况，如果地表1.2m皆是松软土质，那么开挖深度应加深；同时要确认开挖位置以下没有其他设施（如电缆、管道等），路灯顶部没有长时间遮阳物体，否则要适当更换位置。</w:t>
            </w:r>
          </w:p>
          <w:p>
            <w:pPr>
              <w:autoSpaceDE w:val="0"/>
              <w:autoSpaceDN w:val="0"/>
              <w:adjustRightInd w:val="0"/>
              <w:spacing w:line="360" w:lineRule="auto"/>
              <w:ind w:firstLine="480" w:firstLineChars="200"/>
              <w:rPr>
                <w:bCs/>
                <w:sz w:val="24"/>
                <w:szCs w:val="28"/>
              </w:rPr>
            </w:pPr>
            <w:r>
              <w:rPr>
                <w:rFonts w:hint="eastAsia"/>
                <w:bCs/>
                <w:sz w:val="24"/>
                <w:szCs w:val="28"/>
              </w:rPr>
              <w:t>在立灯具位置开挖负荷标准的1.3m坑；进行预埋件定位浇筑。预埋件放置在方坑正中，PVC穿线管一端放在预埋件正中间、另一端放在蓄电池储存处。注意保持预埋件、地基与原地坪在同一水平面上（或螺杆顶端与原地面在同一水平面上，根据场地需要而定），有一边要与道路平行；这样可保证灯杆竖立后端正不偏斜。然后以C20混凝土浇筑固定，浇筑过程中不要停用振动棒震动，保证整体的密实性、牢固性。施工完毕，及时清理定位板上残留泥渣，并以废油清洗螺栓上杂质。混凝土凝固过程中，要定时浇水养护，待混凝土完全凝固，才能进行吊灯安装。灯具底板法兰灯柱由厂家配套提供。</w:t>
            </w:r>
          </w:p>
          <w:p>
            <w:pPr>
              <w:autoSpaceDE w:val="0"/>
              <w:autoSpaceDN w:val="0"/>
              <w:adjustRightInd w:val="0"/>
              <w:spacing w:line="360" w:lineRule="auto"/>
              <w:ind w:firstLine="480" w:firstLineChars="200"/>
              <w:jc w:val="center"/>
              <w:rPr>
                <w:bCs/>
                <w:sz w:val="24"/>
                <w:szCs w:val="28"/>
              </w:rPr>
            </w:pPr>
            <w:r>
              <w:rPr>
                <w:bCs/>
                <w:sz w:val="24"/>
                <w:szCs w:val="28"/>
              </w:rPr>
              <w:drawing>
                <wp:inline distT="0" distB="0" distL="0" distR="0">
                  <wp:extent cx="3166110" cy="1637665"/>
                  <wp:effectExtent l="0" t="781050" r="0" b="781393"/>
                  <wp:docPr id="34" name="图片 34" descr="C:\Users\ADMINI~1\AppData\Local\Temp\15465869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1\AppData\Local\Temp\1546586952(1).png"/>
                          <pic:cNvPicPr>
                            <a:picLocks noChangeAspect="1" noChangeArrowheads="1"/>
                          </pic:cNvPicPr>
                        </pic:nvPicPr>
                        <pic:blipFill>
                          <a:blip r:embed="rId19"/>
                          <a:srcRect/>
                          <a:stretch>
                            <a:fillRect/>
                          </a:stretch>
                        </pic:blipFill>
                        <pic:spPr>
                          <a:xfrm rot="5400000">
                            <a:off x="0" y="0"/>
                            <a:ext cx="3168455" cy="1638872"/>
                          </a:xfrm>
                          <a:prstGeom prst="rect">
                            <a:avLst/>
                          </a:prstGeom>
                          <a:noFill/>
                          <a:ln w="9525">
                            <a:solidFill>
                              <a:schemeClr val="tx1"/>
                            </a:solidFill>
                            <a:miter lim="800000"/>
                            <a:headEnd/>
                            <a:tailEnd/>
                          </a:ln>
                        </pic:spPr>
                      </pic:pic>
                    </a:graphicData>
                  </a:graphic>
                </wp:inline>
              </w:drawing>
            </w:r>
          </w:p>
          <w:p>
            <w:pPr>
              <w:autoSpaceDE w:val="0"/>
              <w:autoSpaceDN w:val="0"/>
              <w:adjustRightInd w:val="0"/>
              <w:spacing w:line="360" w:lineRule="auto"/>
              <w:ind w:firstLine="422" w:firstLineChars="200"/>
              <w:jc w:val="center"/>
              <w:rPr>
                <w:b/>
                <w:bCs/>
                <w:szCs w:val="21"/>
              </w:rPr>
            </w:pPr>
            <w:r>
              <w:rPr>
                <w:rFonts w:hint="eastAsia"/>
                <w:b/>
                <w:bCs/>
                <w:szCs w:val="21"/>
              </w:rPr>
              <w:t>图13  单臂天阳能路灯安装示意图</w:t>
            </w:r>
          </w:p>
          <w:p>
            <w:pPr>
              <w:autoSpaceDE w:val="0"/>
              <w:autoSpaceDN w:val="0"/>
              <w:adjustRightInd w:val="0"/>
              <w:spacing w:line="360" w:lineRule="auto"/>
              <w:ind w:firstLine="480" w:firstLineChars="200"/>
              <w:rPr>
                <w:bCs/>
                <w:sz w:val="24"/>
                <w:szCs w:val="28"/>
              </w:rPr>
            </w:pPr>
            <w:r>
              <w:rPr>
                <w:rFonts w:hint="eastAsia"/>
                <w:bCs/>
                <w:sz w:val="24"/>
                <w:szCs w:val="28"/>
              </w:rPr>
              <w:t>f、污水处理站</w:t>
            </w:r>
          </w:p>
          <w:p>
            <w:pPr>
              <w:autoSpaceDE w:val="0"/>
              <w:autoSpaceDN w:val="0"/>
              <w:adjustRightInd w:val="0"/>
              <w:spacing w:line="360" w:lineRule="auto"/>
              <w:ind w:firstLine="480" w:firstLineChars="200"/>
              <w:rPr>
                <w:bCs/>
                <w:sz w:val="24"/>
                <w:szCs w:val="28"/>
              </w:rPr>
            </w:pPr>
            <w:r>
              <w:rPr>
                <w:rFonts w:hint="eastAsia"/>
                <w:bCs/>
                <w:sz w:val="24"/>
                <w:szCs w:val="28"/>
              </w:rPr>
              <w:t>处理规模：100m</w:t>
            </w:r>
            <w:r>
              <w:rPr>
                <w:rFonts w:hint="eastAsia"/>
                <w:bCs/>
                <w:sz w:val="24"/>
                <w:szCs w:val="28"/>
                <w:vertAlign w:val="superscript"/>
              </w:rPr>
              <w:t>3</w:t>
            </w:r>
            <w:r>
              <w:rPr>
                <w:rFonts w:hint="eastAsia"/>
                <w:bCs/>
                <w:sz w:val="24"/>
                <w:szCs w:val="28"/>
              </w:rPr>
              <w:t>/d。</w:t>
            </w:r>
          </w:p>
          <w:p>
            <w:pPr>
              <w:autoSpaceDE w:val="0"/>
              <w:autoSpaceDN w:val="0"/>
              <w:adjustRightInd w:val="0"/>
              <w:spacing w:line="360" w:lineRule="auto"/>
              <w:ind w:firstLine="480" w:firstLineChars="200"/>
              <w:rPr>
                <w:bCs/>
                <w:sz w:val="24"/>
                <w:szCs w:val="28"/>
              </w:rPr>
            </w:pPr>
            <w:r>
              <w:rPr>
                <w:rFonts w:hint="eastAsia"/>
                <w:bCs/>
                <w:sz w:val="24"/>
                <w:szCs w:val="28"/>
              </w:rPr>
              <w:t>污水站外环境：四侧均为农田。</w:t>
            </w:r>
          </w:p>
          <w:p>
            <w:pPr>
              <w:autoSpaceDE w:val="0"/>
              <w:autoSpaceDN w:val="0"/>
              <w:adjustRightInd w:val="0"/>
              <w:spacing w:line="360" w:lineRule="auto"/>
              <w:ind w:firstLine="480" w:firstLineChars="200"/>
              <w:rPr>
                <w:bCs/>
                <w:sz w:val="24"/>
                <w:szCs w:val="28"/>
              </w:rPr>
            </w:pPr>
            <w:r>
              <w:rPr>
                <w:rFonts w:hint="eastAsia"/>
                <w:bCs/>
                <w:sz w:val="24"/>
                <w:szCs w:val="28"/>
              </w:rPr>
              <w:t>排放标准：</w:t>
            </w:r>
            <w:r>
              <w:rPr>
                <w:bCs/>
                <w:sz w:val="24"/>
                <w:szCs w:val="28"/>
              </w:rPr>
              <w:t>污水排放执行《城镇污水处理厂污染物排放标准》（GB18918-2002）中一级</w:t>
            </w:r>
            <w:r>
              <w:rPr>
                <w:rFonts w:hint="eastAsia"/>
                <w:bCs/>
                <w:sz w:val="24"/>
                <w:szCs w:val="28"/>
              </w:rPr>
              <w:t>A</w:t>
            </w:r>
            <w:r>
              <w:rPr>
                <w:bCs/>
                <w:sz w:val="24"/>
                <w:szCs w:val="28"/>
              </w:rPr>
              <w:t>排放标准</w:t>
            </w:r>
            <w:r>
              <w:rPr>
                <w:rFonts w:hint="eastAsia"/>
                <w:bCs/>
                <w:sz w:val="24"/>
                <w:szCs w:val="28"/>
              </w:rPr>
              <w:t>；</w:t>
            </w:r>
          </w:p>
          <w:p>
            <w:pPr>
              <w:autoSpaceDE w:val="0"/>
              <w:autoSpaceDN w:val="0"/>
              <w:adjustRightInd w:val="0"/>
              <w:spacing w:line="360" w:lineRule="auto"/>
              <w:ind w:firstLine="480" w:firstLineChars="200"/>
              <w:rPr>
                <w:bCs/>
                <w:sz w:val="24"/>
                <w:szCs w:val="28"/>
              </w:rPr>
            </w:pPr>
            <w:r>
              <w:rPr>
                <w:rFonts w:hint="eastAsia"/>
                <w:bCs/>
                <w:sz w:val="24"/>
                <w:szCs w:val="28"/>
              </w:rPr>
              <w:t>收水范围：主要收集太昌镇街区辖区生活污水。工业废水中含有较多有毒有害物质，会对以生活污水为主的污水处理站产生严重影响，根据现场踏勘，太昌镇街区无工业废水的排放。在发展过程中新增工业废水，新建工业废水处理设施，工业废水不进入本项目生活污水处理设施。</w:t>
            </w:r>
          </w:p>
          <w:p>
            <w:pPr>
              <w:autoSpaceDE w:val="0"/>
              <w:autoSpaceDN w:val="0"/>
              <w:adjustRightInd w:val="0"/>
              <w:spacing w:line="360" w:lineRule="auto"/>
              <w:ind w:firstLine="480" w:firstLineChars="200"/>
              <w:rPr>
                <w:bCs/>
                <w:sz w:val="24"/>
                <w:szCs w:val="28"/>
              </w:rPr>
            </w:pPr>
            <w:r>
              <w:rPr>
                <w:rFonts w:hint="eastAsia"/>
                <w:bCs/>
                <w:sz w:val="24"/>
                <w:szCs w:val="28"/>
              </w:rPr>
              <w:t>污水接入：进水由街道新建污水管网接入。</w:t>
            </w:r>
          </w:p>
          <w:p>
            <w:pPr>
              <w:autoSpaceDE w:val="0"/>
              <w:autoSpaceDN w:val="0"/>
              <w:adjustRightInd w:val="0"/>
              <w:spacing w:line="360" w:lineRule="auto"/>
              <w:ind w:firstLine="480" w:firstLineChars="200"/>
              <w:rPr>
                <w:bCs/>
                <w:sz w:val="24"/>
                <w:szCs w:val="28"/>
              </w:rPr>
            </w:pPr>
            <w:r>
              <w:rPr>
                <w:rFonts w:hint="eastAsia"/>
                <w:bCs/>
                <w:sz w:val="24"/>
                <w:szCs w:val="28"/>
              </w:rPr>
              <w:t>排放去向：由管道接入老虎沟，最终汇入马莲河。</w:t>
            </w:r>
          </w:p>
          <w:p>
            <w:pPr>
              <w:autoSpaceDE w:val="0"/>
              <w:autoSpaceDN w:val="0"/>
              <w:adjustRightInd w:val="0"/>
              <w:spacing w:line="360" w:lineRule="auto"/>
              <w:ind w:firstLine="480" w:firstLineChars="200"/>
              <w:rPr>
                <w:bCs/>
                <w:sz w:val="24"/>
                <w:szCs w:val="28"/>
              </w:rPr>
            </w:pPr>
            <w:r>
              <w:rPr>
                <w:rFonts w:hint="eastAsia"/>
                <w:bCs/>
                <w:sz w:val="24"/>
                <w:szCs w:val="28"/>
              </w:rPr>
              <w:t>污泥处置：近期交由有资质单位处理，远期建设深度处理，至含水率低于60%送宁县和盛镇生活垃圾填埋场卫生填埋。</w:t>
            </w:r>
          </w:p>
          <w:p>
            <w:pPr>
              <w:autoSpaceDE w:val="0"/>
              <w:autoSpaceDN w:val="0"/>
              <w:adjustRightInd w:val="0"/>
              <w:spacing w:line="360" w:lineRule="auto"/>
              <w:ind w:firstLine="480" w:firstLineChars="200"/>
              <w:rPr>
                <w:bCs/>
                <w:sz w:val="24"/>
                <w:szCs w:val="28"/>
              </w:rPr>
            </w:pPr>
            <w:r>
              <w:rPr>
                <w:rFonts w:hint="eastAsia"/>
                <w:bCs/>
                <w:sz w:val="24"/>
                <w:szCs w:val="28"/>
              </w:rPr>
              <w:t>恶臭处置：污水处理设施产生恶臭，主要为NH</w:t>
            </w:r>
            <w:r>
              <w:rPr>
                <w:rFonts w:hint="eastAsia"/>
                <w:bCs/>
                <w:sz w:val="24"/>
                <w:szCs w:val="28"/>
                <w:vertAlign w:val="subscript"/>
              </w:rPr>
              <w:t>3</w:t>
            </w:r>
            <w:r>
              <w:rPr>
                <w:rFonts w:hint="eastAsia"/>
                <w:bCs/>
                <w:sz w:val="24"/>
                <w:szCs w:val="28"/>
              </w:rPr>
              <w:t>、H</w:t>
            </w:r>
            <w:r>
              <w:rPr>
                <w:rFonts w:hint="eastAsia"/>
                <w:bCs/>
                <w:sz w:val="24"/>
                <w:szCs w:val="28"/>
                <w:vertAlign w:val="subscript"/>
              </w:rPr>
              <w:t>2</w:t>
            </w:r>
            <w:r>
              <w:rPr>
                <w:rFonts w:hint="eastAsia"/>
                <w:bCs/>
                <w:sz w:val="24"/>
                <w:szCs w:val="28"/>
              </w:rPr>
              <w:t>S，各处理构筑物均埋于地下，均采取加盖封闭措施，设置以生产区为中心周围50m范围卫生防护距离。</w:t>
            </w:r>
          </w:p>
          <w:p>
            <w:pPr>
              <w:autoSpaceDE w:val="0"/>
              <w:autoSpaceDN w:val="0"/>
              <w:adjustRightInd w:val="0"/>
              <w:spacing w:line="360" w:lineRule="auto"/>
              <w:ind w:firstLine="480" w:firstLineChars="200"/>
              <w:rPr>
                <w:bCs/>
                <w:sz w:val="24"/>
                <w:szCs w:val="28"/>
              </w:rPr>
            </w:pPr>
            <w:r>
              <w:rPr>
                <w:rFonts w:hint="eastAsia"/>
                <w:bCs/>
                <w:sz w:val="24"/>
                <w:szCs w:val="28"/>
              </w:rPr>
              <w:t>事故风险措施：防止</w:t>
            </w:r>
            <w:r>
              <w:rPr>
                <w:bCs/>
                <w:sz w:val="24"/>
                <w:szCs w:val="28"/>
              </w:rPr>
              <w:t>污水处理系统出现故障，设置</w:t>
            </w:r>
            <w:r>
              <w:rPr>
                <w:rFonts w:hint="eastAsia"/>
                <w:bCs/>
                <w:sz w:val="24"/>
                <w:szCs w:val="28"/>
              </w:rPr>
              <w:t>25</w:t>
            </w:r>
            <w:r>
              <w:rPr>
                <w:bCs/>
                <w:sz w:val="24"/>
                <w:szCs w:val="28"/>
              </w:rPr>
              <w:t>m</w:t>
            </w:r>
            <w:r>
              <w:rPr>
                <w:bCs/>
                <w:sz w:val="24"/>
                <w:szCs w:val="28"/>
                <w:vertAlign w:val="superscript"/>
              </w:rPr>
              <w:t>3</w:t>
            </w:r>
            <w:r>
              <w:rPr>
                <w:bCs/>
                <w:sz w:val="24"/>
                <w:szCs w:val="28"/>
              </w:rPr>
              <w:t>事故应急</w:t>
            </w:r>
            <w:r>
              <w:rPr>
                <w:rFonts w:hint="eastAsia"/>
                <w:bCs/>
                <w:sz w:val="24"/>
                <w:szCs w:val="28"/>
              </w:rPr>
              <w:t>罐</w:t>
            </w:r>
            <w:r>
              <w:rPr>
                <w:bCs/>
                <w:sz w:val="24"/>
                <w:szCs w:val="28"/>
              </w:rPr>
              <w:t>，收集产生污水，待污水处理系统维修好进行处理，如处理系统出现</w:t>
            </w:r>
            <w:r>
              <w:rPr>
                <w:rFonts w:hint="eastAsia"/>
                <w:bCs/>
                <w:sz w:val="24"/>
                <w:szCs w:val="28"/>
              </w:rPr>
              <w:t>故障</w:t>
            </w:r>
            <w:r>
              <w:rPr>
                <w:bCs/>
                <w:sz w:val="24"/>
                <w:szCs w:val="28"/>
              </w:rPr>
              <w:t>维修时间过长，应急事故池容纳不下产生的污水，将拉运至附近</w:t>
            </w:r>
            <w:r>
              <w:rPr>
                <w:rFonts w:hint="eastAsia"/>
                <w:bCs/>
                <w:sz w:val="24"/>
                <w:szCs w:val="28"/>
              </w:rPr>
              <w:t>乡镇</w:t>
            </w:r>
            <w:r>
              <w:rPr>
                <w:bCs/>
                <w:sz w:val="24"/>
                <w:szCs w:val="28"/>
              </w:rPr>
              <w:t>污水处理厂进行处理。</w:t>
            </w:r>
          </w:p>
          <w:p>
            <w:pPr>
              <w:autoSpaceDE w:val="0"/>
              <w:autoSpaceDN w:val="0"/>
              <w:adjustRightInd w:val="0"/>
              <w:spacing w:line="360" w:lineRule="auto"/>
              <w:ind w:firstLine="480" w:firstLineChars="200"/>
              <w:rPr>
                <w:bCs/>
                <w:sz w:val="24"/>
                <w:szCs w:val="28"/>
              </w:rPr>
            </w:pPr>
            <w:r>
              <w:rPr>
                <w:rFonts w:hint="eastAsia"/>
                <w:bCs/>
                <w:sz w:val="24"/>
                <w:szCs w:val="28"/>
              </w:rPr>
              <w:t>污水站平面布置图见附图6。</w:t>
            </w:r>
          </w:p>
          <w:p>
            <w:pPr>
              <w:autoSpaceDE w:val="0"/>
              <w:autoSpaceDN w:val="0"/>
              <w:adjustRightInd w:val="0"/>
              <w:spacing w:line="360" w:lineRule="auto"/>
              <w:ind w:firstLine="480" w:firstLineChars="200"/>
              <w:rPr>
                <w:sz w:val="24"/>
                <w:szCs w:val="28"/>
              </w:rPr>
            </w:pPr>
            <w:r>
              <w:rPr>
                <w:rFonts w:hint="eastAsia"/>
                <w:bCs/>
                <w:sz w:val="24"/>
                <w:szCs w:val="28"/>
              </w:rPr>
              <w:t>污水处理站主要建筑物一览表见表4。</w:t>
            </w:r>
          </w:p>
          <w:p>
            <w:pPr>
              <w:spacing w:line="460" w:lineRule="exact"/>
              <w:ind w:firstLine="600" w:firstLineChars="250"/>
              <w:jc w:val="center"/>
              <w:rPr>
                <w:rFonts w:hAnsi="宋体"/>
                <w:b/>
                <w:szCs w:val="21"/>
              </w:rPr>
            </w:pPr>
            <w:r>
              <w:rPr>
                <w:sz w:val="24"/>
                <w:szCs w:val="28"/>
              </w:rPr>
              <w:tab/>
            </w:r>
            <w:r>
              <w:rPr>
                <w:rFonts w:hint="eastAsia" w:hAnsi="宋体"/>
                <w:b/>
                <w:szCs w:val="21"/>
              </w:rPr>
              <w:t>表4   污水处理站主要构筑物一览表</w:t>
            </w:r>
          </w:p>
          <w:tbl>
            <w:tblPr>
              <w:tblStyle w:val="35"/>
              <w:tblW w:w="8901"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38"/>
              <w:gridCol w:w="1770"/>
              <w:gridCol w:w="3356"/>
              <w:gridCol w:w="876"/>
              <w:gridCol w:w="1020"/>
              <w:gridCol w:w="114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69" w:hRule="atLeast"/>
                <w:jc w:val="center"/>
              </w:trPr>
              <w:tc>
                <w:tcPr>
                  <w:tcW w:w="738" w:type="dxa"/>
                  <w:shd w:val="clear" w:color="auto" w:fill="auto"/>
                  <w:vAlign w:val="center"/>
                </w:tcPr>
                <w:p>
                  <w:pPr>
                    <w:widowControl/>
                    <w:jc w:val="center"/>
                    <w:rPr>
                      <w:b/>
                      <w:bCs/>
                      <w:kern w:val="0"/>
                      <w:szCs w:val="21"/>
                    </w:rPr>
                  </w:pPr>
                  <w:r>
                    <w:rPr>
                      <w:rFonts w:hAnsi="宋体"/>
                      <w:b/>
                      <w:bCs/>
                      <w:kern w:val="0"/>
                      <w:szCs w:val="21"/>
                    </w:rPr>
                    <w:t>序号</w:t>
                  </w:r>
                </w:p>
              </w:tc>
              <w:tc>
                <w:tcPr>
                  <w:tcW w:w="1770" w:type="dxa"/>
                  <w:shd w:val="clear" w:color="auto" w:fill="auto"/>
                  <w:vAlign w:val="center"/>
                </w:tcPr>
                <w:p>
                  <w:pPr>
                    <w:widowControl/>
                    <w:jc w:val="center"/>
                    <w:rPr>
                      <w:b/>
                      <w:bCs/>
                      <w:kern w:val="0"/>
                      <w:szCs w:val="21"/>
                    </w:rPr>
                  </w:pPr>
                  <w:r>
                    <w:rPr>
                      <w:rFonts w:hAnsi="宋体"/>
                      <w:b/>
                      <w:bCs/>
                      <w:kern w:val="0"/>
                      <w:szCs w:val="21"/>
                    </w:rPr>
                    <w:t>构筑物名称</w:t>
                  </w:r>
                </w:p>
              </w:tc>
              <w:tc>
                <w:tcPr>
                  <w:tcW w:w="3356" w:type="dxa"/>
                  <w:shd w:val="clear" w:color="auto" w:fill="auto"/>
                  <w:vAlign w:val="center"/>
                </w:tcPr>
                <w:p>
                  <w:pPr>
                    <w:widowControl/>
                    <w:jc w:val="center"/>
                    <w:rPr>
                      <w:b/>
                      <w:bCs/>
                      <w:kern w:val="0"/>
                      <w:szCs w:val="21"/>
                    </w:rPr>
                  </w:pPr>
                  <w:r>
                    <w:rPr>
                      <w:rFonts w:hAnsi="宋体"/>
                      <w:b/>
                      <w:bCs/>
                      <w:kern w:val="0"/>
                      <w:szCs w:val="21"/>
                    </w:rPr>
                    <w:t>规格</w:t>
                  </w:r>
                </w:p>
              </w:tc>
              <w:tc>
                <w:tcPr>
                  <w:tcW w:w="876" w:type="dxa"/>
                  <w:shd w:val="clear" w:color="auto" w:fill="auto"/>
                  <w:vAlign w:val="center"/>
                </w:tcPr>
                <w:p>
                  <w:pPr>
                    <w:widowControl/>
                    <w:jc w:val="center"/>
                    <w:rPr>
                      <w:b/>
                      <w:bCs/>
                      <w:kern w:val="0"/>
                      <w:szCs w:val="21"/>
                    </w:rPr>
                  </w:pPr>
                  <w:r>
                    <w:rPr>
                      <w:rFonts w:hAnsi="宋体"/>
                      <w:b/>
                      <w:bCs/>
                      <w:kern w:val="0"/>
                      <w:szCs w:val="21"/>
                    </w:rPr>
                    <w:t>数量</w:t>
                  </w:r>
                </w:p>
              </w:tc>
              <w:tc>
                <w:tcPr>
                  <w:tcW w:w="1020" w:type="dxa"/>
                  <w:shd w:val="clear" w:color="auto" w:fill="auto"/>
                  <w:vAlign w:val="center"/>
                </w:tcPr>
                <w:p>
                  <w:pPr>
                    <w:widowControl/>
                    <w:jc w:val="center"/>
                    <w:rPr>
                      <w:b/>
                      <w:bCs/>
                      <w:kern w:val="0"/>
                      <w:szCs w:val="21"/>
                    </w:rPr>
                  </w:pPr>
                  <w:r>
                    <w:rPr>
                      <w:rFonts w:hAnsi="宋体"/>
                      <w:b/>
                      <w:bCs/>
                      <w:kern w:val="0"/>
                      <w:szCs w:val="21"/>
                    </w:rPr>
                    <w:t>单位</w:t>
                  </w:r>
                </w:p>
              </w:tc>
              <w:tc>
                <w:tcPr>
                  <w:tcW w:w="1141" w:type="dxa"/>
                  <w:shd w:val="clear" w:color="auto" w:fill="auto"/>
                  <w:vAlign w:val="center"/>
                </w:tcPr>
                <w:p>
                  <w:pPr>
                    <w:widowControl/>
                    <w:jc w:val="center"/>
                    <w:rPr>
                      <w:b/>
                      <w:bCs/>
                      <w:kern w:val="0"/>
                      <w:szCs w:val="21"/>
                    </w:rPr>
                  </w:pPr>
                  <w:r>
                    <w:rPr>
                      <w:rFonts w:hAnsi="宋体"/>
                      <w:b/>
                      <w:bCs/>
                      <w:kern w:val="0"/>
                      <w:szCs w:val="21"/>
                    </w:rPr>
                    <w:t>备</w:t>
                  </w:r>
                  <w:r>
                    <w:rPr>
                      <w:b/>
                      <w:bCs/>
                      <w:kern w:val="0"/>
                      <w:szCs w:val="21"/>
                    </w:rPr>
                    <w:t xml:space="preserve"> </w:t>
                  </w:r>
                  <w:r>
                    <w:rPr>
                      <w:rFonts w:hAnsi="宋体"/>
                      <w:b/>
                      <w:bCs/>
                      <w:kern w:val="0"/>
                      <w:szCs w:val="21"/>
                    </w:rPr>
                    <w:t>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60" w:hRule="atLeast"/>
                <w:jc w:val="center"/>
              </w:trPr>
              <w:tc>
                <w:tcPr>
                  <w:tcW w:w="738" w:type="dxa"/>
                  <w:shd w:val="clear" w:color="auto" w:fill="auto"/>
                  <w:vAlign w:val="center"/>
                </w:tcPr>
                <w:p>
                  <w:pPr>
                    <w:widowControl/>
                    <w:jc w:val="center"/>
                    <w:rPr>
                      <w:kern w:val="0"/>
                      <w:szCs w:val="21"/>
                    </w:rPr>
                  </w:pPr>
                  <w:r>
                    <w:rPr>
                      <w:rFonts w:hint="eastAsia"/>
                      <w:kern w:val="0"/>
                      <w:szCs w:val="21"/>
                    </w:rPr>
                    <w:t>1</w:t>
                  </w:r>
                </w:p>
              </w:tc>
              <w:tc>
                <w:tcPr>
                  <w:tcW w:w="1770" w:type="dxa"/>
                  <w:shd w:val="clear" w:color="auto" w:fill="auto"/>
                  <w:vAlign w:val="center"/>
                </w:tcPr>
                <w:p>
                  <w:pPr>
                    <w:widowControl/>
                    <w:jc w:val="center"/>
                    <w:rPr>
                      <w:rFonts w:hAnsi="宋体"/>
                      <w:kern w:val="0"/>
                      <w:szCs w:val="21"/>
                    </w:rPr>
                  </w:pPr>
                  <w:r>
                    <w:rPr>
                      <w:rFonts w:hint="eastAsia"/>
                      <w:szCs w:val="21"/>
                    </w:rPr>
                    <w:t>综合池</w:t>
                  </w:r>
                </w:p>
              </w:tc>
              <w:tc>
                <w:tcPr>
                  <w:tcW w:w="3356" w:type="dxa"/>
                  <w:shd w:val="clear" w:color="auto" w:fill="auto"/>
                  <w:vAlign w:val="center"/>
                </w:tcPr>
                <w:p>
                  <w:pPr>
                    <w:widowControl/>
                    <w:jc w:val="center"/>
                    <w:rPr>
                      <w:kern w:val="0"/>
                      <w:szCs w:val="21"/>
                    </w:rPr>
                  </w:pPr>
                  <w:r>
                    <w:rPr>
                      <w:rFonts w:hAnsi="宋体"/>
                      <w:kern w:val="0"/>
                      <w:szCs w:val="21"/>
                    </w:rPr>
                    <w:t>Φ</w:t>
                  </w:r>
                  <w:r>
                    <w:rPr>
                      <w:rFonts w:hint="eastAsia" w:hAnsi="宋体"/>
                      <w:kern w:val="0"/>
                      <w:szCs w:val="21"/>
                    </w:rPr>
                    <w:t>2200</w:t>
                  </w:r>
                  <w:r>
                    <w:rPr>
                      <w:szCs w:val="21"/>
                    </w:rPr>
                    <w:t>×</w:t>
                  </w:r>
                  <w:r>
                    <w:rPr>
                      <w:rFonts w:hint="eastAsia"/>
                      <w:szCs w:val="21"/>
                    </w:rPr>
                    <w:t>9600mm</w:t>
                  </w:r>
                </w:p>
              </w:tc>
              <w:tc>
                <w:tcPr>
                  <w:tcW w:w="876" w:type="dxa"/>
                  <w:shd w:val="clear" w:color="auto" w:fill="auto"/>
                  <w:vAlign w:val="center"/>
                </w:tcPr>
                <w:p>
                  <w:pPr>
                    <w:widowControl/>
                    <w:jc w:val="center"/>
                    <w:rPr>
                      <w:kern w:val="0"/>
                      <w:szCs w:val="21"/>
                    </w:rPr>
                  </w:pPr>
                  <w:r>
                    <w:rPr>
                      <w:rFonts w:hint="eastAsia"/>
                      <w:kern w:val="0"/>
                      <w:szCs w:val="21"/>
                    </w:rPr>
                    <w:t>1</w:t>
                  </w:r>
                </w:p>
              </w:tc>
              <w:tc>
                <w:tcPr>
                  <w:tcW w:w="1020" w:type="dxa"/>
                  <w:shd w:val="clear" w:color="auto" w:fill="auto"/>
                  <w:vAlign w:val="center"/>
                </w:tcPr>
                <w:p>
                  <w:pPr>
                    <w:widowControl/>
                    <w:jc w:val="center"/>
                    <w:rPr>
                      <w:rFonts w:hAnsi="宋体"/>
                      <w:kern w:val="0"/>
                      <w:szCs w:val="21"/>
                    </w:rPr>
                  </w:pPr>
                  <w:r>
                    <w:rPr>
                      <w:sz w:val="20"/>
                    </w:rPr>
                    <w:t>座</w:t>
                  </w:r>
                </w:p>
              </w:tc>
              <w:tc>
                <w:tcPr>
                  <w:tcW w:w="1141" w:type="dxa"/>
                  <w:shd w:val="clear" w:color="auto" w:fill="auto"/>
                  <w:vAlign w:val="center"/>
                </w:tcPr>
                <w:p>
                  <w:pPr>
                    <w:widowControl/>
                    <w:jc w:val="center"/>
                    <w:rPr>
                      <w:rFonts w:hAnsi="宋体"/>
                      <w:kern w:val="0"/>
                      <w:szCs w:val="21"/>
                    </w:rPr>
                  </w:pPr>
                  <w:r>
                    <w:rPr>
                      <w:rFonts w:hint="eastAsia"/>
                      <w:szCs w:val="21"/>
                    </w:rPr>
                    <w:t>玻璃钢</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50" w:hRule="atLeast"/>
                <w:jc w:val="center"/>
              </w:trPr>
              <w:tc>
                <w:tcPr>
                  <w:tcW w:w="738" w:type="dxa"/>
                  <w:shd w:val="clear" w:color="auto" w:fill="auto"/>
                  <w:vAlign w:val="center"/>
                </w:tcPr>
                <w:p>
                  <w:pPr>
                    <w:widowControl/>
                    <w:jc w:val="center"/>
                    <w:rPr>
                      <w:kern w:val="0"/>
                      <w:szCs w:val="21"/>
                    </w:rPr>
                  </w:pPr>
                  <w:r>
                    <w:rPr>
                      <w:rFonts w:hint="eastAsia"/>
                      <w:kern w:val="0"/>
                      <w:szCs w:val="21"/>
                    </w:rPr>
                    <w:t>2</w:t>
                  </w:r>
                </w:p>
              </w:tc>
              <w:tc>
                <w:tcPr>
                  <w:tcW w:w="1770" w:type="dxa"/>
                  <w:shd w:val="clear" w:color="auto" w:fill="auto"/>
                  <w:vAlign w:val="center"/>
                </w:tcPr>
                <w:p>
                  <w:pPr>
                    <w:widowControl/>
                    <w:jc w:val="center"/>
                    <w:rPr>
                      <w:rFonts w:hAnsi="宋体"/>
                      <w:kern w:val="0"/>
                      <w:szCs w:val="21"/>
                    </w:rPr>
                  </w:pPr>
                  <w:r>
                    <w:rPr>
                      <w:rFonts w:hint="eastAsia"/>
                      <w:kern w:val="0"/>
                      <w:szCs w:val="21"/>
                    </w:rPr>
                    <w:t>1#好氧池</w:t>
                  </w:r>
                </w:p>
              </w:tc>
              <w:tc>
                <w:tcPr>
                  <w:tcW w:w="3356" w:type="dxa"/>
                  <w:shd w:val="clear" w:color="auto" w:fill="auto"/>
                  <w:vAlign w:val="center"/>
                </w:tcPr>
                <w:p>
                  <w:pPr>
                    <w:widowControl/>
                    <w:jc w:val="center"/>
                    <w:rPr>
                      <w:kern w:val="0"/>
                      <w:szCs w:val="21"/>
                    </w:rPr>
                  </w:pPr>
                  <w:r>
                    <w:rPr>
                      <w:rFonts w:hAnsi="宋体"/>
                      <w:kern w:val="0"/>
                      <w:szCs w:val="21"/>
                    </w:rPr>
                    <w:t>Φ</w:t>
                  </w:r>
                  <w:r>
                    <w:rPr>
                      <w:rFonts w:hint="eastAsia" w:hAnsi="宋体"/>
                      <w:kern w:val="0"/>
                      <w:szCs w:val="21"/>
                    </w:rPr>
                    <w:t>2800</w:t>
                  </w:r>
                  <w:r>
                    <w:rPr>
                      <w:szCs w:val="21"/>
                    </w:rPr>
                    <w:t>×</w:t>
                  </w:r>
                  <w:r>
                    <w:rPr>
                      <w:rFonts w:hint="eastAsia"/>
                      <w:szCs w:val="21"/>
                    </w:rPr>
                    <w:t>3000mm</w:t>
                  </w:r>
                </w:p>
              </w:tc>
              <w:tc>
                <w:tcPr>
                  <w:tcW w:w="876" w:type="dxa"/>
                  <w:shd w:val="clear" w:color="auto" w:fill="auto"/>
                  <w:vAlign w:val="center"/>
                </w:tcPr>
                <w:p>
                  <w:pPr>
                    <w:widowControl/>
                    <w:jc w:val="center"/>
                    <w:rPr>
                      <w:kern w:val="0"/>
                      <w:szCs w:val="21"/>
                    </w:rPr>
                  </w:pPr>
                  <w:r>
                    <w:rPr>
                      <w:rFonts w:hint="eastAsia"/>
                      <w:kern w:val="0"/>
                      <w:szCs w:val="21"/>
                    </w:rPr>
                    <w:t>1</w:t>
                  </w:r>
                </w:p>
              </w:tc>
              <w:tc>
                <w:tcPr>
                  <w:tcW w:w="1020" w:type="dxa"/>
                  <w:shd w:val="clear" w:color="auto" w:fill="auto"/>
                  <w:vAlign w:val="center"/>
                </w:tcPr>
                <w:p>
                  <w:pPr>
                    <w:widowControl/>
                    <w:jc w:val="center"/>
                    <w:rPr>
                      <w:rFonts w:hAnsi="宋体"/>
                      <w:kern w:val="0"/>
                      <w:szCs w:val="21"/>
                    </w:rPr>
                  </w:pPr>
                  <w:r>
                    <w:rPr>
                      <w:sz w:val="20"/>
                    </w:rPr>
                    <w:t>座</w:t>
                  </w:r>
                </w:p>
              </w:tc>
              <w:tc>
                <w:tcPr>
                  <w:tcW w:w="1141" w:type="dxa"/>
                  <w:shd w:val="clear" w:color="auto" w:fill="auto"/>
                  <w:vAlign w:val="center"/>
                </w:tcPr>
                <w:p>
                  <w:pPr>
                    <w:widowControl/>
                    <w:jc w:val="center"/>
                    <w:rPr>
                      <w:rFonts w:hAnsi="宋体"/>
                      <w:kern w:val="0"/>
                      <w:szCs w:val="21"/>
                    </w:rPr>
                  </w:pPr>
                  <w:r>
                    <w:rPr>
                      <w:rFonts w:hint="eastAsia"/>
                      <w:szCs w:val="21"/>
                    </w:rPr>
                    <w:t>玻璃钢</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54" w:hRule="atLeast"/>
                <w:jc w:val="center"/>
              </w:trPr>
              <w:tc>
                <w:tcPr>
                  <w:tcW w:w="738" w:type="dxa"/>
                  <w:shd w:val="clear" w:color="auto" w:fill="auto"/>
                  <w:vAlign w:val="center"/>
                </w:tcPr>
                <w:p>
                  <w:pPr>
                    <w:widowControl/>
                    <w:jc w:val="center"/>
                    <w:rPr>
                      <w:kern w:val="0"/>
                      <w:szCs w:val="21"/>
                    </w:rPr>
                  </w:pPr>
                  <w:r>
                    <w:rPr>
                      <w:rFonts w:hint="eastAsia"/>
                      <w:kern w:val="0"/>
                      <w:szCs w:val="21"/>
                    </w:rPr>
                    <w:t>3</w:t>
                  </w:r>
                </w:p>
              </w:tc>
              <w:tc>
                <w:tcPr>
                  <w:tcW w:w="1770" w:type="dxa"/>
                  <w:shd w:val="clear" w:color="auto" w:fill="auto"/>
                  <w:vAlign w:val="center"/>
                </w:tcPr>
                <w:p>
                  <w:pPr>
                    <w:widowControl/>
                    <w:jc w:val="center"/>
                    <w:rPr>
                      <w:rFonts w:hAnsi="宋体"/>
                      <w:kern w:val="0"/>
                      <w:szCs w:val="21"/>
                    </w:rPr>
                  </w:pPr>
                  <w:r>
                    <w:rPr>
                      <w:rFonts w:hint="eastAsia"/>
                      <w:szCs w:val="21"/>
                    </w:rPr>
                    <w:t>2#好氧池</w:t>
                  </w:r>
                </w:p>
              </w:tc>
              <w:tc>
                <w:tcPr>
                  <w:tcW w:w="3356" w:type="dxa"/>
                  <w:shd w:val="clear" w:color="auto" w:fill="auto"/>
                  <w:vAlign w:val="center"/>
                </w:tcPr>
                <w:p>
                  <w:pPr>
                    <w:widowControl/>
                    <w:jc w:val="center"/>
                    <w:rPr>
                      <w:kern w:val="0"/>
                      <w:szCs w:val="21"/>
                    </w:rPr>
                  </w:pPr>
                  <w:r>
                    <w:rPr>
                      <w:rFonts w:hAnsi="宋体"/>
                      <w:kern w:val="0"/>
                      <w:szCs w:val="21"/>
                    </w:rPr>
                    <w:t>Φ</w:t>
                  </w:r>
                  <w:r>
                    <w:rPr>
                      <w:rFonts w:hint="eastAsia" w:hAnsi="宋体"/>
                      <w:kern w:val="0"/>
                      <w:szCs w:val="21"/>
                    </w:rPr>
                    <w:t>2800</w:t>
                  </w:r>
                  <w:r>
                    <w:rPr>
                      <w:szCs w:val="21"/>
                    </w:rPr>
                    <w:t>×</w:t>
                  </w:r>
                  <w:r>
                    <w:rPr>
                      <w:rFonts w:hint="eastAsia"/>
                      <w:szCs w:val="21"/>
                    </w:rPr>
                    <w:t>3000mm</w:t>
                  </w:r>
                </w:p>
              </w:tc>
              <w:tc>
                <w:tcPr>
                  <w:tcW w:w="876" w:type="dxa"/>
                  <w:shd w:val="clear" w:color="auto" w:fill="auto"/>
                  <w:vAlign w:val="center"/>
                </w:tcPr>
                <w:p>
                  <w:pPr>
                    <w:widowControl/>
                    <w:jc w:val="center"/>
                    <w:rPr>
                      <w:kern w:val="0"/>
                      <w:szCs w:val="21"/>
                    </w:rPr>
                  </w:pPr>
                  <w:r>
                    <w:rPr>
                      <w:rFonts w:hint="eastAsia"/>
                      <w:kern w:val="0"/>
                      <w:szCs w:val="21"/>
                    </w:rPr>
                    <w:t>1</w:t>
                  </w:r>
                </w:p>
              </w:tc>
              <w:tc>
                <w:tcPr>
                  <w:tcW w:w="1020" w:type="dxa"/>
                  <w:shd w:val="clear" w:color="auto" w:fill="auto"/>
                  <w:vAlign w:val="center"/>
                </w:tcPr>
                <w:p>
                  <w:pPr>
                    <w:widowControl/>
                    <w:jc w:val="center"/>
                    <w:rPr>
                      <w:rFonts w:hAnsi="宋体"/>
                      <w:kern w:val="0"/>
                      <w:szCs w:val="21"/>
                    </w:rPr>
                  </w:pPr>
                  <w:r>
                    <w:rPr>
                      <w:sz w:val="20"/>
                    </w:rPr>
                    <w:t>座</w:t>
                  </w:r>
                </w:p>
              </w:tc>
              <w:tc>
                <w:tcPr>
                  <w:tcW w:w="1141" w:type="dxa"/>
                  <w:shd w:val="clear" w:color="auto" w:fill="auto"/>
                  <w:vAlign w:val="center"/>
                </w:tcPr>
                <w:p>
                  <w:pPr>
                    <w:widowControl/>
                    <w:jc w:val="center"/>
                    <w:rPr>
                      <w:rFonts w:hAnsi="宋体"/>
                      <w:kern w:val="0"/>
                      <w:szCs w:val="21"/>
                    </w:rPr>
                  </w:pPr>
                  <w:r>
                    <w:rPr>
                      <w:rFonts w:hint="eastAsia"/>
                      <w:szCs w:val="21"/>
                    </w:rPr>
                    <w:t>玻璃钢</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44" w:hRule="atLeast"/>
                <w:jc w:val="center"/>
              </w:trPr>
              <w:tc>
                <w:tcPr>
                  <w:tcW w:w="738" w:type="dxa"/>
                  <w:shd w:val="clear" w:color="auto" w:fill="auto"/>
                  <w:vAlign w:val="center"/>
                </w:tcPr>
                <w:p>
                  <w:pPr>
                    <w:widowControl/>
                    <w:jc w:val="center"/>
                    <w:rPr>
                      <w:kern w:val="0"/>
                      <w:szCs w:val="21"/>
                    </w:rPr>
                  </w:pPr>
                  <w:r>
                    <w:rPr>
                      <w:rFonts w:hint="eastAsia"/>
                      <w:kern w:val="0"/>
                      <w:szCs w:val="21"/>
                    </w:rPr>
                    <w:t>4</w:t>
                  </w:r>
                </w:p>
              </w:tc>
              <w:tc>
                <w:tcPr>
                  <w:tcW w:w="1770" w:type="dxa"/>
                  <w:shd w:val="clear" w:color="auto" w:fill="auto"/>
                  <w:vAlign w:val="center"/>
                </w:tcPr>
                <w:p>
                  <w:pPr>
                    <w:widowControl/>
                    <w:jc w:val="center"/>
                    <w:rPr>
                      <w:rFonts w:hAnsi="宋体"/>
                      <w:kern w:val="0"/>
                      <w:szCs w:val="21"/>
                    </w:rPr>
                  </w:pPr>
                  <w:r>
                    <w:rPr>
                      <w:rFonts w:hint="eastAsia"/>
                      <w:kern w:val="0"/>
                      <w:szCs w:val="21"/>
                    </w:rPr>
                    <w:t>沉淀池</w:t>
                  </w:r>
                </w:p>
              </w:tc>
              <w:tc>
                <w:tcPr>
                  <w:tcW w:w="3356" w:type="dxa"/>
                  <w:shd w:val="clear" w:color="auto" w:fill="auto"/>
                  <w:vAlign w:val="center"/>
                </w:tcPr>
                <w:p>
                  <w:pPr>
                    <w:widowControl/>
                    <w:jc w:val="center"/>
                    <w:rPr>
                      <w:kern w:val="0"/>
                      <w:szCs w:val="21"/>
                    </w:rPr>
                  </w:pPr>
                  <w:r>
                    <w:rPr>
                      <w:rFonts w:hAnsi="宋体"/>
                      <w:kern w:val="0"/>
                      <w:szCs w:val="21"/>
                    </w:rPr>
                    <w:t>Φ</w:t>
                  </w:r>
                  <w:r>
                    <w:rPr>
                      <w:rFonts w:hint="eastAsia" w:hAnsi="宋体"/>
                      <w:kern w:val="0"/>
                      <w:szCs w:val="21"/>
                    </w:rPr>
                    <w:t>2800</w:t>
                  </w:r>
                  <w:r>
                    <w:rPr>
                      <w:szCs w:val="21"/>
                    </w:rPr>
                    <w:t>×</w:t>
                  </w:r>
                  <w:r>
                    <w:rPr>
                      <w:rFonts w:hint="eastAsia"/>
                      <w:szCs w:val="21"/>
                    </w:rPr>
                    <w:t>3000mm</w:t>
                  </w:r>
                </w:p>
              </w:tc>
              <w:tc>
                <w:tcPr>
                  <w:tcW w:w="876" w:type="dxa"/>
                  <w:shd w:val="clear" w:color="auto" w:fill="auto"/>
                  <w:vAlign w:val="center"/>
                </w:tcPr>
                <w:p>
                  <w:pPr>
                    <w:widowControl/>
                    <w:jc w:val="center"/>
                    <w:rPr>
                      <w:kern w:val="0"/>
                      <w:szCs w:val="21"/>
                    </w:rPr>
                  </w:pPr>
                  <w:r>
                    <w:rPr>
                      <w:rFonts w:hint="eastAsia"/>
                      <w:kern w:val="0"/>
                      <w:szCs w:val="21"/>
                    </w:rPr>
                    <w:t>1</w:t>
                  </w:r>
                </w:p>
              </w:tc>
              <w:tc>
                <w:tcPr>
                  <w:tcW w:w="1020" w:type="dxa"/>
                  <w:shd w:val="clear" w:color="auto" w:fill="auto"/>
                  <w:vAlign w:val="center"/>
                </w:tcPr>
                <w:p>
                  <w:pPr>
                    <w:widowControl/>
                    <w:jc w:val="center"/>
                    <w:rPr>
                      <w:rFonts w:hAnsi="宋体"/>
                      <w:kern w:val="0"/>
                      <w:szCs w:val="21"/>
                    </w:rPr>
                  </w:pPr>
                  <w:r>
                    <w:rPr>
                      <w:sz w:val="20"/>
                    </w:rPr>
                    <w:t>座</w:t>
                  </w:r>
                </w:p>
              </w:tc>
              <w:tc>
                <w:tcPr>
                  <w:tcW w:w="1141" w:type="dxa"/>
                  <w:shd w:val="clear" w:color="auto" w:fill="auto"/>
                  <w:vAlign w:val="center"/>
                </w:tcPr>
                <w:p>
                  <w:pPr>
                    <w:widowControl/>
                    <w:jc w:val="center"/>
                    <w:rPr>
                      <w:rFonts w:hAnsi="宋体"/>
                      <w:kern w:val="0"/>
                      <w:szCs w:val="21"/>
                    </w:rPr>
                  </w:pPr>
                  <w:r>
                    <w:rPr>
                      <w:rFonts w:hint="eastAsia"/>
                      <w:szCs w:val="21"/>
                    </w:rPr>
                    <w:t>玻璃钢</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34" w:hRule="atLeast"/>
                <w:jc w:val="center"/>
              </w:trPr>
              <w:tc>
                <w:tcPr>
                  <w:tcW w:w="738" w:type="dxa"/>
                  <w:shd w:val="clear" w:color="auto" w:fill="auto"/>
                  <w:vAlign w:val="center"/>
                </w:tcPr>
                <w:p>
                  <w:pPr>
                    <w:widowControl/>
                    <w:jc w:val="center"/>
                    <w:rPr>
                      <w:kern w:val="0"/>
                      <w:szCs w:val="21"/>
                    </w:rPr>
                  </w:pPr>
                  <w:r>
                    <w:rPr>
                      <w:rFonts w:hint="eastAsia"/>
                      <w:kern w:val="0"/>
                      <w:szCs w:val="21"/>
                    </w:rPr>
                    <w:t>5</w:t>
                  </w:r>
                </w:p>
              </w:tc>
              <w:tc>
                <w:tcPr>
                  <w:tcW w:w="1770" w:type="dxa"/>
                  <w:shd w:val="clear" w:color="auto" w:fill="auto"/>
                  <w:vAlign w:val="center"/>
                </w:tcPr>
                <w:p>
                  <w:pPr>
                    <w:widowControl/>
                    <w:jc w:val="center"/>
                    <w:rPr>
                      <w:rFonts w:hAnsi="宋体"/>
                      <w:kern w:val="0"/>
                      <w:szCs w:val="21"/>
                    </w:rPr>
                  </w:pPr>
                  <w:r>
                    <w:rPr>
                      <w:rFonts w:hint="eastAsia" w:hAnsi="宋体"/>
                      <w:kern w:val="0"/>
                      <w:szCs w:val="21"/>
                    </w:rPr>
                    <w:t>厂区围栏</w:t>
                  </w:r>
                </w:p>
              </w:tc>
              <w:tc>
                <w:tcPr>
                  <w:tcW w:w="3356" w:type="dxa"/>
                  <w:shd w:val="clear" w:color="auto" w:fill="auto"/>
                  <w:vAlign w:val="center"/>
                </w:tcPr>
                <w:p>
                  <w:pPr>
                    <w:widowControl/>
                    <w:jc w:val="center"/>
                    <w:rPr>
                      <w:kern w:val="0"/>
                      <w:szCs w:val="21"/>
                    </w:rPr>
                  </w:pPr>
                  <w:r>
                    <w:rPr>
                      <w:kern w:val="0"/>
                      <w:szCs w:val="21"/>
                    </w:rPr>
                    <w:t>L×B=1</w:t>
                  </w:r>
                  <w:r>
                    <w:rPr>
                      <w:rFonts w:hint="eastAsia"/>
                      <w:kern w:val="0"/>
                      <w:szCs w:val="21"/>
                    </w:rPr>
                    <w:t>8m</w:t>
                  </w:r>
                  <w:r>
                    <w:rPr>
                      <w:kern w:val="0"/>
                      <w:szCs w:val="21"/>
                    </w:rPr>
                    <w:t>×</w:t>
                  </w:r>
                  <w:r>
                    <w:rPr>
                      <w:rFonts w:hint="eastAsia"/>
                      <w:kern w:val="0"/>
                      <w:szCs w:val="21"/>
                    </w:rPr>
                    <w:t>1</w:t>
                  </w:r>
                  <w:r>
                    <w:rPr>
                      <w:kern w:val="0"/>
                      <w:szCs w:val="21"/>
                    </w:rPr>
                    <w:t>4m</w:t>
                  </w:r>
                </w:p>
              </w:tc>
              <w:tc>
                <w:tcPr>
                  <w:tcW w:w="876" w:type="dxa"/>
                  <w:shd w:val="clear" w:color="auto" w:fill="auto"/>
                  <w:vAlign w:val="center"/>
                </w:tcPr>
                <w:p>
                  <w:pPr>
                    <w:widowControl/>
                    <w:jc w:val="center"/>
                    <w:rPr>
                      <w:kern w:val="0"/>
                      <w:szCs w:val="21"/>
                    </w:rPr>
                  </w:pPr>
                  <w:r>
                    <w:rPr>
                      <w:kern w:val="0"/>
                      <w:szCs w:val="21"/>
                    </w:rPr>
                    <w:t>1</w:t>
                  </w:r>
                </w:p>
              </w:tc>
              <w:tc>
                <w:tcPr>
                  <w:tcW w:w="1020" w:type="dxa"/>
                  <w:shd w:val="clear" w:color="auto" w:fill="auto"/>
                  <w:vAlign w:val="center"/>
                </w:tcPr>
                <w:p>
                  <w:pPr>
                    <w:widowControl/>
                    <w:jc w:val="center"/>
                    <w:rPr>
                      <w:kern w:val="0"/>
                      <w:szCs w:val="21"/>
                    </w:rPr>
                  </w:pPr>
                  <w:r>
                    <w:rPr>
                      <w:rFonts w:hAnsi="宋体"/>
                      <w:kern w:val="0"/>
                      <w:szCs w:val="21"/>
                    </w:rPr>
                    <w:t>座</w:t>
                  </w:r>
                </w:p>
              </w:tc>
              <w:tc>
                <w:tcPr>
                  <w:tcW w:w="1141" w:type="dxa"/>
                  <w:shd w:val="clear" w:color="auto" w:fill="auto"/>
                  <w:vAlign w:val="center"/>
                </w:tcPr>
                <w:p>
                  <w:pPr>
                    <w:widowControl/>
                    <w:jc w:val="center"/>
                    <w:rPr>
                      <w:kern w:val="0"/>
                      <w:szCs w:val="21"/>
                    </w:rPr>
                  </w:pPr>
                  <w:r>
                    <w:rPr>
                      <w:rFonts w:hint="eastAsia" w:hAnsi="宋体"/>
                      <w:kern w:val="0"/>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38" w:hRule="atLeast"/>
                <w:jc w:val="center"/>
              </w:trPr>
              <w:tc>
                <w:tcPr>
                  <w:tcW w:w="738" w:type="dxa"/>
                  <w:shd w:val="clear" w:color="auto" w:fill="auto"/>
                  <w:vAlign w:val="center"/>
                </w:tcPr>
                <w:p>
                  <w:pPr>
                    <w:widowControl/>
                    <w:jc w:val="center"/>
                    <w:rPr>
                      <w:kern w:val="0"/>
                      <w:szCs w:val="21"/>
                    </w:rPr>
                  </w:pPr>
                  <w:r>
                    <w:rPr>
                      <w:rFonts w:hint="eastAsia"/>
                      <w:kern w:val="0"/>
                      <w:szCs w:val="21"/>
                    </w:rPr>
                    <w:t>6</w:t>
                  </w:r>
                </w:p>
              </w:tc>
              <w:tc>
                <w:tcPr>
                  <w:tcW w:w="1770" w:type="dxa"/>
                  <w:shd w:val="clear" w:color="auto" w:fill="auto"/>
                  <w:vAlign w:val="center"/>
                </w:tcPr>
                <w:p>
                  <w:pPr>
                    <w:widowControl/>
                    <w:jc w:val="center"/>
                    <w:rPr>
                      <w:kern w:val="0"/>
                      <w:szCs w:val="21"/>
                    </w:rPr>
                  </w:pPr>
                  <w:r>
                    <w:rPr>
                      <w:rFonts w:hint="eastAsia" w:hAnsi="宋体"/>
                      <w:kern w:val="0"/>
                      <w:szCs w:val="21"/>
                    </w:rPr>
                    <w:t>紫外消毒井</w:t>
                  </w:r>
                </w:p>
              </w:tc>
              <w:tc>
                <w:tcPr>
                  <w:tcW w:w="3356" w:type="dxa"/>
                  <w:shd w:val="clear" w:color="auto" w:fill="auto"/>
                  <w:vAlign w:val="center"/>
                </w:tcPr>
                <w:p>
                  <w:pPr>
                    <w:widowControl/>
                    <w:jc w:val="center"/>
                    <w:rPr>
                      <w:kern w:val="0"/>
                      <w:szCs w:val="21"/>
                    </w:rPr>
                  </w:pPr>
                  <w:r>
                    <w:rPr>
                      <w:kern w:val="0"/>
                      <w:szCs w:val="21"/>
                    </w:rPr>
                    <w:t>L×B×H=</w:t>
                  </w:r>
                  <w:r>
                    <w:rPr>
                      <w:rFonts w:hint="eastAsia"/>
                      <w:kern w:val="0"/>
                      <w:szCs w:val="21"/>
                    </w:rPr>
                    <w:t>2.6m</w:t>
                  </w:r>
                  <w:r>
                    <w:rPr>
                      <w:kern w:val="0"/>
                      <w:szCs w:val="21"/>
                    </w:rPr>
                    <w:t>×</w:t>
                  </w:r>
                  <w:r>
                    <w:rPr>
                      <w:rFonts w:hint="eastAsia"/>
                      <w:kern w:val="0"/>
                      <w:szCs w:val="21"/>
                    </w:rPr>
                    <w:t>0.8m</w:t>
                  </w:r>
                  <w:r>
                    <w:rPr>
                      <w:kern w:val="0"/>
                      <w:szCs w:val="21"/>
                    </w:rPr>
                    <w:t>×</w:t>
                  </w:r>
                  <w:r>
                    <w:rPr>
                      <w:rFonts w:hint="eastAsia"/>
                      <w:kern w:val="0"/>
                      <w:szCs w:val="21"/>
                    </w:rPr>
                    <w:t>1.4</w:t>
                  </w:r>
                  <w:r>
                    <w:rPr>
                      <w:kern w:val="0"/>
                      <w:szCs w:val="21"/>
                    </w:rPr>
                    <w:t>m</w:t>
                  </w:r>
                </w:p>
              </w:tc>
              <w:tc>
                <w:tcPr>
                  <w:tcW w:w="876" w:type="dxa"/>
                  <w:shd w:val="clear" w:color="auto" w:fill="auto"/>
                  <w:vAlign w:val="center"/>
                </w:tcPr>
                <w:p>
                  <w:pPr>
                    <w:widowControl/>
                    <w:jc w:val="center"/>
                    <w:rPr>
                      <w:kern w:val="0"/>
                      <w:szCs w:val="21"/>
                    </w:rPr>
                  </w:pPr>
                  <w:r>
                    <w:rPr>
                      <w:kern w:val="0"/>
                      <w:szCs w:val="21"/>
                    </w:rPr>
                    <w:t>1</w:t>
                  </w:r>
                </w:p>
              </w:tc>
              <w:tc>
                <w:tcPr>
                  <w:tcW w:w="1020" w:type="dxa"/>
                  <w:shd w:val="clear" w:color="auto" w:fill="auto"/>
                  <w:vAlign w:val="center"/>
                </w:tcPr>
                <w:p>
                  <w:pPr>
                    <w:widowControl/>
                    <w:jc w:val="center"/>
                    <w:rPr>
                      <w:kern w:val="0"/>
                      <w:szCs w:val="21"/>
                    </w:rPr>
                  </w:pPr>
                  <w:r>
                    <w:rPr>
                      <w:rFonts w:hAnsi="宋体"/>
                      <w:kern w:val="0"/>
                      <w:szCs w:val="21"/>
                    </w:rPr>
                    <w:t>座</w:t>
                  </w:r>
                </w:p>
              </w:tc>
              <w:tc>
                <w:tcPr>
                  <w:tcW w:w="1141" w:type="dxa"/>
                  <w:shd w:val="clear" w:color="auto" w:fill="auto"/>
                  <w:vAlign w:val="center"/>
                </w:tcPr>
                <w:p>
                  <w:pPr>
                    <w:widowControl/>
                    <w:jc w:val="center"/>
                    <w:rPr>
                      <w:kern w:val="0"/>
                      <w:szCs w:val="21"/>
                    </w:rPr>
                  </w:pPr>
                  <w:r>
                    <w:rPr>
                      <w:rFonts w:hint="eastAsia" w:hAnsi="宋体"/>
                      <w:kern w:val="0"/>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42" w:hRule="atLeast"/>
                <w:jc w:val="center"/>
              </w:trPr>
              <w:tc>
                <w:tcPr>
                  <w:tcW w:w="738" w:type="dxa"/>
                  <w:shd w:val="clear" w:color="auto" w:fill="auto"/>
                  <w:vAlign w:val="center"/>
                </w:tcPr>
                <w:p>
                  <w:pPr>
                    <w:widowControl/>
                    <w:jc w:val="center"/>
                    <w:rPr>
                      <w:kern w:val="0"/>
                      <w:szCs w:val="21"/>
                    </w:rPr>
                  </w:pPr>
                  <w:r>
                    <w:rPr>
                      <w:rFonts w:hint="eastAsia"/>
                      <w:kern w:val="0"/>
                      <w:szCs w:val="21"/>
                    </w:rPr>
                    <w:t>7</w:t>
                  </w:r>
                </w:p>
              </w:tc>
              <w:tc>
                <w:tcPr>
                  <w:tcW w:w="1770" w:type="dxa"/>
                  <w:shd w:val="clear" w:color="auto" w:fill="auto"/>
                  <w:vAlign w:val="center"/>
                </w:tcPr>
                <w:p>
                  <w:pPr>
                    <w:widowControl/>
                    <w:jc w:val="center"/>
                    <w:rPr>
                      <w:kern w:val="0"/>
                      <w:szCs w:val="21"/>
                    </w:rPr>
                  </w:pPr>
                  <w:r>
                    <w:rPr>
                      <w:rFonts w:hint="eastAsia" w:hAnsi="宋体"/>
                      <w:kern w:val="0"/>
                      <w:szCs w:val="21"/>
                    </w:rPr>
                    <w:t>基坑开挖、回填、一体化基础制作</w:t>
                  </w:r>
                </w:p>
              </w:tc>
              <w:tc>
                <w:tcPr>
                  <w:tcW w:w="3356" w:type="dxa"/>
                  <w:shd w:val="clear" w:color="auto" w:fill="auto"/>
                  <w:vAlign w:val="center"/>
                </w:tcPr>
                <w:p>
                  <w:pPr>
                    <w:widowControl/>
                    <w:jc w:val="center"/>
                    <w:rPr>
                      <w:kern w:val="0"/>
                      <w:szCs w:val="21"/>
                    </w:rPr>
                  </w:pPr>
                  <w:r>
                    <w:rPr>
                      <w:kern w:val="0"/>
                      <w:szCs w:val="21"/>
                    </w:rPr>
                    <w:t>L×B×H=</w:t>
                  </w:r>
                  <w:r>
                    <w:rPr>
                      <w:rFonts w:hint="eastAsia"/>
                      <w:kern w:val="0"/>
                      <w:szCs w:val="21"/>
                    </w:rPr>
                    <w:t>20</w:t>
                  </w:r>
                  <w:r>
                    <w:rPr>
                      <w:kern w:val="0"/>
                      <w:szCs w:val="21"/>
                    </w:rPr>
                    <w:t>m×1</w:t>
                  </w:r>
                  <w:r>
                    <w:rPr>
                      <w:rFonts w:hint="eastAsia"/>
                      <w:kern w:val="0"/>
                      <w:szCs w:val="21"/>
                    </w:rPr>
                    <w:t>4</w:t>
                  </w:r>
                  <w:r>
                    <w:rPr>
                      <w:kern w:val="0"/>
                      <w:szCs w:val="21"/>
                    </w:rPr>
                    <w:t>m×</w:t>
                  </w:r>
                  <w:r>
                    <w:rPr>
                      <w:rFonts w:hint="eastAsia"/>
                      <w:kern w:val="0"/>
                      <w:szCs w:val="21"/>
                    </w:rPr>
                    <w:t>5.8</w:t>
                  </w:r>
                  <w:r>
                    <w:rPr>
                      <w:kern w:val="0"/>
                      <w:szCs w:val="21"/>
                    </w:rPr>
                    <w:t>m</w:t>
                  </w:r>
                </w:p>
              </w:tc>
              <w:tc>
                <w:tcPr>
                  <w:tcW w:w="876" w:type="dxa"/>
                  <w:shd w:val="clear" w:color="auto" w:fill="auto"/>
                  <w:vAlign w:val="center"/>
                </w:tcPr>
                <w:p>
                  <w:pPr>
                    <w:widowControl/>
                    <w:jc w:val="center"/>
                    <w:rPr>
                      <w:kern w:val="0"/>
                      <w:szCs w:val="21"/>
                    </w:rPr>
                  </w:pPr>
                  <w:r>
                    <w:rPr>
                      <w:kern w:val="0"/>
                      <w:szCs w:val="21"/>
                    </w:rPr>
                    <w:t>1</w:t>
                  </w:r>
                </w:p>
              </w:tc>
              <w:tc>
                <w:tcPr>
                  <w:tcW w:w="1020" w:type="dxa"/>
                  <w:shd w:val="clear" w:color="auto" w:fill="auto"/>
                  <w:vAlign w:val="center"/>
                </w:tcPr>
                <w:p>
                  <w:pPr>
                    <w:widowControl/>
                    <w:jc w:val="center"/>
                    <w:rPr>
                      <w:kern w:val="0"/>
                      <w:szCs w:val="21"/>
                    </w:rPr>
                  </w:pPr>
                  <w:r>
                    <w:rPr>
                      <w:rFonts w:hAnsi="宋体"/>
                      <w:kern w:val="0"/>
                      <w:szCs w:val="21"/>
                    </w:rPr>
                    <w:t>座</w:t>
                  </w:r>
                </w:p>
              </w:tc>
              <w:tc>
                <w:tcPr>
                  <w:tcW w:w="1141" w:type="dxa"/>
                  <w:shd w:val="clear" w:color="auto" w:fill="auto"/>
                  <w:vAlign w:val="center"/>
                </w:tcPr>
                <w:p>
                  <w:pPr>
                    <w:widowControl/>
                    <w:jc w:val="center"/>
                    <w:rPr>
                      <w:kern w:val="0"/>
                      <w:szCs w:val="21"/>
                    </w:rPr>
                  </w:pPr>
                  <w:r>
                    <w:rPr>
                      <w:rFonts w:hint="eastAsia" w:hAnsi="宋体"/>
                      <w:kern w:val="0"/>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10" w:hRule="atLeast"/>
                <w:jc w:val="center"/>
              </w:trPr>
              <w:tc>
                <w:tcPr>
                  <w:tcW w:w="738" w:type="dxa"/>
                  <w:shd w:val="clear" w:color="auto" w:fill="auto"/>
                  <w:vAlign w:val="center"/>
                </w:tcPr>
                <w:p>
                  <w:pPr>
                    <w:widowControl/>
                    <w:jc w:val="center"/>
                    <w:rPr>
                      <w:kern w:val="0"/>
                      <w:szCs w:val="21"/>
                    </w:rPr>
                  </w:pPr>
                  <w:r>
                    <w:rPr>
                      <w:rFonts w:hint="eastAsia"/>
                      <w:kern w:val="0"/>
                      <w:szCs w:val="21"/>
                    </w:rPr>
                    <w:t>8</w:t>
                  </w:r>
                </w:p>
              </w:tc>
              <w:tc>
                <w:tcPr>
                  <w:tcW w:w="1770" w:type="dxa"/>
                  <w:shd w:val="clear" w:color="auto" w:fill="auto"/>
                  <w:vAlign w:val="center"/>
                </w:tcPr>
                <w:p>
                  <w:pPr>
                    <w:widowControl/>
                    <w:jc w:val="center"/>
                    <w:rPr>
                      <w:kern w:val="0"/>
                      <w:szCs w:val="21"/>
                    </w:rPr>
                  </w:pPr>
                  <w:r>
                    <w:rPr>
                      <w:rFonts w:hint="eastAsia" w:hAnsi="宋体"/>
                      <w:kern w:val="0"/>
                      <w:szCs w:val="21"/>
                    </w:rPr>
                    <w:t>设备间</w:t>
                  </w:r>
                </w:p>
              </w:tc>
              <w:tc>
                <w:tcPr>
                  <w:tcW w:w="3356" w:type="dxa"/>
                  <w:shd w:val="clear" w:color="auto" w:fill="auto"/>
                  <w:vAlign w:val="center"/>
                </w:tcPr>
                <w:p>
                  <w:pPr>
                    <w:widowControl/>
                    <w:jc w:val="center"/>
                    <w:rPr>
                      <w:kern w:val="0"/>
                      <w:szCs w:val="21"/>
                    </w:rPr>
                  </w:pPr>
                  <w:r>
                    <w:rPr>
                      <w:kern w:val="0"/>
                      <w:szCs w:val="21"/>
                    </w:rPr>
                    <w:t>L×B×H=</w:t>
                  </w:r>
                  <w:r>
                    <w:rPr>
                      <w:rFonts w:hint="eastAsia"/>
                      <w:kern w:val="0"/>
                      <w:szCs w:val="21"/>
                    </w:rPr>
                    <w:t>4</w:t>
                  </w:r>
                  <w:r>
                    <w:rPr>
                      <w:kern w:val="0"/>
                      <w:szCs w:val="21"/>
                    </w:rPr>
                    <w:t>m×3m×</w:t>
                  </w:r>
                  <w:r>
                    <w:rPr>
                      <w:rFonts w:hint="eastAsia"/>
                      <w:kern w:val="0"/>
                      <w:szCs w:val="21"/>
                    </w:rPr>
                    <w:t>3.5</w:t>
                  </w:r>
                  <w:r>
                    <w:rPr>
                      <w:kern w:val="0"/>
                      <w:szCs w:val="21"/>
                    </w:rPr>
                    <w:t>m</w:t>
                  </w:r>
                </w:p>
              </w:tc>
              <w:tc>
                <w:tcPr>
                  <w:tcW w:w="876" w:type="dxa"/>
                  <w:shd w:val="clear" w:color="auto" w:fill="auto"/>
                  <w:vAlign w:val="center"/>
                </w:tcPr>
                <w:p>
                  <w:pPr>
                    <w:widowControl/>
                    <w:jc w:val="center"/>
                    <w:rPr>
                      <w:kern w:val="0"/>
                      <w:szCs w:val="21"/>
                    </w:rPr>
                  </w:pPr>
                  <w:r>
                    <w:rPr>
                      <w:rFonts w:hint="eastAsia"/>
                      <w:kern w:val="0"/>
                      <w:szCs w:val="21"/>
                    </w:rPr>
                    <w:t>1</w:t>
                  </w:r>
                </w:p>
              </w:tc>
              <w:tc>
                <w:tcPr>
                  <w:tcW w:w="1020" w:type="dxa"/>
                  <w:shd w:val="clear" w:color="auto" w:fill="auto"/>
                  <w:vAlign w:val="center"/>
                </w:tcPr>
                <w:p>
                  <w:pPr>
                    <w:widowControl/>
                    <w:jc w:val="center"/>
                    <w:rPr>
                      <w:kern w:val="0"/>
                      <w:szCs w:val="21"/>
                    </w:rPr>
                  </w:pPr>
                  <w:r>
                    <w:rPr>
                      <w:rFonts w:hAnsi="宋体"/>
                      <w:kern w:val="0"/>
                      <w:szCs w:val="21"/>
                    </w:rPr>
                    <w:t>座</w:t>
                  </w:r>
                </w:p>
              </w:tc>
              <w:tc>
                <w:tcPr>
                  <w:tcW w:w="1141" w:type="dxa"/>
                  <w:shd w:val="clear" w:color="auto" w:fill="auto"/>
                  <w:vAlign w:val="center"/>
                </w:tcPr>
                <w:p>
                  <w:pPr>
                    <w:widowControl/>
                    <w:jc w:val="center"/>
                    <w:rPr>
                      <w:kern w:val="0"/>
                      <w:szCs w:val="21"/>
                    </w:rPr>
                  </w:pPr>
                  <w:r>
                    <w:rPr>
                      <w:rFonts w:hint="eastAsia" w:hAnsi="宋体"/>
                      <w:kern w:val="0"/>
                      <w:szCs w:val="21"/>
                    </w:rPr>
                    <w:t>彩钢</w:t>
                  </w:r>
                  <w:r>
                    <w:rPr>
                      <w:rFonts w:hAnsi="宋体"/>
                      <w:kern w:val="0"/>
                      <w:szCs w:val="21"/>
                    </w:rPr>
                    <w:t>结构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14" w:hRule="atLeast"/>
                <w:jc w:val="center"/>
              </w:trPr>
              <w:tc>
                <w:tcPr>
                  <w:tcW w:w="738" w:type="dxa"/>
                  <w:shd w:val="clear" w:color="auto" w:fill="auto"/>
                  <w:vAlign w:val="center"/>
                </w:tcPr>
                <w:p>
                  <w:pPr>
                    <w:widowControl/>
                    <w:jc w:val="center"/>
                    <w:rPr>
                      <w:kern w:val="0"/>
                      <w:szCs w:val="21"/>
                    </w:rPr>
                  </w:pPr>
                  <w:r>
                    <w:rPr>
                      <w:rFonts w:hint="eastAsia"/>
                      <w:kern w:val="0"/>
                      <w:szCs w:val="21"/>
                    </w:rPr>
                    <w:t>9</w:t>
                  </w:r>
                </w:p>
              </w:tc>
              <w:tc>
                <w:tcPr>
                  <w:tcW w:w="1770" w:type="dxa"/>
                  <w:shd w:val="clear" w:color="auto" w:fill="auto"/>
                  <w:vAlign w:val="center"/>
                </w:tcPr>
                <w:p>
                  <w:pPr>
                    <w:jc w:val="center"/>
                    <w:rPr>
                      <w:kern w:val="0"/>
                      <w:szCs w:val="21"/>
                    </w:rPr>
                  </w:pPr>
                  <w:r>
                    <w:rPr>
                      <w:rFonts w:hint="eastAsia" w:hAnsi="宋体"/>
                      <w:kern w:val="0"/>
                      <w:szCs w:val="21"/>
                    </w:rPr>
                    <w:t>出水检查井</w:t>
                  </w:r>
                </w:p>
              </w:tc>
              <w:tc>
                <w:tcPr>
                  <w:tcW w:w="3356" w:type="dxa"/>
                  <w:shd w:val="clear" w:color="auto" w:fill="auto"/>
                  <w:vAlign w:val="center"/>
                </w:tcPr>
                <w:p>
                  <w:pPr>
                    <w:widowControl/>
                    <w:jc w:val="center"/>
                    <w:rPr>
                      <w:kern w:val="0"/>
                      <w:szCs w:val="21"/>
                    </w:rPr>
                  </w:pPr>
                  <w:r>
                    <w:rPr>
                      <w:kern w:val="0"/>
                      <w:szCs w:val="21"/>
                    </w:rPr>
                    <w:t>L×B×H=1.</w:t>
                  </w:r>
                  <w:r>
                    <w:rPr>
                      <w:rFonts w:hint="eastAsia"/>
                      <w:kern w:val="0"/>
                      <w:szCs w:val="21"/>
                    </w:rPr>
                    <w:t>2</w:t>
                  </w:r>
                  <w:r>
                    <w:rPr>
                      <w:kern w:val="0"/>
                      <w:szCs w:val="21"/>
                    </w:rPr>
                    <w:t>m×0.8m×</w:t>
                  </w:r>
                  <w:r>
                    <w:rPr>
                      <w:rFonts w:hint="eastAsia"/>
                      <w:kern w:val="0"/>
                      <w:szCs w:val="21"/>
                    </w:rPr>
                    <w:t>1.4</w:t>
                  </w:r>
                  <w:r>
                    <w:rPr>
                      <w:kern w:val="0"/>
                      <w:szCs w:val="21"/>
                    </w:rPr>
                    <w:t>m</w:t>
                  </w:r>
                </w:p>
              </w:tc>
              <w:tc>
                <w:tcPr>
                  <w:tcW w:w="876" w:type="dxa"/>
                  <w:shd w:val="clear" w:color="auto" w:fill="auto"/>
                  <w:vAlign w:val="center"/>
                </w:tcPr>
                <w:p>
                  <w:pPr>
                    <w:widowControl/>
                    <w:jc w:val="center"/>
                    <w:rPr>
                      <w:kern w:val="0"/>
                      <w:szCs w:val="21"/>
                    </w:rPr>
                  </w:pPr>
                  <w:r>
                    <w:rPr>
                      <w:kern w:val="0"/>
                      <w:szCs w:val="21"/>
                    </w:rPr>
                    <w:t>1</w:t>
                  </w:r>
                </w:p>
              </w:tc>
              <w:tc>
                <w:tcPr>
                  <w:tcW w:w="1020" w:type="dxa"/>
                  <w:shd w:val="clear" w:color="auto" w:fill="auto"/>
                  <w:vAlign w:val="center"/>
                </w:tcPr>
                <w:p>
                  <w:pPr>
                    <w:widowControl/>
                    <w:jc w:val="center"/>
                    <w:rPr>
                      <w:kern w:val="0"/>
                      <w:szCs w:val="21"/>
                    </w:rPr>
                  </w:pPr>
                  <w:r>
                    <w:rPr>
                      <w:rFonts w:hAnsi="宋体"/>
                      <w:kern w:val="0"/>
                      <w:szCs w:val="21"/>
                    </w:rPr>
                    <w:t>座</w:t>
                  </w:r>
                </w:p>
              </w:tc>
              <w:tc>
                <w:tcPr>
                  <w:tcW w:w="1141" w:type="dxa"/>
                  <w:shd w:val="clear" w:color="auto" w:fill="auto"/>
                  <w:vAlign w:val="center"/>
                </w:tcPr>
                <w:p>
                  <w:pPr>
                    <w:widowControl/>
                    <w:jc w:val="center"/>
                    <w:rPr>
                      <w:kern w:val="0"/>
                      <w:szCs w:val="21"/>
                    </w:rPr>
                  </w:pPr>
                  <w:r>
                    <w:rPr>
                      <w:rFonts w:hint="eastAsia" w:hAnsi="宋体"/>
                      <w:kern w:val="0"/>
                      <w:szCs w:val="21"/>
                    </w:rPr>
                    <w:t>/</w:t>
                  </w:r>
                </w:p>
              </w:tc>
            </w:tr>
          </w:tbl>
          <w:p>
            <w:pPr>
              <w:autoSpaceDE w:val="0"/>
              <w:autoSpaceDN w:val="0"/>
              <w:adjustRightInd w:val="0"/>
              <w:spacing w:line="360" w:lineRule="auto"/>
              <w:ind w:firstLine="480" w:firstLineChars="200"/>
              <w:rPr>
                <w:sz w:val="24"/>
                <w:szCs w:val="28"/>
              </w:rPr>
            </w:pPr>
            <w:r>
              <w:rPr>
                <w:rFonts w:hint="eastAsia"/>
                <w:sz w:val="24"/>
                <w:szCs w:val="28"/>
              </w:rPr>
              <w:t>污水处理站主要工艺设备一览表见表5。</w:t>
            </w:r>
          </w:p>
          <w:p>
            <w:pPr>
              <w:spacing w:line="460" w:lineRule="exact"/>
              <w:ind w:firstLine="527" w:firstLineChars="250"/>
              <w:jc w:val="center"/>
              <w:rPr>
                <w:rFonts w:hAnsi="宋体"/>
                <w:b/>
                <w:szCs w:val="21"/>
              </w:rPr>
            </w:pPr>
            <w:r>
              <w:rPr>
                <w:rFonts w:hint="eastAsia" w:hAnsi="宋体"/>
                <w:b/>
                <w:szCs w:val="21"/>
              </w:rPr>
              <w:t>表5   污水处理站主要工艺设备一览表</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6"/>
              <w:gridCol w:w="1949"/>
              <w:gridCol w:w="1670"/>
              <w:gridCol w:w="958"/>
              <w:gridCol w:w="815"/>
              <w:gridCol w:w="283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676" w:type="dxa"/>
                  <w:shd w:val="clear" w:color="auto" w:fill="auto"/>
                  <w:vAlign w:val="center"/>
                </w:tcPr>
                <w:p>
                  <w:pPr>
                    <w:widowControl/>
                    <w:jc w:val="center"/>
                    <w:rPr>
                      <w:b/>
                      <w:kern w:val="0"/>
                      <w:szCs w:val="21"/>
                    </w:rPr>
                  </w:pPr>
                  <w:r>
                    <w:rPr>
                      <w:rFonts w:hAnsi="宋体"/>
                      <w:b/>
                      <w:kern w:val="0"/>
                      <w:szCs w:val="21"/>
                    </w:rPr>
                    <w:t>序号</w:t>
                  </w:r>
                </w:p>
              </w:tc>
              <w:tc>
                <w:tcPr>
                  <w:tcW w:w="1949" w:type="dxa"/>
                  <w:shd w:val="clear" w:color="auto" w:fill="auto"/>
                  <w:vAlign w:val="center"/>
                </w:tcPr>
                <w:p>
                  <w:pPr>
                    <w:jc w:val="center"/>
                    <w:rPr>
                      <w:b/>
                      <w:kern w:val="0"/>
                      <w:szCs w:val="21"/>
                    </w:rPr>
                  </w:pPr>
                  <w:r>
                    <w:rPr>
                      <w:rFonts w:hint="eastAsia" w:hAnsi="宋体"/>
                      <w:b/>
                      <w:kern w:val="0"/>
                      <w:szCs w:val="21"/>
                    </w:rPr>
                    <w:t>单体</w:t>
                  </w:r>
                  <w:r>
                    <w:rPr>
                      <w:rFonts w:hAnsi="宋体"/>
                      <w:b/>
                      <w:kern w:val="0"/>
                      <w:szCs w:val="21"/>
                    </w:rPr>
                    <w:t>名称</w:t>
                  </w:r>
                </w:p>
              </w:tc>
              <w:tc>
                <w:tcPr>
                  <w:tcW w:w="1670" w:type="dxa"/>
                  <w:shd w:val="clear" w:color="auto" w:fill="auto"/>
                  <w:vAlign w:val="center"/>
                </w:tcPr>
                <w:p>
                  <w:pPr>
                    <w:widowControl/>
                    <w:ind w:firstLine="360"/>
                    <w:jc w:val="center"/>
                    <w:rPr>
                      <w:b/>
                      <w:kern w:val="0"/>
                      <w:szCs w:val="21"/>
                    </w:rPr>
                  </w:pPr>
                  <w:r>
                    <w:rPr>
                      <w:rFonts w:hint="eastAsia" w:hAnsi="宋体"/>
                      <w:b/>
                      <w:kern w:val="0"/>
                      <w:szCs w:val="21"/>
                    </w:rPr>
                    <w:t>设备名称</w:t>
                  </w:r>
                </w:p>
              </w:tc>
              <w:tc>
                <w:tcPr>
                  <w:tcW w:w="958" w:type="dxa"/>
                  <w:shd w:val="clear" w:color="auto" w:fill="auto"/>
                  <w:vAlign w:val="center"/>
                </w:tcPr>
                <w:p>
                  <w:pPr>
                    <w:widowControl/>
                    <w:jc w:val="center"/>
                    <w:rPr>
                      <w:b/>
                      <w:kern w:val="0"/>
                      <w:szCs w:val="21"/>
                    </w:rPr>
                  </w:pPr>
                  <w:r>
                    <w:rPr>
                      <w:rFonts w:hAnsi="宋体"/>
                      <w:b/>
                      <w:kern w:val="0"/>
                      <w:szCs w:val="21"/>
                    </w:rPr>
                    <w:t>数量</w:t>
                  </w:r>
                </w:p>
              </w:tc>
              <w:tc>
                <w:tcPr>
                  <w:tcW w:w="815" w:type="dxa"/>
                  <w:shd w:val="clear" w:color="auto" w:fill="auto"/>
                  <w:vAlign w:val="center"/>
                </w:tcPr>
                <w:p>
                  <w:pPr>
                    <w:widowControl/>
                    <w:jc w:val="center"/>
                    <w:rPr>
                      <w:b/>
                      <w:kern w:val="0"/>
                      <w:szCs w:val="21"/>
                    </w:rPr>
                  </w:pPr>
                  <w:r>
                    <w:rPr>
                      <w:rFonts w:hAnsi="宋体"/>
                      <w:b/>
                      <w:kern w:val="0"/>
                      <w:szCs w:val="21"/>
                    </w:rPr>
                    <w:t>单位</w:t>
                  </w:r>
                </w:p>
              </w:tc>
              <w:tc>
                <w:tcPr>
                  <w:tcW w:w="2833" w:type="dxa"/>
                  <w:shd w:val="clear" w:color="auto" w:fill="auto"/>
                  <w:vAlign w:val="center"/>
                </w:tcPr>
                <w:p>
                  <w:pPr>
                    <w:widowControl/>
                    <w:jc w:val="center"/>
                    <w:rPr>
                      <w:b/>
                      <w:kern w:val="0"/>
                      <w:szCs w:val="21"/>
                    </w:rPr>
                  </w:pPr>
                  <w:r>
                    <w:rPr>
                      <w:rFonts w:hint="eastAsia" w:hAnsi="宋体"/>
                      <w:b/>
                      <w:kern w:val="0"/>
                      <w:szCs w:val="21"/>
                    </w:rPr>
                    <w:t>主要参数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676" w:type="dxa"/>
                  <w:shd w:val="clear" w:color="auto" w:fill="auto"/>
                  <w:vAlign w:val="center"/>
                </w:tcPr>
                <w:p>
                  <w:pPr>
                    <w:widowControl/>
                    <w:jc w:val="center"/>
                    <w:rPr>
                      <w:kern w:val="0"/>
                      <w:szCs w:val="21"/>
                    </w:rPr>
                  </w:pPr>
                  <w:r>
                    <w:rPr>
                      <w:kern w:val="0"/>
                      <w:szCs w:val="21"/>
                    </w:rPr>
                    <w:t>1</w:t>
                  </w:r>
                </w:p>
              </w:tc>
              <w:tc>
                <w:tcPr>
                  <w:tcW w:w="1949" w:type="dxa"/>
                  <w:vMerge w:val="restart"/>
                  <w:shd w:val="clear" w:color="auto" w:fill="auto"/>
                  <w:vAlign w:val="center"/>
                </w:tcPr>
                <w:p>
                  <w:pPr>
                    <w:widowControl/>
                    <w:jc w:val="center"/>
                    <w:rPr>
                      <w:kern w:val="0"/>
                      <w:szCs w:val="21"/>
                    </w:rPr>
                  </w:pPr>
                  <w:r>
                    <w:rPr>
                      <w:rFonts w:hint="eastAsia" w:hAnsi="宋体"/>
                      <w:kern w:val="0"/>
                      <w:szCs w:val="21"/>
                    </w:rPr>
                    <w:t>格栅池/调节池/污泥池</w:t>
                  </w:r>
                </w:p>
              </w:tc>
              <w:tc>
                <w:tcPr>
                  <w:tcW w:w="1670" w:type="dxa"/>
                  <w:shd w:val="clear" w:color="auto" w:fill="auto"/>
                  <w:vAlign w:val="center"/>
                </w:tcPr>
                <w:p>
                  <w:pPr>
                    <w:jc w:val="center"/>
                    <w:rPr>
                      <w:kern w:val="0"/>
                      <w:szCs w:val="21"/>
                    </w:rPr>
                  </w:pPr>
                  <w:r>
                    <w:rPr>
                      <w:rFonts w:hint="eastAsia"/>
                      <w:szCs w:val="21"/>
                    </w:rPr>
                    <w:t>综合池</w:t>
                  </w:r>
                </w:p>
              </w:tc>
              <w:tc>
                <w:tcPr>
                  <w:tcW w:w="958" w:type="dxa"/>
                  <w:shd w:val="clear" w:color="auto" w:fill="auto"/>
                  <w:vAlign w:val="center"/>
                </w:tcPr>
                <w:p>
                  <w:pPr>
                    <w:widowControl/>
                    <w:jc w:val="center"/>
                    <w:rPr>
                      <w:kern w:val="0"/>
                      <w:szCs w:val="21"/>
                    </w:rPr>
                  </w:pPr>
                  <w:r>
                    <w:rPr>
                      <w:kern w:val="0"/>
                      <w:szCs w:val="21"/>
                    </w:rPr>
                    <w:t>1</w:t>
                  </w:r>
                </w:p>
              </w:tc>
              <w:tc>
                <w:tcPr>
                  <w:tcW w:w="815" w:type="dxa"/>
                  <w:shd w:val="clear" w:color="auto" w:fill="auto"/>
                  <w:vAlign w:val="center"/>
                </w:tcPr>
                <w:p>
                  <w:pPr>
                    <w:widowControl/>
                    <w:jc w:val="center"/>
                    <w:rPr>
                      <w:kern w:val="0"/>
                      <w:szCs w:val="21"/>
                    </w:rPr>
                  </w:pPr>
                  <w:r>
                    <w:rPr>
                      <w:rFonts w:hAnsi="宋体"/>
                      <w:kern w:val="0"/>
                      <w:szCs w:val="21"/>
                    </w:rPr>
                    <w:t>台</w:t>
                  </w:r>
                </w:p>
              </w:tc>
              <w:tc>
                <w:tcPr>
                  <w:tcW w:w="2833" w:type="dxa"/>
                  <w:shd w:val="clear" w:color="auto" w:fill="auto"/>
                  <w:vAlign w:val="center"/>
                </w:tcPr>
                <w:p>
                  <w:pPr>
                    <w:widowControl/>
                    <w:jc w:val="center"/>
                    <w:rPr>
                      <w:kern w:val="0"/>
                      <w:szCs w:val="21"/>
                    </w:rPr>
                  </w:pPr>
                  <w:r>
                    <w:rPr>
                      <w:rFonts w:hAnsi="宋体"/>
                      <w:kern w:val="0"/>
                      <w:szCs w:val="21"/>
                    </w:rPr>
                    <w:t>Φ</w:t>
                  </w:r>
                  <w:r>
                    <w:rPr>
                      <w:rFonts w:hint="eastAsia" w:hAnsi="宋体"/>
                      <w:kern w:val="0"/>
                      <w:szCs w:val="21"/>
                    </w:rPr>
                    <w:t>2200</w:t>
                  </w:r>
                  <w:r>
                    <w:rPr>
                      <w:szCs w:val="21"/>
                    </w:rPr>
                    <w:t>×</w:t>
                  </w:r>
                  <w:r>
                    <w:rPr>
                      <w:rFonts w:hint="eastAsia"/>
                      <w:szCs w:val="21"/>
                    </w:rPr>
                    <w:t>9600mm，材质：机械缠绕玻璃钢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676" w:type="dxa"/>
                  <w:shd w:val="clear" w:color="auto" w:fill="auto"/>
                  <w:vAlign w:val="center"/>
                </w:tcPr>
                <w:p>
                  <w:pPr>
                    <w:widowControl/>
                    <w:jc w:val="center"/>
                    <w:rPr>
                      <w:kern w:val="0"/>
                      <w:szCs w:val="21"/>
                    </w:rPr>
                  </w:pPr>
                  <w:r>
                    <w:rPr>
                      <w:kern w:val="0"/>
                      <w:szCs w:val="21"/>
                    </w:rPr>
                    <w:t>2</w:t>
                  </w:r>
                </w:p>
              </w:tc>
              <w:tc>
                <w:tcPr>
                  <w:tcW w:w="1949" w:type="dxa"/>
                  <w:vMerge w:val="continue"/>
                  <w:shd w:val="clear" w:color="auto" w:fill="auto"/>
                  <w:vAlign w:val="center"/>
                </w:tcPr>
                <w:p>
                  <w:pPr>
                    <w:widowControl/>
                    <w:jc w:val="center"/>
                    <w:rPr>
                      <w:kern w:val="0"/>
                      <w:szCs w:val="21"/>
                    </w:rPr>
                  </w:pPr>
                </w:p>
              </w:tc>
              <w:tc>
                <w:tcPr>
                  <w:tcW w:w="1670" w:type="dxa"/>
                  <w:shd w:val="clear" w:color="auto" w:fill="auto"/>
                  <w:vAlign w:val="center"/>
                </w:tcPr>
                <w:p>
                  <w:pPr>
                    <w:jc w:val="center"/>
                    <w:rPr>
                      <w:szCs w:val="21"/>
                    </w:rPr>
                  </w:pPr>
                  <w:r>
                    <w:rPr>
                      <w:rFonts w:hint="eastAsia"/>
                      <w:szCs w:val="21"/>
                    </w:rPr>
                    <w:t>人工格栅</w:t>
                  </w:r>
                </w:p>
              </w:tc>
              <w:tc>
                <w:tcPr>
                  <w:tcW w:w="958" w:type="dxa"/>
                  <w:shd w:val="clear" w:color="auto" w:fill="auto"/>
                  <w:vAlign w:val="center"/>
                </w:tcPr>
                <w:p>
                  <w:pPr>
                    <w:widowControl/>
                    <w:jc w:val="center"/>
                    <w:rPr>
                      <w:kern w:val="0"/>
                      <w:szCs w:val="21"/>
                    </w:rPr>
                  </w:pPr>
                  <w:r>
                    <w:rPr>
                      <w:kern w:val="0"/>
                      <w:szCs w:val="21"/>
                    </w:rPr>
                    <w:t>1</w:t>
                  </w:r>
                </w:p>
              </w:tc>
              <w:tc>
                <w:tcPr>
                  <w:tcW w:w="815" w:type="dxa"/>
                  <w:shd w:val="clear" w:color="auto" w:fill="auto"/>
                  <w:vAlign w:val="center"/>
                </w:tcPr>
                <w:p>
                  <w:pPr>
                    <w:widowControl/>
                    <w:jc w:val="center"/>
                    <w:rPr>
                      <w:kern w:val="0"/>
                      <w:szCs w:val="21"/>
                    </w:rPr>
                  </w:pPr>
                  <w:r>
                    <w:rPr>
                      <w:rFonts w:hAnsi="宋体"/>
                      <w:kern w:val="0"/>
                      <w:szCs w:val="21"/>
                    </w:rPr>
                    <w:t>台</w:t>
                  </w:r>
                </w:p>
              </w:tc>
              <w:tc>
                <w:tcPr>
                  <w:tcW w:w="2833" w:type="dxa"/>
                  <w:shd w:val="clear" w:color="auto" w:fill="auto"/>
                  <w:vAlign w:val="center"/>
                </w:tcPr>
                <w:p>
                  <w:pPr>
                    <w:widowControl/>
                    <w:jc w:val="center"/>
                    <w:rPr>
                      <w:kern w:val="0"/>
                      <w:szCs w:val="21"/>
                    </w:rPr>
                  </w:pPr>
                  <w:r>
                    <w:rPr>
                      <w:rFonts w:hint="eastAsia"/>
                      <w:kern w:val="0"/>
                      <w:szCs w:val="21"/>
                    </w:rPr>
                    <w:t>栅隙10mm，格栅宽度800</w:t>
                  </w:r>
                  <w:r>
                    <w:rPr>
                      <w:szCs w:val="21"/>
                    </w:rPr>
                    <w:t>×</w:t>
                  </w:r>
                  <w:r>
                    <w:rPr>
                      <w:rFonts w:hint="eastAsia"/>
                      <w:kern w:val="0"/>
                      <w:szCs w:val="21"/>
                    </w:rPr>
                    <w:t>1200mm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676" w:type="dxa"/>
                  <w:shd w:val="clear" w:color="auto" w:fill="auto"/>
                  <w:vAlign w:val="center"/>
                </w:tcPr>
                <w:p>
                  <w:pPr>
                    <w:widowControl/>
                    <w:jc w:val="center"/>
                    <w:rPr>
                      <w:kern w:val="0"/>
                      <w:szCs w:val="21"/>
                    </w:rPr>
                  </w:pPr>
                  <w:r>
                    <w:rPr>
                      <w:kern w:val="0"/>
                      <w:szCs w:val="21"/>
                    </w:rPr>
                    <w:t>3</w:t>
                  </w:r>
                </w:p>
              </w:tc>
              <w:tc>
                <w:tcPr>
                  <w:tcW w:w="1949" w:type="dxa"/>
                  <w:vMerge w:val="continue"/>
                  <w:shd w:val="clear" w:color="auto" w:fill="auto"/>
                  <w:vAlign w:val="center"/>
                </w:tcPr>
                <w:p>
                  <w:pPr>
                    <w:jc w:val="center"/>
                    <w:rPr>
                      <w:kern w:val="0"/>
                      <w:szCs w:val="21"/>
                    </w:rPr>
                  </w:pPr>
                </w:p>
              </w:tc>
              <w:tc>
                <w:tcPr>
                  <w:tcW w:w="1670" w:type="dxa"/>
                  <w:shd w:val="clear" w:color="auto" w:fill="auto"/>
                  <w:vAlign w:val="center"/>
                </w:tcPr>
                <w:p>
                  <w:pPr>
                    <w:widowControl/>
                    <w:jc w:val="center"/>
                    <w:rPr>
                      <w:kern w:val="0"/>
                      <w:szCs w:val="21"/>
                    </w:rPr>
                  </w:pPr>
                  <w:r>
                    <w:rPr>
                      <w:rFonts w:hint="eastAsia"/>
                      <w:kern w:val="0"/>
                      <w:szCs w:val="21"/>
                    </w:rPr>
                    <w:t>提升泵</w:t>
                  </w:r>
                </w:p>
              </w:tc>
              <w:tc>
                <w:tcPr>
                  <w:tcW w:w="958" w:type="dxa"/>
                  <w:shd w:val="clear" w:color="auto" w:fill="auto"/>
                  <w:vAlign w:val="center"/>
                </w:tcPr>
                <w:p>
                  <w:pPr>
                    <w:widowControl/>
                    <w:jc w:val="center"/>
                    <w:rPr>
                      <w:kern w:val="0"/>
                      <w:szCs w:val="21"/>
                    </w:rPr>
                  </w:pPr>
                  <w:r>
                    <w:rPr>
                      <w:kern w:val="0"/>
                      <w:szCs w:val="21"/>
                    </w:rPr>
                    <w:t>2</w:t>
                  </w:r>
                </w:p>
              </w:tc>
              <w:tc>
                <w:tcPr>
                  <w:tcW w:w="815" w:type="dxa"/>
                  <w:shd w:val="clear" w:color="auto" w:fill="auto"/>
                  <w:vAlign w:val="center"/>
                </w:tcPr>
                <w:p>
                  <w:pPr>
                    <w:widowControl/>
                    <w:jc w:val="center"/>
                    <w:rPr>
                      <w:kern w:val="0"/>
                      <w:szCs w:val="21"/>
                    </w:rPr>
                  </w:pPr>
                  <w:r>
                    <w:rPr>
                      <w:rFonts w:hAnsi="宋体"/>
                      <w:kern w:val="0"/>
                      <w:szCs w:val="21"/>
                    </w:rPr>
                    <w:t>台</w:t>
                  </w:r>
                </w:p>
              </w:tc>
              <w:tc>
                <w:tcPr>
                  <w:tcW w:w="2833" w:type="dxa"/>
                  <w:shd w:val="clear" w:color="auto" w:fill="auto"/>
                  <w:vAlign w:val="center"/>
                </w:tcPr>
                <w:p>
                  <w:pPr>
                    <w:widowControl/>
                    <w:jc w:val="center"/>
                    <w:rPr>
                      <w:kern w:val="0"/>
                      <w:szCs w:val="21"/>
                    </w:rPr>
                  </w:pPr>
                  <w:r>
                    <w:rPr>
                      <w:rFonts w:hint="eastAsia"/>
                      <w:kern w:val="0"/>
                      <w:szCs w:val="21"/>
                    </w:rPr>
                    <w:t>Q=12m</w:t>
                  </w:r>
                  <w:r>
                    <w:rPr>
                      <w:rFonts w:hint="eastAsia"/>
                      <w:kern w:val="0"/>
                      <w:szCs w:val="21"/>
                      <w:vertAlign w:val="superscript"/>
                    </w:rPr>
                    <w:t>3</w:t>
                  </w:r>
                  <w:r>
                    <w:rPr>
                      <w:rFonts w:hint="eastAsia"/>
                      <w:kern w:val="0"/>
                      <w:szCs w:val="21"/>
                    </w:rPr>
                    <w:t>/h，H=8m，N=0.45KW</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676" w:type="dxa"/>
                  <w:shd w:val="clear" w:color="auto" w:fill="auto"/>
                  <w:vAlign w:val="center"/>
                </w:tcPr>
                <w:p>
                  <w:pPr>
                    <w:widowControl/>
                    <w:jc w:val="center"/>
                    <w:rPr>
                      <w:kern w:val="0"/>
                      <w:szCs w:val="21"/>
                    </w:rPr>
                  </w:pPr>
                  <w:r>
                    <w:rPr>
                      <w:kern w:val="0"/>
                      <w:szCs w:val="21"/>
                    </w:rPr>
                    <w:t>4</w:t>
                  </w:r>
                </w:p>
              </w:tc>
              <w:tc>
                <w:tcPr>
                  <w:tcW w:w="1949" w:type="dxa"/>
                  <w:vMerge w:val="restart"/>
                  <w:shd w:val="clear" w:color="auto" w:fill="auto"/>
                  <w:vAlign w:val="center"/>
                </w:tcPr>
                <w:p>
                  <w:pPr>
                    <w:jc w:val="center"/>
                    <w:rPr>
                      <w:kern w:val="0"/>
                      <w:szCs w:val="21"/>
                    </w:rPr>
                  </w:pPr>
                  <w:r>
                    <w:rPr>
                      <w:rFonts w:hint="eastAsia"/>
                      <w:kern w:val="0"/>
                      <w:szCs w:val="21"/>
                    </w:rPr>
                    <w:t>PFBP多级生物接触氧化反应器</w:t>
                  </w:r>
                </w:p>
              </w:tc>
              <w:tc>
                <w:tcPr>
                  <w:tcW w:w="1670" w:type="dxa"/>
                  <w:shd w:val="clear" w:color="auto" w:fill="auto"/>
                  <w:vAlign w:val="center"/>
                </w:tcPr>
                <w:p>
                  <w:pPr>
                    <w:widowControl/>
                    <w:jc w:val="center"/>
                    <w:rPr>
                      <w:kern w:val="0"/>
                      <w:szCs w:val="21"/>
                    </w:rPr>
                  </w:pPr>
                  <w:r>
                    <w:rPr>
                      <w:rFonts w:hint="eastAsia"/>
                      <w:kern w:val="0"/>
                      <w:szCs w:val="21"/>
                    </w:rPr>
                    <w:t>1#好氧池</w:t>
                  </w:r>
                </w:p>
              </w:tc>
              <w:tc>
                <w:tcPr>
                  <w:tcW w:w="958" w:type="dxa"/>
                  <w:shd w:val="clear" w:color="auto" w:fill="auto"/>
                  <w:vAlign w:val="center"/>
                </w:tcPr>
                <w:p>
                  <w:pPr>
                    <w:widowControl/>
                    <w:jc w:val="center"/>
                    <w:rPr>
                      <w:kern w:val="0"/>
                      <w:szCs w:val="21"/>
                    </w:rPr>
                  </w:pPr>
                  <w:r>
                    <w:rPr>
                      <w:rFonts w:hint="eastAsia"/>
                      <w:kern w:val="0"/>
                      <w:szCs w:val="21"/>
                    </w:rPr>
                    <w:t>1</w:t>
                  </w:r>
                </w:p>
              </w:tc>
              <w:tc>
                <w:tcPr>
                  <w:tcW w:w="815" w:type="dxa"/>
                  <w:shd w:val="clear" w:color="auto" w:fill="auto"/>
                  <w:vAlign w:val="center"/>
                </w:tcPr>
                <w:p>
                  <w:pPr>
                    <w:widowControl/>
                    <w:jc w:val="center"/>
                    <w:rPr>
                      <w:kern w:val="0"/>
                      <w:szCs w:val="21"/>
                    </w:rPr>
                  </w:pPr>
                  <w:r>
                    <w:rPr>
                      <w:rFonts w:hint="eastAsia" w:hAnsi="宋体"/>
                      <w:kern w:val="0"/>
                      <w:szCs w:val="21"/>
                    </w:rPr>
                    <w:t>个</w:t>
                  </w:r>
                </w:p>
              </w:tc>
              <w:tc>
                <w:tcPr>
                  <w:tcW w:w="2833" w:type="dxa"/>
                  <w:shd w:val="clear" w:color="auto" w:fill="auto"/>
                  <w:vAlign w:val="center"/>
                </w:tcPr>
                <w:p>
                  <w:pPr>
                    <w:widowControl/>
                    <w:jc w:val="center"/>
                    <w:rPr>
                      <w:kern w:val="0"/>
                      <w:szCs w:val="21"/>
                    </w:rPr>
                  </w:pPr>
                  <w:r>
                    <w:rPr>
                      <w:rFonts w:hAnsi="宋体"/>
                      <w:kern w:val="0"/>
                      <w:szCs w:val="21"/>
                    </w:rPr>
                    <w:t>Φ</w:t>
                  </w:r>
                  <w:r>
                    <w:rPr>
                      <w:rFonts w:hint="eastAsia" w:hAnsi="宋体"/>
                      <w:kern w:val="0"/>
                      <w:szCs w:val="21"/>
                    </w:rPr>
                    <w:t>2800</w:t>
                  </w:r>
                  <w:r>
                    <w:rPr>
                      <w:szCs w:val="21"/>
                    </w:rPr>
                    <w:t>×</w:t>
                  </w:r>
                  <w:r>
                    <w:rPr>
                      <w:rFonts w:hint="eastAsia"/>
                      <w:szCs w:val="21"/>
                    </w:rPr>
                    <w:t>3000mm，机械缠绕玻璃钢一次成型产品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676" w:type="dxa"/>
                  <w:shd w:val="clear" w:color="auto" w:fill="auto"/>
                  <w:vAlign w:val="center"/>
                </w:tcPr>
                <w:p>
                  <w:pPr>
                    <w:widowControl/>
                    <w:jc w:val="center"/>
                    <w:rPr>
                      <w:kern w:val="0"/>
                      <w:szCs w:val="21"/>
                    </w:rPr>
                  </w:pPr>
                  <w:r>
                    <w:rPr>
                      <w:kern w:val="0"/>
                      <w:szCs w:val="21"/>
                    </w:rPr>
                    <w:t>5</w:t>
                  </w:r>
                </w:p>
              </w:tc>
              <w:tc>
                <w:tcPr>
                  <w:tcW w:w="1949" w:type="dxa"/>
                  <w:vMerge w:val="continue"/>
                  <w:shd w:val="clear" w:color="auto" w:fill="auto"/>
                  <w:vAlign w:val="center"/>
                </w:tcPr>
                <w:p>
                  <w:pPr>
                    <w:jc w:val="center"/>
                    <w:rPr>
                      <w:kern w:val="0"/>
                      <w:szCs w:val="21"/>
                    </w:rPr>
                  </w:pPr>
                </w:p>
              </w:tc>
              <w:tc>
                <w:tcPr>
                  <w:tcW w:w="1670" w:type="dxa"/>
                  <w:shd w:val="clear" w:color="auto" w:fill="auto"/>
                  <w:vAlign w:val="center"/>
                </w:tcPr>
                <w:p>
                  <w:pPr>
                    <w:widowControl/>
                    <w:jc w:val="center"/>
                    <w:rPr>
                      <w:szCs w:val="21"/>
                    </w:rPr>
                  </w:pPr>
                  <w:r>
                    <w:rPr>
                      <w:rFonts w:hint="eastAsia"/>
                      <w:szCs w:val="21"/>
                    </w:rPr>
                    <w:t>2#好氧池</w:t>
                  </w:r>
                </w:p>
              </w:tc>
              <w:tc>
                <w:tcPr>
                  <w:tcW w:w="958" w:type="dxa"/>
                  <w:shd w:val="clear" w:color="auto" w:fill="auto"/>
                  <w:vAlign w:val="center"/>
                </w:tcPr>
                <w:p>
                  <w:pPr>
                    <w:widowControl/>
                    <w:jc w:val="center"/>
                    <w:rPr>
                      <w:kern w:val="0"/>
                      <w:szCs w:val="21"/>
                    </w:rPr>
                  </w:pPr>
                  <w:r>
                    <w:rPr>
                      <w:rFonts w:hint="eastAsia"/>
                      <w:kern w:val="0"/>
                      <w:szCs w:val="21"/>
                    </w:rPr>
                    <w:t>1</w:t>
                  </w:r>
                </w:p>
              </w:tc>
              <w:tc>
                <w:tcPr>
                  <w:tcW w:w="815" w:type="dxa"/>
                  <w:shd w:val="clear" w:color="auto" w:fill="auto"/>
                  <w:vAlign w:val="center"/>
                </w:tcPr>
                <w:p>
                  <w:pPr>
                    <w:widowControl/>
                    <w:jc w:val="center"/>
                    <w:rPr>
                      <w:kern w:val="0"/>
                      <w:szCs w:val="21"/>
                    </w:rPr>
                  </w:pPr>
                  <w:r>
                    <w:rPr>
                      <w:rFonts w:hint="eastAsia" w:hAnsi="宋体"/>
                      <w:kern w:val="0"/>
                      <w:szCs w:val="21"/>
                    </w:rPr>
                    <w:t>个</w:t>
                  </w:r>
                </w:p>
              </w:tc>
              <w:tc>
                <w:tcPr>
                  <w:tcW w:w="2833" w:type="dxa"/>
                  <w:shd w:val="clear" w:color="auto" w:fill="auto"/>
                  <w:vAlign w:val="center"/>
                </w:tcPr>
                <w:p>
                  <w:pPr>
                    <w:widowControl/>
                    <w:jc w:val="center"/>
                    <w:rPr>
                      <w:kern w:val="0"/>
                      <w:szCs w:val="21"/>
                    </w:rPr>
                  </w:pPr>
                  <w:r>
                    <w:rPr>
                      <w:rFonts w:hAnsi="宋体"/>
                      <w:kern w:val="0"/>
                      <w:szCs w:val="21"/>
                    </w:rPr>
                    <w:t>Φ</w:t>
                  </w:r>
                  <w:r>
                    <w:rPr>
                      <w:rFonts w:hint="eastAsia" w:hAnsi="宋体"/>
                      <w:kern w:val="0"/>
                      <w:szCs w:val="21"/>
                    </w:rPr>
                    <w:t>2800</w:t>
                  </w:r>
                  <w:r>
                    <w:rPr>
                      <w:szCs w:val="21"/>
                    </w:rPr>
                    <w:t>×</w:t>
                  </w:r>
                  <w:r>
                    <w:rPr>
                      <w:rFonts w:hint="eastAsia"/>
                      <w:szCs w:val="21"/>
                    </w:rPr>
                    <w:t>3000mm，机械缠绕玻璃钢一次成型产品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676" w:type="dxa"/>
                  <w:shd w:val="clear" w:color="auto" w:fill="auto"/>
                  <w:vAlign w:val="center"/>
                </w:tcPr>
                <w:p>
                  <w:pPr>
                    <w:widowControl/>
                    <w:jc w:val="center"/>
                    <w:rPr>
                      <w:kern w:val="0"/>
                      <w:szCs w:val="21"/>
                    </w:rPr>
                  </w:pPr>
                  <w:r>
                    <w:rPr>
                      <w:kern w:val="0"/>
                      <w:szCs w:val="21"/>
                    </w:rPr>
                    <w:t>6</w:t>
                  </w:r>
                </w:p>
              </w:tc>
              <w:tc>
                <w:tcPr>
                  <w:tcW w:w="1949" w:type="dxa"/>
                  <w:vMerge w:val="continue"/>
                  <w:shd w:val="clear" w:color="auto" w:fill="auto"/>
                  <w:vAlign w:val="center"/>
                </w:tcPr>
                <w:p>
                  <w:pPr>
                    <w:widowControl/>
                    <w:jc w:val="center"/>
                    <w:rPr>
                      <w:kern w:val="0"/>
                      <w:szCs w:val="21"/>
                    </w:rPr>
                  </w:pPr>
                </w:p>
              </w:tc>
              <w:tc>
                <w:tcPr>
                  <w:tcW w:w="1670" w:type="dxa"/>
                  <w:shd w:val="clear" w:color="auto" w:fill="auto"/>
                  <w:vAlign w:val="center"/>
                </w:tcPr>
                <w:p>
                  <w:pPr>
                    <w:widowControl/>
                    <w:jc w:val="center"/>
                    <w:rPr>
                      <w:kern w:val="0"/>
                      <w:szCs w:val="21"/>
                    </w:rPr>
                  </w:pPr>
                  <w:r>
                    <w:rPr>
                      <w:rFonts w:hint="eastAsia"/>
                      <w:kern w:val="0"/>
                      <w:szCs w:val="21"/>
                    </w:rPr>
                    <w:t>沉淀池</w:t>
                  </w:r>
                </w:p>
              </w:tc>
              <w:tc>
                <w:tcPr>
                  <w:tcW w:w="958" w:type="dxa"/>
                  <w:shd w:val="clear" w:color="auto" w:fill="auto"/>
                  <w:vAlign w:val="center"/>
                </w:tcPr>
                <w:p>
                  <w:pPr>
                    <w:widowControl/>
                    <w:jc w:val="center"/>
                    <w:rPr>
                      <w:kern w:val="0"/>
                      <w:szCs w:val="21"/>
                    </w:rPr>
                  </w:pPr>
                  <w:r>
                    <w:rPr>
                      <w:rFonts w:hint="eastAsia"/>
                      <w:kern w:val="0"/>
                      <w:szCs w:val="21"/>
                    </w:rPr>
                    <w:t>1</w:t>
                  </w:r>
                </w:p>
              </w:tc>
              <w:tc>
                <w:tcPr>
                  <w:tcW w:w="815" w:type="dxa"/>
                  <w:shd w:val="clear" w:color="auto" w:fill="auto"/>
                  <w:vAlign w:val="center"/>
                </w:tcPr>
                <w:p>
                  <w:pPr>
                    <w:widowControl/>
                    <w:jc w:val="center"/>
                    <w:rPr>
                      <w:kern w:val="0"/>
                      <w:szCs w:val="21"/>
                    </w:rPr>
                  </w:pPr>
                  <w:r>
                    <w:rPr>
                      <w:rFonts w:hint="eastAsia" w:hAnsi="宋体"/>
                      <w:kern w:val="0"/>
                      <w:szCs w:val="21"/>
                    </w:rPr>
                    <w:t>个</w:t>
                  </w:r>
                </w:p>
              </w:tc>
              <w:tc>
                <w:tcPr>
                  <w:tcW w:w="2833" w:type="dxa"/>
                  <w:shd w:val="clear" w:color="auto" w:fill="auto"/>
                  <w:vAlign w:val="center"/>
                </w:tcPr>
                <w:p>
                  <w:pPr>
                    <w:widowControl/>
                    <w:jc w:val="center"/>
                    <w:rPr>
                      <w:kern w:val="0"/>
                      <w:szCs w:val="21"/>
                    </w:rPr>
                  </w:pPr>
                  <w:r>
                    <w:rPr>
                      <w:rFonts w:hAnsi="宋体"/>
                      <w:kern w:val="0"/>
                      <w:szCs w:val="21"/>
                    </w:rPr>
                    <w:t>Φ</w:t>
                  </w:r>
                  <w:r>
                    <w:rPr>
                      <w:rFonts w:hint="eastAsia" w:hAnsi="宋体"/>
                      <w:kern w:val="0"/>
                      <w:szCs w:val="21"/>
                    </w:rPr>
                    <w:t>2800</w:t>
                  </w:r>
                  <w:r>
                    <w:rPr>
                      <w:szCs w:val="21"/>
                    </w:rPr>
                    <w:t>×</w:t>
                  </w:r>
                  <w:r>
                    <w:rPr>
                      <w:rFonts w:hint="eastAsia"/>
                      <w:szCs w:val="21"/>
                    </w:rPr>
                    <w:t>3000mm，机械缠绕玻璃钢一次成型产品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676" w:type="dxa"/>
                  <w:shd w:val="clear" w:color="auto" w:fill="auto"/>
                  <w:vAlign w:val="center"/>
                </w:tcPr>
                <w:p>
                  <w:pPr>
                    <w:widowControl/>
                    <w:jc w:val="center"/>
                    <w:rPr>
                      <w:kern w:val="0"/>
                      <w:szCs w:val="21"/>
                    </w:rPr>
                  </w:pPr>
                  <w:r>
                    <w:rPr>
                      <w:kern w:val="0"/>
                      <w:szCs w:val="21"/>
                    </w:rPr>
                    <w:t>7</w:t>
                  </w:r>
                </w:p>
              </w:tc>
              <w:tc>
                <w:tcPr>
                  <w:tcW w:w="1949" w:type="dxa"/>
                  <w:vMerge w:val="continue"/>
                  <w:shd w:val="clear" w:color="auto" w:fill="auto"/>
                  <w:vAlign w:val="center"/>
                </w:tcPr>
                <w:p>
                  <w:pPr>
                    <w:widowControl/>
                    <w:jc w:val="center"/>
                    <w:rPr>
                      <w:kern w:val="0"/>
                      <w:szCs w:val="21"/>
                    </w:rPr>
                  </w:pPr>
                </w:p>
              </w:tc>
              <w:tc>
                <w:tcPr>
                  <w:tcW w:w="1670" w:type="dxa"/>
                  <w:shd w:val="clear" w:color="auto" w:fill="auto"/>
                  <w:vAlign w:val="center"/>
                </w:tcPr>
                <w:p>
                  <w:pPr>
                    <w:widowControl/>
                    <w:jc w:val="center"/>
                    <w:rPr>
                      <w:kern w:val="0"/>
                      <w:szCs w:val="21"/>
                    </w:rPr>
                  </w:pPr>
                  <w:r>
                    <w:rPr>
                      <w:rFonts w:hint="eastAsia"/>
                      <w:kern w:val="0"/>
                      <w:szCs w:val="21"/>
                    </w:rPr>
                    <w:t>三维螺旋生物绳填料</w:t>
                  </w:r>
                </w:p>
              </w:tc>
              <w:tc>
                <w:tcPr>
                  <w:tcW w:w="958" w:type="dxa"/>
                  <w:shd w:val="clear" w:color="auto" w:fill="auto"/>
                  <w:vAlign w:val="center"/>
                </w:tcPr>
                <w:p>
                  <w:pPr>
                    <w:widowControl/>
                    <w:jc w:val="center"/>
                    <w:rPr>
                      <w:kern w:val="0"/>
                      <w:szCs w:val="21"/>
                    </w:rPr>
                  </w:pPr>
                  <w:r>
                    <w:rPr>
                      <w:rFonts w:hint="eastAsia"/>
                      <w:kern w:val="0"/>
                      <w:szCs w:val="21"/>
                    </w:rPr>
                    <w:t>1</w:t>
                  </w:r>
                </w:p>
              </w:tc>
              <w:tc>
                <w:tcPr>
                  <w:tcW w:w="815" w:type="dxa"/>
                  <w:shd w:val="clear" w:color="auto" w:fill="auto"/>
                  <w:vAlign w:val="center"/>
                </w:tcPr>
                <w:p>
                  <w:pPr>
                    <w:widowControl/>
                    <w:jc w:val="center"/>
                    <w:rPr>
                      <w:kern w:val="0"/>
                      <w:szCs w:val="21"/>
                    </w:rPr>
                  </w:pPr>
                  <w:r>
                    <w:rPr>
                      <w:rFonts w:hAnsi="宋体"/>
                      <w:kern w:val="0"/>
                      <w:szCs w:val="21"/>
                    </w:rPr>
                    <w:t>套</w:t>
                  </w:r>
                </w:p>
              </w:tc>
              <w:tc>
                <w:tcPr>
                  <w:tcW w:w="2833" w:type="dxa"/>
                  <w:shd w:val="clear" w:color="auto" w:fill="auto"/>
                  <w:vAlign w:val="center"/>
                </w:tcPr>
                <w:p>
                  <w:pPr>
                    <w:widowControl/>
                    <w:jc w:val="center"/>
                    <w:rPr>
                      <w:kern w:val="0"/>
                      <w:szCs w:val="21"/>
                    </w:rPr>
                  </w:pPr>
                  <w:r>
                    <w:rPr>
                      <w:rFonts w:hint="eastAsia"/>
                      <w:kern w:val="0"/>
                      <w:szCs w:val="21"/>
                    </w:rPr>
                    <w:t>比表面积高达6000m</w:t>
                  </w:r>
                  <w:r>
                    <w:rPr>
                      <w:rFonts w:hint="eastAsia"/>
                      <w:kern w:val="0"/>
                      <w:szCs w:val="21"/>
                      <w:vertAlign w:val="superscript"/>
                    </w:rPr>
                    <w:t>2</w:t>
                  </w:r>
                  <w:r>
                    <w:rPr>
                      <w:rFonts w:hint="eastAsia"/>
                      <w:kern w:val="0"/>
                      <w:szCs w:val="21"/>
                    </w:rPr>
                    <w:t>/m</w:t>
                  </w:r>
                  <w:r>
                    <w:rPr>
                      <w:rFonts w:hint="eastAsia"/>
                      <w:kern w:val="0"/>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676" w:type="dxa"/>
                  <w:shd w:val="clear" w:color="auto" w:fill="auto"/>
                  <w:vAlign w:val="center"/>
                </w:tcPr>
                <w:p>
                  <w:pPr>
                    <w:widowControl/>
                    <w:jc w:val="center"/>
                    <w:rPr>
                      <w:kern w:val="0"/>
                      <w:szCs w:val="21"/>
                    </w:rPr>
                  </w:pPr>
                  <w:r>
                    <w:rPr>
                      <w:kern w:val="0"/>
                      <w:szCs w:val="21"/>
                    </w:rPr>
                    <w:t>8</w:t>
                  </w:r>
                </w:p>
              </w:tc>
              <w:tc>
                <w:tcPr>
                  <w:tcW w:w="1949" w:type="dxa"/>
                  <w:vMerge w:val="continue"/>
                  <w:shd w:val="clear" w:color="auto" w:fill="auto"/>
                  <w:vAlign w:val="center"/>
                </w:tcPr>
                <w:p>
                  <w:pPr>
                    <w:widowControl/>
                    <w:jc w:val="center"/>
                    <w:rPr>
                      <w:kern w:val="0"/>
                      <w:szCs w:val="21"/>
                    </w:rPr>
                  </w:pPr>
                </w:p>
              </w:tc>
              <w:tc>
                <w:tcPr>
                  <w:tcW w:w="1670" w:type="dxa"/>
                  <w:shd w:val="clear" w:color="auto" w:fill="auto"/>
                  <w:vAlign w:val="center"/>
                </w:tcPr>
                <w:p>
                  <w:pPr>
                    <w:widowControl/>
                    <w:jc w:val="center"/>
                    <w:rPr>
                      <w:kern w:val="0"/>
                      <w:szCs w:val="21"/>
                    </w:rPr>
                  </w:pPr>
                  <w:r>
                    <w:rPr>
                      <w:rFonts w:hint="eastAsia"/>
                      <w:kern w:val="0"/>
                      <w:szCs w:val="21"/>
                    </w:rPr>
                    <w:t>曝气机</w:t>
                  </w:r>
                </w:p>
              </w:tc>
              <w:tc>
                <w:tcPr>
                  <w:tcW w:w="958" w:type="dxa"/>
                  <w:shd w:val="clear" w:color="auto" w:fill="auto"/>
                  <w:vAlign w:val="center"/>
                </w:tcPr>
                <w:p>
                  <w:pPr>
                    <w:widowControl/>
                    <w:jc w:val="center"/>
                    <w:rPr>
                      <w:kern w:val="0"/>
                      <w:szCs w:val="21"/>
                    </w:rPr>
                  </w:pPr>
                  <w:r>
                    <w:rPr>
                      <w:rFonts w:hint="eastAsia"/>
                      <w:kern w:val="0"/>
                      <w:szCs w:val="21"/>
                    </w:rPr>
                    <w:t>2</w:t>
                  </w:r>
                </w:p>
              </w:tc>
              <w:tc>
                <w:tcPr>
                  <w:tcW w:w="815" w:type="dxa"/>
                  <w:shd w:val="clear" w:color="auto" w:fill="auto"/>
                  <w:vAlign w:val="center"/>
                </w:tcPr>
                <w:p>
                  <w:pPr>
                    <w:widowControl/>
                    <w:jc w:val="center"/>
                    <w:rPr>
                      <w:kern w:val="0"/>
                      <w:szCs w:val="21"/>
                    </w:rPr>
                  </w:pPr>
                  <w:r>
                    <w:rPr>
                      <w:rFonts w:hint="eastAsia" w:hAnsi="宋体"/>
                      <w:kern w:val="0"/>
                      <w:szCs w:val="21"/>
                    </w:rPr>
                    <w:t>台</w:t>
                  </w:r>
                </w:p>
              </w:tc>
              <w:tc>
                <w:tcPr>
                  <w:tcW w:w="2833" w:type="dxa"/>
                  <w:shd w:val="clear" w:color="auto" w:fill="auto"/>
                  <w:vAlign w:val="center"/>
                </w:tcPr>
                <w:p>
                  <w:pPr>
                    <w:widowControl/>
                    <w:jc w:val="center"/>
                    <w:rPr>
                      <w:kern w:val="0"/>
                      <w:szCs w:val="21"/>
                    </w:rPr>
                  </w:pPr>
                  <w:r>
                    <w:rPr>
                      <w:rFonts w:hint="eastAsia"/>
                      <w:kern w:val="0"/>
                      <w:szCs w:val="21"/>
                    </w:rPr>
                    <w:t>4RB320.1.1KW</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676" w:type="dxa"/>
                  <w:shd w:val="clear" w:color="auto" w:fill="auto"/>
                  <w:vAlign w:val="center"/>
                </w:tcPr>
                <w:p>
                  <w:pPr>
                    <w:widowControl/>
                    <w:jc w:val="center"/>
                    <w:rPr>
                      <w:kern w:val="0"/>
                      <w:szCs w:val="21"/>
                    </w:rPr>
                  </w:pPr>
                  <w:r>
                    <w:rPr>
                      <w:kern w:val="0"/>
                      <w:szCs w:val="21"/>
                    </w:rPr>
                    <w:t>9</w:t>
                  </w:r>
                </w:p>
              </w:tc>
              <w:tc>
                <w:tcPr>
                  <w:tcW w:w="1949" w:type="dxa"/>
                  <w:vMerge w:val="continue"/>
                  <w:shd w:val="clear" w:color="auto" w:fill="auto"/>
                  <w:vAlign w:val="center"/>
                </w:tcPr>
                <w:p>
                  <w:pPr>
                    <w:widowControl/>
                    <w:jc w:val="center"/>
                    <w:rPr>
                      <w:kern w:val="0"/>
                      <w:szCs w:val="21"/>
                    </w:rPr>
                  </w:pPr>
                </w:p>
              </w:tc>
              <w:tc>
                <w:tcPr>
                  <w:tcW w:w="1670" w:type="dxa"/>
                  <w:shd w:val="clear" w:color="auto" w:fill="auto"/>
                  <w:vAlign w:val="center"/>
                </w:tcPr>
                <w:p>
                  <w:pPr>
                    <w:widowControl/>
                    <w:jc w:val="center"/>
                    <w:rPr>
                      <w:kern w:val="0"/>
                      <w:szCs w:val="21"/>
                    </w:rPr>
                  </w:pPr>
                  <w:r>
                    <w:rPr>
                      <w:rFonts w:hint="eastAsia"/>
                      <w:kern w:val="0"/>
                      <w:szCs w:val="21"/>
                    </w:rPr>
                    <w:t>澄清沉淀池污泥泵</w:t>
                  </w:r>
                </w:p>
              </w:tc>
              <w:tc>
                <w:tcPr>
                  <w:tcW w:w="958" w:type="dxa"/>
                  <w:shd w:val="clear" w:color="auto" w:fill="auto"/>
                  <w:vAlign w:val="center"/>
                </w:tcPr>
                <w:p>
                  <w:pPr>
                    <w:widowControl/>
                    <w:jc w:val="center"/>
                    <w:rPr>
                      <w:kern w:val="0"/>
                      <w:szCs w:val="21"/>
                    </w:rPr>
                  </w:pPr>
                  <w:r>
                    <w:rPr>
                      <w:kern w:val="0"/>
                      <w:szCs w:val="21"/>
                    </w:rPr>
                    <w:t>1</w:t>
                  </w:r>
                </w:p>
              </w:tc>
              <w:tc>
                <w:tcPr>
                  <w:tcW w:w="815" w:type="dxa"/>
                  <w:shd w:val="clear" w:color="auto" w:fill="auto"/>
                  <w:vAlign w:val="center"/>
                </w:tcPr>
                <w:p>
                  <w:pPr>
                    <w:widowControl/>
                    <w:jc w:val="center"/>
                    <w:rPr>
                      <w:kern w:val="0"/>
                      <w:szCs w:val="21"/>
                    </w:rPr>
                  </w:pPr>
                  <w:r>
                    <w:rPr>
                      <w:rFonts w:hint="eastAsia" w:hAnsi="宋体"/>
                      <w:kern w:val="0"/>
                      <w:szCs w:val="21"/>
                    </w:rPr>
                    <w:t>台</w:t>
                  </w:r>
                </w:p>
              </w:tc>
              <w:tc>
                <w:tcPr>
                  <w:tcW w:w="2833" w:type="dxa"/>
                  <w:shd w:val="clear" w:color="auto" w:fill="auto"/>
                  <w:vAlign w:val="center"/>
                </w:tcPr>
                <w:p>
                  <w:pPr>
                    <w:widowControl/>
                    <w:jc w:val="center"/>
                    <w:rPr>
                      <w:kern w:val="0"/>
                      <w:szCs w:val="21"/>
                    </w:rPr>
                  </w:pPr>
                  <w:r>
                    <w:rPr>
                      <w:rFonts w:hint="eastAsia"/>
                      <w:kern w:val="0"/>
                      <w:szCs w:val="21"/>
                    </w:rPr>
                    <w:t>Q=12m</w:t>
                  </w:r>
                  <w:r>
                    <w:rPr>
                      <w:rFonts w:hint="eastAsia"/>
                      <w:kern w:val="0"/>
                      <w:szCs w:val="21"/>
                      <w:vertAlign w:val="superscript"/>
                    </w:rPr>
                    <w:t>3</w:t>
                  </w:r>
                  <w:r>
                    <w:rPr>
                      <w:rFonts w:hint="eastAsia"/>
                      <w:kern w:val="0"/>
                      <w:szCs w:val="21"/>
                    </w:rPr>
                    <w:t>/h，H=8m，N=0.45KW</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676" w:type="dxa"/>
                  <w:shd w:val="clear" w:color="auto" w:fill="auto"/>
                  <w:vAlign w:val="center"/>
                </w:tcPr>
                <w:p>
                  <w:pPr>
                    <w:widowControl/>
                    <w:jc w:val="center"/>
                    <w:rPr>
                      <w:kern w:val="0"/>
                      <w:szCs w:val="21"/>
                    </w:rPr>
                  </w:pPr>
                  <w:r>
                    <w:rPr>
                      <w:kern w:val="0"/>
                      <w:szCs w:val="21"/>
                    </w:rPr>
                    <w:t>10</w:t>
                  </w:r>
                </w:p>
              </w:tc>
              <w:tc>
                <w:tcPr>
                  <w:tcW w:w="1949" w:type="dxa"/>
                  <w:vMerge w:val="continue"/>
                  <w:shd w:val="clear" w:color="auto" w:fill="auto"/>
                  <w:vAlign w:val="center"/>
                </w:tcPr>
                <w:p>
                  <w:pPr>
                    <w:widowControl/>
                    <w:jc w:val="center"/>
                    <w:rPr>
                      <w:kern w:val="0"/>
                      <w:szCs w:val="21"/>
                    </w:rPr>
                  </w:pPr>
                </w:p>
              </w:tc>
              <w:tc>
                <w:tcPr>
                  <w:tcW w:w="1670" w:type="dxa"/>
                  <w:shd w:val="clear" w:color="auto" w:fill="auto"/>
                  <w:vAlign w:val="center"/>
                </w:tcPr>
                <w:p>
                  <w:pPr>
                    <w:widowControl/>
                    <w:jc w:val="center"/>
                    <w:rPr>
                      <w:kern w:val="0"/>
                      <w:szCs w:val="21"/>
                    </w:rPr>
                  </w:pPr>
                  <w:r>
                    <w:rPr>
                      <w:rFonts w:hint="eastAsia"/>
                      <w:kern w:val="0"/>
                      <w:szCs w:val="21"/>
                    </w:rPr>
                    <w:t>防雨型全自动控制柜</w:t>
                  </w:r>
                </w:p>
              </w:tc>
              <w:tc>
                <w:tcPr>
                  <w:tcW w:w="958" w:type="dxa"/>
                  <w:shd w:val="clear" w:color="auto" w:fill="auto"/>
                  <w:vAlign w:val="center"/>
                </w:tcPr>
                <w:p>
                  <w:pPr>
                    <w:widowControl/>
                    <w:jc w:val="center"/>
                    <w:rPr>
                      <w:kern w:val="0"/>
                      <w:szCs w:val="21"/>
                    </w:rPr>
                  </w:pPr>
                  <w:r>
                    <w:rPr>
                      <w:kern w:val="0"/>
                      <w:szCs w:val="21"/>
                    </w:rPr>
                    <w:t>1</w:t>
                  </w:r>
                </w:p>
              </w:tc>
              <w:tc>
                <w:tcPr>
                  <w:tcW w:w="815" w:type="dxa"/>
                  <w:shd w:val="clear" w:color="auto" w:fill="auto"/>
                  <w:vAlign w:val="center"/>
                </w:tcPr>
                <w:p>
                  <w:pPr>
                    <w:widowControl/>
                    <w:jc w:val="center"/>
                    <w:rPr>
                      <w:kern w:val="0"/>
                      <w:szCs w:val="21"/>
                    </w:rPr>
                  </w:pPr>
                  <w:r>
                    <w:rPr>
                      <w:rFonts w:hint="eastAsia" w:hAnsi="宋体"/>
                      <w:kern w:val="0"/>
                      <w:szCs w:val="21"/>
                    </w:rPr>
                    <w:t>台</w:t>
                  </w:r>
                </w:p>
              </w:tc>
              <w:tc>
                <w:tcPr>
                  <w:tcW w:w="2833" w:type="dxa"/>
                  <w:shd w:val="clear" w:color="auto" w:fill="auto"/>
                  <w:vAlign w:val="center"/>
                </w:tcPr>
                <w:p>
                  <w:pPr>
                    <w:widowControl/>
                    <w:jc w:val="center"/>
                    <w:rPr>
                      <w:kern w:val="0"/>
                      <w:szCs w:val="21"/>
                    </w:rPr>
                  </w:pPr>
                  <w:r>
                    <w:rPr>
                      <w:rFonts w:hint="eastAsia"/>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2" w:hRule="atLeast"/>
                <w:jc w:val="center"/>
              </w:trPr>
              <w:tc>
                <w:tcPr>
                  <w:tcW w:w="676" w:type="dxa"/>
                  <w:shd w:val="clear" w:color="auto" w:fill="auto"/>
                  <w:vAlign w:val="center"/>
                </w:tcPr>
                <w:p>
                  <w:pPr>
                    <w:widowControl/>
                    <w:jc w:val="center"/>
                    <w:rPr>
                      <w:kern w:val="0"/>
                      <w:szCs w:val="21"/>
                    </w:rPr>
                  </w:pPr>
                  <w:r>
                    <w:rPr>
                      <w:rFonts w:hint="eastAsia"/>
                      <w:kern w:val="0"/>
                      <w:szCs w:val="21"/>
                    </w:rPr>
                    <w:t>11</w:t>
                  </w:r>
                </w:p>
              </w:tc>
              <w:tc>
                <w:tcPr>
                  <w:tcW w:w="1949" w:type="dxa"/>
                  <w:shd w:val="clear" w:color="auto" w:fill="auto"/>
                  <w:vAlign w:val="center"/>
                </w:tcPr>
                <w:p>
                  <w:pPr>
                    <w:widowControl/>
                    <w:jc w:val="center"/>
                    <w:rPr>
                      <w:kern w:val="0"/>
                      <w:szCs w:val="21"/>
                    </w:rPr>
                  </w:pPr>
                  <w:r>
                    <w:rPr>
                      <w:rFonts w:hint="eastAsia"/>
                      <w:kern w:val="0"/>
                      <w:szCs w:val="21"/>
                    </w:rPr>
                    <w:t>加药系统</w:t>
                  </w:r>
                </w:p>
              </w:tc>
              <w:tc>
                <w:tcPr>
                  <w:tcW w:w="1670" w:type="dxa"/>
                  <w:shd w:val="clear" w:color="auto" w:fill="auto"/>
                  <w:vAlign w:val="center"/>
                </w:tcPr>
                <w:p>
                  <w:pPr>
                    <w:widowControl/>
                    <w:jc w:val="center"/>
                    <w:rPr>
                      <w:kern w:val="0"/>
                      <w:szCs w:val="21"/>
                    </w:rPr>
                  </w:pPr>
                  <w:r>
                    <w:rPr>
                      <w:rFonts w:hint="eastAsia"/>
                      <w:kern w:val="0"/>
                      <w:szCs w:val="21"/>
                    </w:rPr>
                    <w:t>加药箱</w:t>
                  </w:r>
                </w:p>
              </w:tc>
              <w:tc>
                <w:tcPr>
                  <w:tcW w:w="958" w:type="dxa"/>
                  <w:shd w:val="clear" w:color="auto" w:fill="auto"/>
                  <w:vAlign w:val="center"/>
                </w:tcPr>
                <w:p>
                  <w:pPr>
                    <w:widowControl/>
                    <w:jc w:val="center"/>
                    <w:rPr>
                      <w:kern w:val="0"/>
                      <w:szCs w:val="21"/>
                    </w:rPr>
                  </w:pPr>
                  <w:r>
                    <w:rPr>
                      <w:rFonts w:hint="eastAsia"/>
                      <w:kern w:val="0"/>
                      <w:szCs w:val="21"/>
                    </w:rPr>
                    <w:t>1</w:t>
                  </w:r>
                </w:p>
              </w:tc>
              <w:tc>
                <w:tcPr>
                  <w:tcW w:w="815" w:type="dxa"/>
                  <w:shd w:val="clear" w:color="auto" w:fill="auto"/>
                  <w:vAlign w:val="center"/>
                </w:tcPr>
                <w:p>
                  <w:pPr>
                    <w:widowControl/>
                    <w:jc w:val="center"/>
                    <w:rPr>
                      <w:rFonts w:hAnsi="宋体"/>
                      <w:kern w:val="0"/>
                      <w:szCs w:val="21"/>
                    </w:rPr>
                  </w:pPr>
                  <w:r>
                    <w:rPr>
                      <w:rFonts w:hint="eastAsia" w:hAnsi="宋体"/>
                      <w:kern w:val="0"/>
                      <w:szCs w:val="21"/>
                    </w:rPr>
                    <w:t>台</w:t>
                  </w:r>
                </w:p>
              </w:tc>
              <w:tc>
                <w:tcPr>
                  <w:tcW w:w="2833" w:type="dxa"/>
                  <w:shd w:val="clear" w:color="auto" w:fill="auto"/>
                  <w:vAlign w:val="center"/>
                </w:tcPr>
                <w:p>
                  <w:pPr>
                    <w:widowControl/>
                    <w:jc w:val="center"/>
                    <w:rPr>
                      <w:rFonts w:hAnsi="宋体"/>
                      <w:kern w:val="0"/>
                      <w:szCs w:val="21"/>
                    </w:rPr>
                  </w:pPr>
                  <w:r>
                    <w:rPr>
                      <w:rFonts w:hint="eastAsia" w:hAnsi="宋体"/>
                      <w:kern w:val="0"/>
                      <w:szCs w:val="21"/>
                    </w:rPr>
                    <w:t>WA-JY-800</w:t>
                  </w:r>
                  <w:r>
                    <w:rPr>
                      <w:szCs w:val="21"/>
                    </w:rPr>
                    <w:t>×</w:t>
                  </w:r>
                  <w:r>
                    <w:rPr>
                      <w:rFonts w:hint="eastAsia" w:hAnsi="宋体"/>
                      <w:kern w:val="0"/>
                      <w:szCs w:val="21"/>
                    </w:rPr>
                    <w:t>1000.N=0.37KW</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86" w:hRule="atLeast"/>
                <w:jc w:val="center"/>
              </w:trPr>
              <w:tc>
                <w:tcPr>
                  <w:tcW w:w="676" w:type="dxa"/>
                  <w:shd w:val="clear" w:color="auto" w:fill="auto"/>
                  <w:vAlign w:val="center"/>
                </w:tcPr>
                <w:p>
                  <w:pPr>
                    <w:widowControl/>
                    <w:jc w:val="center"/>
                    <w:rPr>
                      <w:kern w:val="0"/>
                      <w:szCs w:val="21"/>
                    </w:rPr>
                  </w:pPr>
                  <w:r>
                    <w:rPr>
                      <w:rFonts w:hint="eastAsia"/>
                      <w:kern w:val="0"/>
                      <w:szCs w:val="21"/>
                    </w:rPr>
                    <w:t>12</w:t>
                  </w:r>
                </w:p>
              </w:tc>
              <w:tc>
                <w:tcPr>
                  <w:tcW w:w="1949" w:type="dxa"/>
                  <w:vMerge w:val="restart"/>
                  <w:shd w:val="clear" w:color="auto" w:fill="auto"/>
                  <w:vAlign w:val="center"/>
                </w:tcPr>
                <w:p>
                  <w:pPr>
                    <w:widowControl/>
                    <w:jc w:val="center"/>
                    <w:rPr>
                      <w:kern w:val="0"/>
                      <w:szCs w:val="21"/>
                    </w:rPr>
                  </w:pPr>
                  <w:r>
                    <w:rPr>
                      <w:rFonts w:hint="eastAsia"/>
                      <w:kern w:val="0"/>
                      <w:szCs w:val="21"/>
                    </w:rPr>
                    <w:t>三级处理</w:t>
                  </w:r>
                </w:p>
              </w:tc>
              <w:tc>
                <w:tcPr>
                  <w:tcW w:w="1670" w:type="dxa"/>
                  <w:shd w:val="clear" w:color="auto" w:fill="auto"/>
                  <w:vAlign w:val="center"/>
                </w:tcPr>
                <w:p>
                  <w:pPr>
                    <w:widowControl/>
                    <w:jc w:val="center"/>
                    <w:rPr>
                      <w:kern w:val="0"/>
                      <w:szCs w:val="21"/>
                    </w:rPr>
                  </w:pPr>
                  <w:r>
                    <w:rPr>
                      <w:kern w:val="0"/>
                      <w:szCs w:val="21"/>
                    </w:rPr>
                    <w:t>砂缸过滤器</w:t>
                  </w:r>
                </w:p>
              </w:tc>
              <w:tc>
                <w:tcPr>
                  <w:tcW w:w="958" w:type="dxa"/>
                  <w:shd w:val="clear" w:color="auto" w:fill="auto"/>
                  <w:vAlign w:val="center"/>
                </w:tcPr>
                <w:p>
                  <w:pPr>
                    <w:widowControl/>
                    <w:jc w:val="center"/>
                    <w:rPr>
                      <w:kern w:val="0"/>
                      <w:szCs w:val="21"/>
                    </w:rPr>
                  </w:pPr>
                  <w:r>
                    <w:rPr>
                      <w:rFonts w:hint="eastAsia"/>
                      <w:kern w:val="0"/>
                      <w:szCs w:val="21"/>
                    </w:rPr>
                    <w:t>1</w:t>
                  </w:r>
                </w:p>
              </w:tc>
              <w:tc>
                <w:tcPr>
                  <w:tcW w:w="815" w:type="dxa"/>
                  <w:shd w:val="clear" w:color="auto" w:fill="auto"/>
                  <w:vAlign w:val="center"/>
                </w:tcPr>
                <w:p>
                  <w:pPr>
                    <w:widowControl/>
                    <w:jc w:val="center"/>
                    <w:rPr>
                      <w:rFonts w:hAnsi="宋体"/>
                      <w:kern w:val="0"/>
                      <w:szCs w:val="21"/>
                    </w:rPr>
                  </w:pPr>
                  <w:r>
                    <w:rPr>
                      <w:rFonts w:hint="eastAsia" w:hAnsi="宋体"/>
                      <w:kern w:val="0"/>
                      <w:szCs w:val="21"/>
                    </w:rPr>
                    <w:t>台</w:t>
                  </w:r>
                </w:p>
              </w:tc>
              <w:tc>
                <w:tcPr>
                  <w:tcW w:w="2833" w:type="dxa"/>
                  <w:shd w:val="clear" w:color="auto" w:fill="auto"/>
                  <w:vAlign w:val="center"/>
                </w:tcPr>
                <w:p>
                  <w:pPr>
                    <w:widowControl/>
                    <w:jc w:val="center"/>
                    <w:rPr>
                      <w:rFonts w:hAnsi="宋体"/>
                      <w:kern w:val="0"/>
                      <w:szCs w:val="21"/>
                    </w:rPr>
                  </w:pPr>
                  <w:r>
                    <w:rPr>
                      <w:rFonts w:hAnsi="宋体"/>
                      <w:kern w:val="0"/>
                      <w:szCs w:val="21"/>
                    </w:rPr>
                    <w:t>玻璃钢材质罐体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76" w:hRule="atLeast"/>
                <w:jc w:val="center"/>
              </w:trPr>
              <w:tc>
                <w:tcPr>
                  <w:tcW w:w="676" w:type="dxa"/>
                  <w:shd w:val="clear" w:color="auto" w:fill="auto"/>
                  <w:vAlign w:val="center"/>
                </w:tcPr>
                <w:p>
                  <w:pPr>
                    <w:widowControl/>
                    <w:jc w:val="center"/>
                    <w:rPr>
                      <w:kern w:val="0"/>
                      <w:szCs w:val="21"/>
                    </w:rPr>
                  </w:pPr>
                  <w:r>
                    <w:rPr>
                      <w:rFonts w:hint="eastAsia"/>
                      <w:kern w:val="0"/>
                      <w:szCs w:val="21"/>
                    </w:rPr>
                    <w:t>13</w:t>
                  </w:r>
                </w:p>
              </w:tc>
              <w:tc>
                <w:tcPr>
                  <w:tcW w:w="1949" w:type="dxa"/>
                  <w:vMerge w:val="continue"/>
                  <w:shd w:val="clear" w:color="auto" w:fill="auto"/>
                  <w:vAlign w:val="center"/>
                </w:tcPr>
                <w:p>
                  <w:pPr>
                    <w:widowControl/>
                    <w:jc w:val="center"/>
                    <w:rPr>
                      <w:kern w:val="0"/>
                      <w:szCs w:val="21"/>
                    </w:rPr>
                  </w:pPr>
                </w:p>
              </w:tc>
              <w:tc>
                <w:tcPr>
                  <w:tcW w:w="1670" w:type="dxa"/>
                  <w:shd w:val="clear" w:color="auto" w:fill="auto"/>
                  <w:vAlign w:val="center"/>
                </w:tcPr>
                <w:p>
                  <w:pPr>
                    <w:widowControl/>
                    <w:jc w:val="center"/>
                    <w:rPr>
                      <w:kern w:val="0"/>
                      <w:szCs w:val="21"/>
                    </w:rPr>
                  </w:pPr>
                  <w:r>
                    <w:rPr>
                      <w:szCs w:val="21"/>
                    </w:rPr>
                    <w:t>过滤器提升泵</w:t>
                  </w:r>
                </w:p>
              </w:tc>
              <w:tc>
                <w:tcPr>
                  <w:tcW w:w="958" w:type="dxa"/>
                  <w:shd w:val="clear" w:color="auto" w:fill="auto"/>
                  <w:vAlign w:val="center"/>
                </w:tcPr>
                <w:p>
                  <w:pPr>
                    <w:widowControl/>
                    <w:jc w:val="center"/>
                    <w:rPr>
                      <w:kern w:val="0"/>
                      <w:szCs w:val="21"/>
                    </w:rPr>
                  </w:pPr>
                  <w:r>
                    <w:rPr>
                      <w:rFonts w:hint="eastAsia"/>
                      <w:kern w:val="0"/>
                      <w:szCs w:val="21"/>
                    </w:rPr>
                    <w:t>2</w:t>
                  </w:r>
                </w:p>
              </w:tc>
              <w:tc>
                <w:tcPr>
                  <w:tcW w:w="815" w:type="dxa"/>
                  <w:shd w:val="clear" w:color="auto" w:fill="auto"/>
                  <w:vAlign w:val="center"/>
                </w:tcPr>
                <w:p>
                  <w:pPr>
                    <w:widowControl/>
                    <w:jc w:val="center"/>
                    <w:rPr>
                      <w:rFonts w:hAnsi="宋体"/>
                      <w:kern w:val="0"/>
                      <w:szCs w:val="21"/>
                    </w:rPr>
                  </w:pPr>
                  <w:r>
                    <w:rPr>
                      <w:rFonts w:hint="eastAsia" w:hAnsi="宋体"/>
                      <w:kern w:val="0"/>
                      <w:szCs w:val="21"/>
                    </w:rPr>
                    <w:t>台</w:t>
                  </w:r>
                </w:p>
              </w:tc>
              <w:tc>
                <w:tcPr>
                  <w:tcW w:w="2833" w:type="dxa"/>
                  <w:shd w:val="clear" w:color="auto" w:fill="auto"/>
                  <w:vAlign w:val="center"/>
                </w:tcPr>
                <w:p>
                  <w:pPr>
                    <w:widowControl/>
                    <w:jc w:val="center"/>
                    <w:rPr>
                      <w:rFonts w:hAnsi="宋体"/>
                      <w:kern w:val="0"/>
                      <w:szCs w:val="21"/>
                    </w:rPr>
                  </w:pPr>
                  <w:r>
                    <w:rPr>
                      <w:rFonts w:hint="eastAsia"/>
                      <w:szCs w:val="21"/>
                    </w:rPr>
                    <w:t>1用1冷备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36" w:hRule="atLeast"/>
                <w:jc w:val="center"/>
              </w:trPr>
              <w:tc>
                <w:tcPr>
                  <w:tcW w:w="676" w:type="dxa"/>
                  <w:shd w:val="clear" w:color="auto" w:fill="auto"/>
                  <w:vAlign w:val="center"/>
                </w:tcPr>
                <w:p>
                  <w:pPr>
                    <w:widowControl/>
                    <w:jc w:val="center"/>
                    <w:rPr>
                      <w:kern w:val="0"/>
                      <w:szCs w:val="21"/>
                    </w:rPr>
                  </w:pPr>
                  <w:r>
                    <w:rPr>
                      <w:rFonts w:hint="eastAsia"/>
                      <w:kern w:val="0"/>
                      <w:szCs w:val="21"/>
                    </w:rPr>
                    <w:t>14</w:t>
                  </w:r>
                </w:p>
              </w:tc>
              <w:tc>
                <w:tcPr>
                  <w:tcW w:w="1949" w:type="dxa"/>
                  <w:shd w:val="clear" w:color="auto" w:fill="auto"/>
                  <w:vAlign w:val="center"/>
                </w:tcPr>
                <w:p>
                  <w:pPr>
                    <w:widowControl/>
                    <w:jc w:val="center"/>
                    <w:rPr>
                      <w:kern w:val="0"/>
                      <w:szCs w:val="21"/>
                    </w:rPr>
                  </w:pPr>
                  <w:r>
                    <w:rPr>
                      <w:rFonts w:hint="eastAsia"/>
                      <w:kern w:val="0"/>
                      <w:szCs w:val="21"/>
                    </w:rPr>
                    <w:t>紫外消毒系统</w:t>
                  </w:r>
                </w:p>
              </w:tc>
              <w:tc>
                <w:tcPr>
                  <w:tcW w:w="1670" w:type="dxa"/>
                  <w:shd w:val="clear" w:color="auto" w:fill="auto"/>
                  <w:vAlign w:val="center"/>
                </w:tcPr>
                <w:p>
                  <w:pPr>
                    <w:widowControl/>
                    <w:jc w:val="center"/>
                    <w:rPr>
                      <w:kern w:val="0"/>
                      <w:szCs w:val="21"/>
                    </w:rPr>
                  </w:pPr>
                  <w:r>
                    <w:rPr>
                      <w:rFonts w:hint="eastAsia"/>
                      <w:kern w:val="0"/>
                      <w:szCs w:val="21"/>
                    </w:rPr>
                    <w:t>紫外消毒器</w:t>
                  </w:r>
                </w:p>
              </w:tc>
              <w:tc>
                <w:tcPr>
                  <w:tcW w:w="958" w:type="dxa"/>
                  <w:shd w:val="clear" w:color="auto" w:fill="auto"/>
                  <w:vAlign w:val="center"/>
                </w:tcPr>
                <w:p>
                  <w:pPr>
                    <w:widowControl/>
                    <w:jc w:val="center"/>
                    <w:rPr>
                      <w:kern w:val="0"/>
                      <w:szCs w:val="21"/>
                    </w:rPr>
                  </w:pPr>
                  <w:r>
                    <w:rPr>
                      <w:rFonts w:hint="eastAsia"/>
                      <w:kern w:val="0"/>
                      <w:szCs w:val="21"/>
                    </w:rPr>
                    <w:t>1</w:t>
                  </w:r>
                </w:p>
              </w:tc>
              <w:tc>
                <w:tcPr>
                  <w:tcW w:w="815" w:type="dxa"/>
                  <w:shd w:val="clear" w:color="auto" w:fill="auto"/>
                  <w:vAlign w:val="center"/>
                </w:tcPr>
                <w:p>
                  <w:pPr>
                    <w:widowControl/>
                    <w:jc w:val="center"/>
                    <w:rPr>
                      <w:rFonts w:hAnsi="宋体"/>
                      <w:kern w:val="0"/>
                      <w:szCs w:val="21"/>
                    </w:rPr>
                  </w:pPr>
                  <w:r>
                    <w:rPr>
                      <w:rFonts w:hint="eastAsia" w:hAnsi="宋体"/>
                      <w:kern w:val="0"/>
                      <w:szCs w:val="21"/>
                    </w:rPr>
                    <w:t>台</w:t>
                  </w:r>
                </w:p>
              </w:tc>
              <w:tc>
                <w:tcPr>
                  <w:tcW w:w="2833" w:type="dxa"/>
                  <w:shd w:val="clear" w:color="auto" w:fill="auto"/>
                  <w:vAlign w:val="center"/>
                </w:tcPr>
                <w:p>
                  <w:pPr>
                    <w:widowControl/>
                    <w:jc w:val="center"/>
                    <w:rPr>
                      <w:rFonts w:hAnsi="宋体"/>
                      <w:kern w:val="0"/>
                      <w:szCs w:val="21"/>
                    </w:rPr>
                  </w:pPr>
                  <w:r>
                    <w:rPr>
                      <w:rFonts w:hint="eastAsia" w:hAnsi="宋体"/>
                      <w:kern w:val="0"/>
                      <w:szCs w:val="21"/>
                    </w:rPr>
                    <w:t>N=0.1KW</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36" w:hRule="atLeast"/>
                <w:jc w:val="center"/>
              </w:trPr>
              <w:tc>
                <w:tcPr>
                  <w:tcW w:w="676" w:type="dxa"/>
                  <w:shd w:val="clear" w:color="auto" w:fill="auto"/>
                  <w:vAlign w:val="center"/>
                </w:tcPr>
                <w:p>
                  <w:pPr>
                    <w:widowControl/>
                    <w:jc w:val="center"/>
                    <w:rPr>
                      <w:kern w:val="0"/>
                      <w:szCs w:val="21"/>
                    </w:rPr>
                  </w:pPr>
                  <w:r>
                    <w:rPr>
                      <w:rFonts w:hint="eastAsia"/>
                      <w:kern w:val="0"/>
                      <w:szCs w:val="21"/>
                    </w:rPr>
                    <w:t>15</w:t>
                  </w:r>
                </w:p>
              </w:tc>
              <w:tc>
                <w:tcPr>
                  <w:tcW w:w="1949" w:type="dxa"/>
                  <w:shd w:val="clear" w:color="auto" w:fill="auto"/>
                  <w:vAlign w:val="center"/>
                </w:tcPr>
                <w:p>
                  <w:pPr>
                    <w:widowControl/>
                    <w:jc w:val="center"/>
                    <w:rPr>
                      <w:kern w:val="0"/>
                      <w:szCs w:val="21"/>
                    </w:rPr>
                  </w:pPr>
                  <w:r>
                    <w:rPr>
                      <w:kern w:val="0"/>
                      <w:szCs w:val="21"/>
                    </w:rPr>
                    <w:t>电磁式流量计</w:t>
                  </w:r>
                </w:p>
              </w:tc>
              <w:tc>
                <w:tcPr>
                  <w:tcW w:w="1670" w:type="dxa"/>
                  <w:shd w:val="clear" w:color="auto" w:fill="auto"/>
                  <w:vAlign w:val="center"/>
                </w:tcPr>
                <w:p>
                  <w:pPr>
                    <w:widowControl/>
                    <w:jc w:val="center"/>
                    <w:rPr>
                      <w:kern w:val="0"/>
                      <w:szCs w:val="21"/>
                    </w:rPr>
                  </w:pPr>
                  <w:r>
                    <w:rPr>
                      <w:kern w:val="0"/>
                      <w:szCs w:val="21"/>
                    </w:rPr>
                    <w:t>电磁式流量计</w:t>
                  </w:r>
                </w:p>
              </w:tc>
              <w:tc>
                <w:tcPr>
                  <w:tcW w:w="958" w:type="dxa"/>
                  <w:shd w:val="clear" w:color="auto" w:fill="auto"/>
                  <w:vAlign w:val="center"/>
                </w:tcPr>
                <w:p>
                  <w:pPr>
                    <w:widowControl/>
                    <w:jc w:val="center"/>
                    <w:rPr>
                      <w:kern w:val="0"/>
                      <w:szCs w:val="21"/>
                    </w:rPr>
                  </w:pPr>
                  <w:r>
                    <w:rPr>
                      <w:rFonts w:hint="eastAsia"/>
                      <w:kern w:val="0"/>
                      <w:szCs w:val="21"/>
                    </w:rPr>
                    <w:t>1</w:t>
                  </w:r>
                </w:p>
              </w:tc>
              <w:tc>
                <w:tcPr>
                  <w:tcW w:w="815" w:type="dxa"/>
                  <w:shd w:val="clear" w:color="auto" w:fill="auto"/>
                  <w:vAlign w:val="center"/>
                </w:tcPr>
                <w:p>
                  <w:pPr>
                    <w:widowControl/>
                    <w:jc w:val="center"/>
                    <w:rPr>
                      <w:rFonts w:hAnsi="宋体"/>
                      <w:kern w:val="0"/>
                      <w:szCs w:val="21"/>
                    </w:rPr>
                  </w:pPr>
                  <w:r>
                    <w:rPr>
                      <w:rFonts w:hint="eastAsia" w:hAnsi="宋体"/>
                      <w:kern w:val="0"/>
                      <w:szCs w:val="21"/>
                    </w:rPr>
                    <w:t>台</w:t>
                  </w:r>
                </w:p>
              </w:tc>
              <w:tc>
                <w:tcPr>
                  <w:tcW w:w="2833" w:type="dxa"/>
                  <w:shd w:val="clear" w:color="auto" w:fill="auto"/>
                  <w:vAlign w:val="center"/>
                </w:tcPr>
                <w:p>
                  <w:pPr>
                    <w:widowControl/>
                    <w:jc w:val="center"/>
                    <w:rPr>
                      <w:rFonts w:hAnsi="宋体"/>
                      <w:kern w:val="0"/>
                      <w:szCs w:val="21"/>
                    </w:rPr>
                  </w:pPr>
                  <w:r>
                    <w:rPr>
                      <w:rFonts w:hint="eastAsia" w:hAnsi="宋体"/>
                      <w:kern w:val="0"/>
                      <w:szCs w:val="21"/>
                    </w:rPr>
                    <w:t>/</w:t>
                  </w:r>
                </w:p>
              </w:tc>
            </w:tr>
          </w:tbl>
          <w:p>
            <w:pPr>
              <w:autoSpaceDE w:val="0"/>
              <w:autoSpaceDN w:val="0"/>
              <w:adjustRightInd w:val="0"/>
              <w:spacing w:line="360" w:lineRule="auto"/>
              <w:ind w:firstLine="480" w:firstLineChars="200"/>
              <w:rPr>
                <w:sz w:val="24"/>
                <w:szCs w:val="28"/>
              </w:rPr>
            </w:pPr>
            <w:r>
              <w:rPr>
                <w:sz w:val="24"/>
                <w:szCs w:val="28"/>
              </w:rPr>
              <w:t>（</w:t>
            </w:r>
            <w:r>
              <w:rPr>
                <w:rFonts w:hint="eastAsia"/>
                <w:sz w:val="24"/>
                <w:szCs w:val="28"/>
              </w:rPr>
              <w:t>3</w:t>
            </w:r>
            <w:r>
              <w:rPr>
                <w:sz w:val="24"/>
                <w:szCs w:val="28"/>
              </w:rPr>
              <w:t>）工程投资</w:t>
            </w:r>
          </w:p>
          <w:p>
            <w:pPr>
              <w:autoSpaceDE w:val="0"/>
              <w:autoSpaceDN w:val="0"/>
              <w:adjustRightInd w:val="0"/>
              <w:spacing w:line="360" w:lineRule="auto"/>
              <w:ind w:firstLine="480" w:firstLineChars="200"/>
              <w:rPr>
                <w:sz w:val="24"/>
                <w:szCs w:val="28"/>
              </w:rPr>
            </w:pPr>
            <w:r>
              <w:rPr>
                <w:rFonts w:hint="eastAsia"/>
                <w:sz w:val="24"/>
                <w:szCs w:val="28"/>
              </w:rPr>
              <w:t>本项目总投资872.58万元，资金来源为政府出资800万元，太昌镇自筹72.58万元。</w:t>
            </w:r>
          </w:p>
          <w:p>
            <w:pPr>
              <w:autoSpaceDE w:val="0"/>
              <w:autoSpaceDN w:val="0"/>
              <w:adjustRightInd w:val="0"/>
              <w:spacing w:line="360" w:lineRule="auto"/>
              <w:ind w:firstLine="480" w:firstLineChars="200"/>
              <w:rPr>
                <w:sz w:val="24"/>
                <w:szCs w:val="28"/>
              </w:rPr>
            </w:pPr>
            <w:r>
              <w:rPr>
                <w:sz w:val="24"/>
                <w:szCs w:val="28"/>
              </w:rPr>
              <w:t>（</w:t>
            </w:r>
            <w:r>
              <w:rPr>
                <w:rFonts w:hint="eastAsia"/>
                <w:sz w:val="24"/>
                <w:szCs w:val="28"/>
              </w:rPr>
              <w:t>4</w:t>
            </w:r>
            <w:r>
              <w:rPr>
                <w:sz w:val="24"/>
                <w:szCs w:val="28"/>
              </w:rPr>
              <w:t>）劳动定员及工作制度</w:t>
            </w:r>
          </w:p>
          <w:p>
            <w:pPr>
              <w:autoSpaceDE w:val="0"/>
              <w:autoSpaceDN w:val="0"/>
              <w:adjustRightInd w:val="0"/>
              <w:spacing w:line="360" w:lineRule="auto"/>
              <w:ind w:firstLine="480" w:firstLineChars="200"/>
              <w:rPr>
                <w:sz w:val="24"/>
                <w:szCs w:val="28"/>
              </w:rPr>
            </w:pPr>
            <w:r>
              <w:rPr>
                <w:sz w:val="24"/>
                <w:szCs w:val="28"/>
              </w:rPr>
              <w:t>根据</w:t>
            </w:r>
            <w:r>
              <w:rPr>
                <w:rFonts w:hint="eastAsia"/>
                <w:sz w:val="24"/>
                <w:szCs w:val="28"/>
              </w:rPr>
              <w:t>项目建设内容，运营期仅污水站需工作人员，根据其</w:t>
            </w:r>
            <w:r>
              <w:rPr>
                <w:sz w:val="24"/>
                <w:szCs w:val="28"/>
              </w:rPr>
              <w:t>工艺需求，</w:t>
            </w:r>
            <w:r>
              <w:rPr>
                <w:rFonts w:hint="eastAsia"/>
                <w:sz w:val="24"/>
                <w:szCs w:val="28"/>
              </w:rPr>
              <w:t>仅需1名兼职管理员负责设备的日常巡检工作。</w:t>
            </w:r>
          </w:p>
          <w:p>
            <w:pPr>
              <w:autoSpaceDE w:val="0"/>
              <w:autoSpaceDN w:val="0"/>
              <w:adjustRightInd w:val="0"/>
              <w:spacing w:line="360" w:lineRule="auto"/>
              <w:ind w:firstLine="480" w:firstLineChars="200"/>
              <w:rPr>
                <w:sz w:val="24"/>
                <w:szCs w:val="28"/>
              </w:rPr>
            </w:pPr>
            <w:r>
              <w:rPr>
                <w:sz w:val="24"/>
                <w:szCs w:val="28"/>
              </w:rPr>
              <w:t>（</w:t>
            </w:r>
            <w:r>
              <w:rPr>
                <w:rFonts w:hint="eastAsia"/>
                <w:sz w:val="24"/>
                <w:szCs w:val="28"/>
              </w:rPr>
              <w:t>5</w:t>
            </w:r>
            <w:r>
              <w:rPr>
                <w:sz w:val="24"/>
                <w:szCs w:val="28"/>
              </w:rPr>
              <w:t>）建设周期与进度</w:t>
            </w:r>
          </w:p>
          <w:p>
            <w:pPr>
              <w:autoSpaceDE w:val="0"/>
              <w:autoSpaceDN w:val="0"/>
              <w:adjustRightInd w:val="0"/>
              <w:spacing w:line="360" w:lineRule="auto"/>
              <w:ind w:firstLine="480" w:firstLineChars="200"/>
              <w:rPr>
                <w:sz w:val="24"/>
                <w:szCs w:val="28"/>
              </w:rPr>
            </w:pPr>
            <w:r>
              <w:rPr>
                <w:rFonts w:hint="eastAsia"/>
                <w:sz w:val="24"/>
                <w:szCs w:val="28"/>
              </w:rPr>
              <w:t>项目建设、安装调试及试运行期8个月（2019年1月-2019年8月）。</w:t>
            </w:r>
          </w:p>
          <w:p>
            <w:pPr>
              <w:autoSpaceDE w:val="0"/>
              <w:autoSpaceDN w:val="0"/>
              <w:adjustRightInd w:val="0"/>
              <w:spacing w:line="360" w:lineRule="auto"/>
              <w:ind w:firstLine="482" w:firstLineChars="200"/>
              <w:rPr>
                <w:b/>
                <w:sz w:val="24"/>
                <w:szCs w:val="28"/>
              </w:rPr>
            </w:pPr>
            <w:r>
              <w:rPr>
                <w:rFonts w:hint="eastAsia"/>
                <w:b/>
                <w:sz w:val="24"/>
                <w:szCs w:val="28"/>
              </w:rPr>
              <w:t>6、原（辅）材料及能源消耗</w:t>
            </w:r>
          </w:p>
          <w:p>
            <w:pPr>
              <w:autoSpaceDE w:val="0"/>
              <w:autoSpaceDN w:val="0"/>
              <w:adjustRightInd w:val="0"/>
              <w:spacing w:line="360" w:lineRule="auto"/>
              <w:ind w:firstLine="480" w:firstLineChars="200"/>
              <w:rPr>
                <w:sz w:val="24"/>
                <w:szCs w:val="28"/>
              </w:rPr>
            </w:pPr>
            <w:r>
              <w:rPr>
                <w:rFonts w:hint="eastAsia"/>
                <w:sz w:val="24"/>
                <w:szCs w:val="28"/>
              </w:rPr>
              <w:t>本项目运行期所需的原（辅）材料及能源消耗情况见表6。</w:t>
            </w:r>
          </w:p>
          <w:p>
            <w:pPr>
              <w:autoSpaceDE w:val="0"/>
              <w:autoSpaceDN w:val="0"/>
              <w:adjustRightInd w:val="0"/>
              <w:spacing w:line="360" w:lineRule="auto"/>
              <w:ind w:firstLine="422" w:firstLineChars="200"/>
              <w:jc w:val="center"/>
              <w:rPr>
                <w:b/>
                <w:szCs w:val="21"/>
              </w:rPr>
            </w:pPr>
            <w:r>
              <w:rPr>
                <w:rFonts w:hint="eastAsia"/>
                <w:b/>
                <w:szCs w:val="21"/>
              </w:rPr>
              <w:t>表6  本项目原（辅）材料及能源消耗情况一览表</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59"/>
              <w:gridCol w:w="661"/>
              <w:gridCol w:w="1559"/>
              <w:gridCol w:w="1134"/>
              <w:gridCol w:w="1276"/>
              <w:gridCol w:w="1992"/>
              <w:gridCol w:w="15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61" w:hRule="atLeast"/>
                <w:jc w:val="center"/>
              </w:trPr>
              <w:tc>
                <w:tcPr>
                  <w:tcW w:w="759" w:type="dxa"/>
                  <w:vAlign w:val="center"/>
                </w:tcPr>
                <w:p>
                  <w:pPr>
                    <w:jc w:val="center"/>
                    <w:rPr>
                      <w:b/>
                      <w:sz w:val="20"/>
                    </w:rPr>
                  </w:pPr>
                  <w:r>
                    <w:rPr>
                      <w:b/>
                      <w:sz w:val="20"/>
                    </w:rPr>
                    <w:t>序号</w:t>
                  </w:r>
                </w:p>
              </w:tc>
              <w:tc>
                <w:tcPr>
                  <w:tcW w:w="2220" w:type="dxa"/>
                  <w:gridSpan w:val="2"/>
                  <w:vAlign w:val="center"/>
                </w:tcPr>
                <w:p>
                  <w:pPr>
                    <w:jc w:val="center"/>
                    <w:rPr>
                      <w:b/>
                      <w:sz w:val="20"/>
                    </w:rPr>
                  </w:pPr>
                  <w:r>
                    <w:rPr>
                      <w:b/>
                      <w:sz w:val="20"/>
                    </w:rPr>
                    <w:t>原、辅材料名称</w:t>
                  </w:r>
                </w:p>
              </w:tc>
              <w:tc>
                <w:tcPr>
                  <w:tcW w:w="1134" w:type="dxa"/>
                  <w:vAlign w:val="center"/>
                </w:tcPr>
                <w:p>
                  <w:pPr>
                    <w:jc w:val="center"/>
                    <w:rPr>
                      <w:b/>
                      <w:sz w:val="20"/>
                    </w:rPr>
                  </w:pPr>
                  <w:r>
                    <w:rPr>
                      <w:b/>
                      <w:sz w:val="20"/>
                    </w:rPr>
                    <w:t>单位</w:t>
                  </w:r>
                </w:p>
              </w:tc>
              <w:tc>
                <w:tcPr>
                  <w:tcW w:w="1276" w:type="dxa"/>
                  <w:vAlign w:val="center"/>
                </w:tcPr>
                <w:p>
                  <w:pPr>
                    <w:jc w:val="center"/>
                    <w:rPr>
                      <w:b/>
                      <w:sz w:val="20"/>
                    </w:rPr>
                  </w:pPr>
                  <w:r>
                    <w:rPr>
                      <w:b/>
                      <w:sz w:val="20"/>
                    </w:rPr>
                    <w:t>需求量</w:t>
                  </w:r>
                </w:p>
              </w:tc>
              <w:tc>
                <w:tcPr>
                  <w:tcW w:w="1992" w:type="dxa"/>
                  <w:vAlign w:val="center"/>
                </w:tcPr>
                <w:p>
                  <w:pPr>
                    <w:jc w:val="center"/>
                    <w:rPr>
                      <w:b/>
                      <w:sz w:val="20"/>
                    </w:rPr>
                  </w:pPr>
                  <w:r>
                    <w:rPr>
                      <w:b/>
                      <w:sz w:val="20"/>
                    </w:rPr>
                    <w:t>来源</w:t>
                  </w:r>
                </w:p>
              </w:tc>
              <w:tc>
                <w:tcPr>
                  <w:tcW w:w="1520" w:type="dxa"/>
                  <w:vAlign w:val="center"/>
                </w:tcPr>
                <w:p>
                  <w:pPr>
                    <w:jc w:val="center"/>
                    <w:rPr>
                      <w:b/>
                      <w:sz w:val="20"/>
                    </w:rPr>
                  </w:pPr>
                  <w:r>
                    <w:rPr>
                      <w:b/>
                      <w:sz w:val="20"/>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759" w:type="dxa"/>
                  <w:vAlign w:val="center"/>
                </w:tcPr>
                <w:p>
                  <w:pPr>
                    <w:widowControl/>
                    <w:jc w:val="center"/>
                    <w:rPr>
                      <w:sz w:val="20"/>
                    </w:rPr>
                  </w:pPr>
                  <w:r>
                    <w:rPr>
                      <w:rFonts w:hint="eastAsia"/>
                      <w:sz w:val="20"/>
                    </w:rPr>
                    <w:t>1</w:t>
                  </w:r>
                </w:p>
              </w:tc>
              <w:tc>
                <w:tcPr>
                  <w:tcW w:w="2220" w:type="dxa"/>
                  <w:gridSpan w:val="2"/>
                  <w:vAlign w:val="center"/>
                </w:tcPr>
                <w:p>
                  <w:pPr>
                    <w:jc w:val="center"/>
                    <w:rPr>
                      <w:sz w:val="20"/>
                    </w:rPr>
                  </w:pPr>
                  <w:r>
                    <w:rPr>
                      <w:rFonts w:hint="eastAsia"/>
                      <w:sz w:val="20"/>
                    </w:rPr>
                    <w:t>石英砂滤膜</w:t>
                  </w:r>
                </w:p>
              </w:tc>
              <w:tc>
                <w:tcPr>
                  <w:tcW w:w="1134" w:type="dxa"/>
                  <w:vAlign w:val="center"/>
                </w:tcPr>
                <w:p>
                  <w:pPr>
                    <w:jc w:val="center"/>
                    <w:rPr>
                      <w:sz w:val="20"/>
                    </w:rPr>
                  </w:pPr>
                  <w:r>
                    <w:rPr>
                      <w:sz w:val="20"/>
                    </w:rPr>
                    <w:t>套/a</w:t>
                  </w:r>
                </w:p>
              </w:tc>
              <w:tc>
                <w:tcPr>
                  <w:tcW w:w="1276" w:type="dxa"/>
                  <w:vAlign w:val="center"/>
                </w:tcPr>
                <w:p>
                  <w:pPr>
                    <w:jc w:val="center"/>
                    <w:rPr>
                      <w:sz w:val="20"/>
                    </w:rPr>
                  </w:pPr>
                  <w:r>
                    <w:rPr>
                      <w:sz w:val="20"/>
                    </w:rPr>
                    <w:t>1套/</w:t>
                  </w:r>
                  <w:r>
                    <w:rPr>
                      <w:rFonts w:hint="eastAsia"/>
                      <w:sz w:val="20"/>
                    </w:rPr>
                    <w:t>5</w:t>
                  </w:r>
                  <w:r>
                    <w:rPr>
                      <w:sz w:val="20"/>
                    </w:rPr>
                    <w:t>a</w:t>
                  </w:r>
                </w:p>
              </w:tc>
              <w:tc>
                <w:tcPr>
                  <w:tcW w:w="1992" w:type="dxa"/>
                  <w:vAlign w:val="center"/>
                </w:tcPr>
                <w:p>
                  <w:pPr>
                    <w:jc w:val="center"/>
                    <w:rPr>
                      <w:sz w:val="20"/>
                    </w:rPr>
                  </w:pPr>
                  <w:r>
                    <w:rPr>
                      <w:sz w:val="20"/>
                    </w:rPr>
                    <w:t>外购</w:t>
                  </w:r>
                </w:p>
              </w:tc>
              <w:tc>
                <w:tcPr>
                  <w:tcW w:w="1520" w:type="dxa"/>
                  <w:vAlign w:val="center"/>
                </w:tcPr>
                <w:p>
                  <w:pPr>
                    <w:jc w:val="center"/>
                    <w:rPr>
                      <w:sz w:val="20"/>
                    </w:rPr>
                  </w:pPr>
                  <w:r>
                    <w:rPr>
                      <w:sz w:val="2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92" w:hRule="atLeast"/>
                <w:jc w:val="center"/>
              </w:trPr>
              <w:tc>
                <w:tcPr>
                  <w:tcW w:w="759" w:type="dxa"/>
                  <w:vMerge w:val="restart"/>
                  <w:vAlign w:val="center"/>
                </w:tcPr>
                <w:p>
                  <w:pPr>
                    <w:widowControl/>
                    <w:jc w:val="center"/>
                    <w:rPr>
                      <w:sz w:val="20"/>
                    </w:rPr>
                  </w:pPr>
                  <w:r>
                    <w:rPr>
                      <w:rFonts w:hint="eastAsia"/>
                      <w:sz w:val="20"/>
                    </w:rPr>
                    <w:t>2</w:t>
                  </w:r>
                </w:p>
              </w:tc>
              <w:tc>
                <w:tcPr>
                  <w:tcW w:w="661" w:type="dxa"/>
                  <w:vMerge w:val="restart"/>
                  <w:vAlign w:val="center"/>
                </w:tcPr>
                <w:p>
                  <w:pPr>
                    <w:jc w:val="center"/>
                    <w:rPr>
                      <w:sz w:val="20"/>
                    </w:rPr>
                  </w:pPr>
                  <w:r>
                    <w:rPr>
                      <w:rFonts w:hint="eastAsia"/>
                      <w:sz w:val="20"/>
                    </w:rPr>
                    <w:t>药品</w:t>
                  </w:r>
                </w:p>
              </w:tc>
              <w:tc>
                <w:tcPr>
                  <w:tcW w:w="1559" w:type="dxa"/>
                  <w:vAlign w:val="center"/>
                </w:tcPr>
                <w:p>
                  <w:pPr>
                    <w:jc w:val="center"/>
                    <w:rPr>
                      <w:sz w:val="20"/>
                    </w:rPr>
                  </w:pPr>
                  <w:r>
                    <w:rPr>
                      <w:bCs/>
                      <w:sz w:val="20"/>
                    </w:rPr>
                    <w:t>聚丙烯酰胺</w:t>
                  </w:r>
                </w:p>
              </w:tc>
              <w:tc>
                <w:tcPr>
                  <w:tcW w:w="1134" w:type="dxa"/>
                  <w:vMerge w:val="restart"/>
                  <w:vAlign w:val="center"/>
                </w:tcPr>
                <w:p>
                  <w:pPr>
                    <w:jc w:val="center"/>
                    <w:rPr>
                      <w:sz w:val="20"/>
                    </w:rPr>
                  </w:pPr>
                  <w:r>
                    <w:rPr>
                      <w:rFonts w:hint="eastAsia"/>
                      <w:sz w:val="20"/>
                    </w:rPr>
                    <w:t>t</w:t>
                  </w:r>
                  <w:r>
                    <w:rPr>
                      <w:sz w:val="20"/>
                    </w:rPr>
                    <w:t>/a</w:t>
                  </w:r>
                </w:p>
              </w:tc>
              <w:tc>
                <w:tcPr>
                  <w:tcW w:w="1276" w:type="dxa"/>
                  <w:vMerge w:val="restart"/>
                  <w:vAlign w:val="center"/>
                </w:tcPr>
                <w:p>
                  <w:pPr>
                    <w:jc w:val="center"/>
                    <w:rPr>
                      <w:sz w:val="20"/>
                    </w:rPr>
                  </w:pPr>
                  <w:r>
                    <w:rPr>
                      <w:rFonts w:hint="eastAsia"/>
                      <w:sz w:val="20"/>
                    </w:rPr>
                    <w:t>7.3</w:t>
                  </w:r>
                </w:p>
              </w:tc>
              <w:tc>
                <w:tcPr>
                  <w:tcW w:w="1992" w:type="dxa"/>
                  <w:vMerge w:val="restart"/>
                  <w:vAlign w:val="center"/>
                </w:tcPr>
                <w:p>
                  <w:pPr>
                    <w:jc w:val="center"/>
                    <w:rPr>
                      <w:sz w:val="20"/>
                    </w:rPr>
                  </w:pPr>
                  <w:r>
                    <w:rPr>
                      <w:sz w:val="20"/>
                    </w:rPr>
                    <w:t>外购</w:t>
                  </w:r>
                </w:p>
              </w:tc>
              <w:tc>
                <w:tcPr>
                  <w:tcW w:w="1520" w:type="dxa"/>
                  <w:vMerge w:val="restart"/>
                  <w:vAlign w:val="center"/>
                </w:tcPr>
                <w:p>
                  <w:pPr>
                    <w:jc w:val="center"/>
                    <w:rPr>
                      <w:sz w:val="20"/>
                    </w:rPr>
                  </w:pPr>
                  <w:r>
                    <w:rPr>
                      <w:rFonts w:hint="eastAsia"/>
                      <w:sz w:val="20"/>
                    </w:rPr>
                    <w:t>储存于设备间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91" w:hRule="atLeast"/>
                <w:jc w:val="center"/>
              </w:trPr>
              <w:tc>
                <w:tcPr>
                  <w:tcW w:w="759" w:type="dxa"/>
                  <w:vMerge w:val="continue"/>
                  <w:vAlign w:val="center"/>
                </w:tcPr>
                <w:p>
                  <w:pPr>
                    <w:widowControl/>
                    <w:jc w:val="center"/>
                    <w:rPr>
                      <w:sz w:val="20"/>
                    </w:rPr>
                  </w:pPr>
                </w:p>
              </w:tc>
              <w:tc>
                <w:tcPr>
                  <w:tcW w:w="661" w:type="dxa"/>
                  <w:vMerge w:val="continue"/>
                  <w:vAlign w:val="center"/>
                </w:tcPr>
                <w:p>
                  <w:pPr>
                    <w:jc w:val="center"/>
                    <w:rPr>
                      <w:sz w:val="20"/>
                    </w:rPr>
                  </w:pPr>
                </w:p>
              </w:tc>
              <w:tc>
                <w:tcPr>
                  <w:tcW w:w="1559" w:type="dxa"/>
                  <w:vAlign w:val="center"/>
                </w:tcPr>
                <w:p>
                  <w:pPr>
                    <w:jc w:val="center"/>
                    <w:rPr>
                      <w:sz w:val="20"/>
                    </w:rPr>
                  </w:pPr>
                  <w:r>
                    <w:rPr>
                      <w:rFonts w:hint="eastAsia"/>
                      <w:bCs/>
                      <w:sz w:val="20"/>
                    </w:rPr>
                    <w:t>聚合氯化铝</w:t>
                  </w:r>
                </w:p>
              </w:tc>
              <w:tc>
                <w:tcPr>
                  <w:tcW w:w="1134" w:type="dxa"/>
                  <w:vMerge w:val="continue"/>
                  <w:vAlign w:val="center"/>
                </w:tcPr>
                <w:p>
                  <w:pPr>
                    <w:jc w:val="center"/>
                    <w:rPr>
                      <w:sz w:val="20"/>
                    </w:rPr>
                  </w:pPr>
                </w:p>
              </w:tc>
              <w:tc>
                <w:tcPr>
                  <w:tcW w:w="1276" w:type="dxa"/>
                  <w:vMerge w:val="continue"/>
                  <w:vAlign w:val="center"/>
                </w:tcPr>
                <w:p>
                  <w:pPr>
                    <w:jc w:val="center"/>
                    <w:rPr>
                      <w:sz w:val="20"/>
                    </w:rPr>
                  </w:pPr>
                </w:p>
              </w:tc>
              <w:tc>
                <w:tcPr>
                  <w:tcW w:w="1992" w:type="dxa"/>
                  <w:vMerge w:val="continue"/>
                  <w:vAlign w:val="center"/>
                </w:tcPr>
                <w:p>
                  <w:pPr>
                    <w:jc w:val="center"/>
                    <w:rPr>
                      <w:sz w:val="20"/>
                    </w:rPr>
                  </w:pPr>
                </w:p>
              </w:tc>
              <w:tc>
                <w:tcPr>
                  <w:tcW w:w="1520" w:type="dxa"/>
                  <w:vMerge w:val="continue"/>
                  <w:vAlign w:val="center"/>
                </w:tcPr>
                <w:p>
                  <w:pPr>
                    <w:jc w:val="center"/>
                    <w:rPr>
                      <w:sz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91" w:hRule="atLeast"/>
                <w:jc w:val="center"/>
              </w:trPr>
              <w:tc>
                <w:tcPr>
                  <w:tcW w:w="759" w:type="dxa"/>
                  <w:vAlign w:val="center"/>
                </w:tcPr>
                <w:p>
                  <w:pPr>
                    <w:widowControl/>
                    <w:jc w:val="center"/>
                    <w:rPr>
                      <w:sz w:val="20"/>
                      <w:highlight w:val="lightGray"/>
                    </w:rPr>
                  </w:pPr>
                  <w:r>
                    <w:rPr>
                      <w:rFonts w:hint="eastAsia"/>
                      <w:sz w:val="20"/>
                      <w:highlight w:val="lightGray"/>
                    </w:rPr>
                    <w:t>3</w:t>
                  </w:r>
                </w:p>
              </w:tc>
              <w:tc>
                <w:tcPr>
                  <w:tcW w:w="2220" w:type="dxa"/>
                  <w:gridSpan w:val="2"/>
                  <w:vAlign w:val="center"/>
                </w:tcPr>
                <w:p>
                  <w:pPr>
                    <w:jc w:val="center"/>
                    <w:rPr>
                      <w:bCs/>
                      <w:sz w:val="20"/>
                      <w:highlight w:val="lightGray"/>
                    </w:rPr>
                  </w:pPr>
                  <w:r>
                    <w:rPr>
                      <w:rFonts w:hint="eastAsia"/>
                      <w:bCs/>
                      <w:sz w:val="20"/>
                      <w:highlight w:val="lightGray"/>
                    </w:rPr>
                    <w:t>紫外杀菌灯</w:t>
                  </w:r>
                </w:p>
              </w:tc>
              <w:tc>
                <w:tcPr>
                  <w:tcW w:w="1134" w:type="dxa"/>
                  <w:vAlign w:val="center"/>
                </w:tcPr>
                <w:p>
                  <w:pPr>
                    <w:jc w:val="center"/>
                    <w:rPr>
                      <w:sz w:val="20"/>
                      <w:highlight w:val="lightGray"/>
                    </w:rPr>
                  </w:pPr>
                  <w:r>
                    <w:rPr>
                      <w:rFonts w:hint="eastAsia"/>
                      <w:sz w:val="20"/>
                      <w:highlight w:val="lightGray"/>
                    </w:rPr>
                    <w:t>套/a</w:t>
                  </w:r>
                </w:p>
              </w:tc>
              <w:tc>
                <w:tcPr>
                  <w:tcW w:w="1276" w:type="dxa"/>
                  <w:vAlign w:val="center"/>
                </w:tcPr>
                <w:p>
                  <w:pPr>
                    <w:jc w:val="center"/>
                    <w:rPr>
                      <w:sz w:val="20"/>
                      <w:highlight w:val="lightGray"/>
                    </w:rPr>
                  </w:pPr>
                  <w:r>
                    <w:rPr>
                      <w:rFonts w:hint="eastAsia"/>
                      <w:sz w:val="20"/>
                      <w:highlight w:val="lightGray"/>
                    </w:rPr>
                    <w:t>1</w:t>
                  </w:r>
                </w:p>
              </w:tc>
              <w:tc>
                <w:tcPr>
                  <w:tcW w:w="1992" w:type="dxa"/>
                  <w:vAlign w:val="center"/>
                </w:tcPr>
                <w:p>
                  <w:pPr>
                    <w:jc w:val="center"/>
                    <w:rPr>
                      <w:sz w:val="20"/>
                      <w:highlight w:val="lightGray"/>
                    </w:rPr>
                  </w:pPr>
                  <w:r>
                    <w:rPr>
                      <w:rFonts w:hint="eastAsia"/>
                      <w:sz w:val="20"/>
                      <w:highlight w:val="lightGray"/>
                    </w:rPr>
                    <w:t>外购</w:t>
                  </w:r>
                </w:p>
              </w:tc>
              <w:tc>
                <w:tcPr>
                  <w:tcW w:w="1520" w:type="dxa"/>
                  <w:vAlign w:val="center"/>
                </w:tcPr>
                <w:p>
                  <w:pPr>
                    <w:jc w:val="center"/>
                    <w:rPr>
                      <w:sz w:val="20"/>
                      <w:highlight w:val="lightGray"/>
                    </w:rPr>
                  </w:pPr>
                  <w:r>
                    <w:rPr>
                      <w:rFonts w:hint="eastAsia"/>
                      <w:sz w:val="20"/>
                      <w:highlight w:val="lightGray"/>
                    </w:rPr>
                    <w:t>寿命8000~9000h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759" w:type="dxa"/>
                  <w:vAlign w:val="center"/>
                </w:tcPr>
                <w:p>
                  <w:pPr>
                    <w:widowControl/>
                    <w:jc w:val="center"/>
                    <w:rPr>
                      <w:sz w:val="20"/>
                    </w:rPr>
                  </w:pPr>
                  <w:r>
                    <w:rPr>
                      <w:rFonts w:hint="eastAsia"/>
                      <w:sz w:val="20"/>
                    </w:rPr>
                    <w:t>4</w:t>
                  </w:r>
                </w:p>
              </w:tc>
              <w:tc>
                <w:tcPr>
                  <w:tcW w:w="2220" w:type="dxa"/>
                  <w:gridSpan w:val="2"/>
                  <w:vAlign w:val="center"/>
                </w:tcPr>
                <w:p>
                  <w:pPr>
                    <w:jc w:val="center"/>
                    <w:rPr>
                      <w:sz w:val="20"/>
                    </w:rPr>
                  </w:pPr>
                  <w:r>
                    <w:rPr>
                      <w:sz w:val="20"/>
                    </w:rPr>
                    <w:t>水</w:t>
                  </w:r>
                </w:p>
              </w:tc>
              <w:tc>
                <w:tcPr>
                  <w:tcW w:w="1134" w:type="dxa"/>
                  <w:vAlign w:val="center"/>
                </w:tcPr>
                <w:p>
                  <w:pPr>
                    <w:jc w:val="center"/>
                    <w:rPr>
                      <w:sz w:val="20"/>
                    </w:rPr>
                  </w:pPr>
                  <w:r>
                    <w:rPr>
                      <w:rFonts w:hint="eastAsia"/>
                      <w:sz w:val="20"/>
                    </w:rPr>
                    <w:t>m</w:t>
                  </w:r>
                  <w:r>
                    <w:rPr>
                      <w:rFonts w:hint="eastAsia"/>
                      <w:sz w:val="20"/>
                      <w:vertAlign w:val="superscript"/>
                    </w:rPr>
                    <w:t>3</w:t>
                  </w:r>
                  <w:r>
                    <w:rPr>
                      <w:sz w:val="20"/>
                    </w:rPr>
                    <w:t>/</w:t>
                  </w:r>
                  <w:r>
                    <w:rPr>
                      <w:rFonts w:hint="eastAsia"/>
                      <w:sz w:val="20"/>
                    </w:rPr>
                    <w:t>a</w:t>
                  </w:r>
                </w:p>
              </w:tc>
              <w:tc>
                <w:tcPr>
                  <w:tcW w:w="1276" w:type="dxa"/>
                  <w:vAlign w:val="center"/>
                </w:tcPr>
                <w:p>
                  <w:pPr>
                    <w:jc w:val="center"/>
                    <w:rPr>
                      <w:sz w:val="20"/>
                    </w:rPr>
                  </w:pPr>
                  <w:r>
                    <w:rPr>
                      <w:rFonts w:hint="eastAsia"/>
                      <w:sz w:val="20"/>
                    </w:rPr>
                    <w:t>114.6</w:t>
                  </w:r>
                </w:p>
              </w:tc>
              <w:tc>
                <w:tcPr>
                  <w:tcW w:w="1992" w:type="dxa"/>
                  <w:vAlign w:val="center"/>
                </w:tcPr>
                <w:p>
                  <w:pPr>
                    <w:tabs>
                      <w:tab w:val="left" w:pos="6096"/>
                    </w:tabs>
                    <w:jc w:val="center"/>
                    <w:rPr>
                      <w:sz w:val="20"/>
                    </w:rPr>
                  </w:pPr>
                  <w:r>
                    <w:rPr>
                      <w:sz w:val="20"/>
                    </w:rPr>
                    <w:t>乡镇自来水管网供给</w:t>
                  </w:r>
                </w:p>
              </w:tc>
              <w:tc>
                <w:tcPr>
                  <w:tcW w:w="1520" w:type="dxa"/>
                  <w:vAlign w:val="center"/>
                </w:tcPr>
                <w:p>
                  <w:pPr>
                    <w:tabs>
                      <w:tab w:val="left" w:pos="6096"/>
                    </w:tabs>
                    <w:jc w:val="center"/>
                    <w:rPr>
                      <w:sz w:val="20"/>
                    </w:rPr>
                  </w:pPr>
                  <w:r>
                    <w:rPr>
                      <w:sz w:val="2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90" w:hRule="atLeast"/>
                <w:jc w:val="center"/>
              </w:trPr>
              <w:tc>
                <w:tcPr>
                  <w:tcW w:w="759" w:type="dxa"/>
                  <w:vAlign w:val="center"/>
                </w:tcPr>
                <w:p>
                  <w:pPr>
                    <w:widowControl/>
                    <w:jc w:val="center"/>
                    <w:rPr>
                      <w:sz w:val="20"/>
                    </w:rPr>
                  </w:pPr>
                  <w:r>
                    <w:rPr>
                      <w:rFonts w:hint="eastAsia"/>
                      <w:sz w:val="20"/>
                    </w:rPr>
                    <w:t>5</w:t>
                  </w:r>
                </w:p>
              </w:tc>
              <w:tc>
                <w:tcPr>
                  <w:tcW w:w="2220" w:type="dxa"/>
                  <w:gridSpan w:val="2"/>
                  <w:vAlign w:val="center"/>
                </w:tcPr>
                <w:p>
                  <w:pPr>
                    <w:jc w:val="center"/>
                    <w:rPr>
                      <w:sz w:val="20"/>
                    </w:rPr>
                  </w:pPr>
                  <w:r>
                    <w:rPr>
                      <w:sz w:val="20"/>
                    </w:rPr>
                    <w:t>电</w:t>
                  </w:r>
                </w:p>
              </w:tc>
              <w:tc>
                <w:tcPr>
                  <w:tcW w:w="1134" w:type="dxa"/>
                  <w:vAlign w:val="center"/>
                </w:tcPr>
                <w:p>
                  <w:pPr>
                    <w:jc w:val="center"/>
                    <w:rPr>
                      <w:sz w:val="20"/>
                    </w:rPr>
                  </w:pPr>
                  <w:r>
                    <w:rPr>
                      <w:sz w:val="20"/>
                    </w:rPr>
                    <w:t>KW·h/a</w:t>
                  </w:r>
                </w:p>
              </w:tc>
              <w:tc>
                <w:tcPr>
                  <w:tcW w:w="1276" w:type="dxa"/>
                  <w:vAlign w:val="center"/>
                </w:tcPr>
                <w:p>
                  <w:pPr>
                    <w:jc w:val="center"/>
                    <w:rPr>
                      <w:sz w:val="20"/>
                    </w:rPr>
                  </w:pPr>
                  <w:r>
                    <w:rPr>
                      <w:rFonts w:hint="eastAsia"/>
                      <w:sz w:val="20"/>
                    </w:rPr>
                    <w:t>4</w:t>
                  </w:r>
                  <w:r>
                    <w:rPr>
                      <w:sz w:val="20"/>
                    </w:rPr>
                    <w:t>万</w:t>
                  </w:r>
                </w:p>
              </w:tc>
              <w:tc>
                <w:tcPr>
                  <w:tcW w:w="1992" w:type="dxa"/>
                  <w:vAlign w:val="center"/>
                </w:tcPr>
                <w:p>
                  <w:pPr>
                    <w:tabs>
                      <w:tab w:val="left" w:pos="6096"/>
                    </w:tabs>
                    <w:jc w:val="center"/>
                    <w:rPr>
                      <w:sz w:val="20"/>
                    </w:rPr>
                  </w:pPr>
                  <w:r>
                    <w:rPr>
                      <w:rFonts w:hint="eastAsia"/>
                      <w:sz w:val="20"/>
                    </w:rPr>
                    <w:t>太昌</w:t>
                  </w:r>
                  <w:r>
                    <w:rPr>
                      <w:sz w:val="20"/>
                    </w:rPr>
                    <w:t>镇变电所</w:t>
                  </w:r>
                </w:p>
              </w:tc>
              <w:tc>
                <w:tcPr>
                  <w:tcW w:w="1520" w:type="dxa"/>
                  <w:vAlign w:val="center"/>
                </w:tcPr>
                <w:p>
                  <w:pPr>
                    <w:tabs>
                      <w:tab w:val="left" w:pos="6096"/>
                    </w:tabs>
                    <w:jc w:val="center"/>
                    <w:rPr>
                      <w:sz w:val="20"/>
                    </w:rPr>
                  </w:pPr>
                  <w:r>
                    <w:rPr>
                      <w:sz w:val="20"/>
                    </w:rPr>
                    <w:t>/</w:t>
                  </w:r>
                </w:p>
              </w:tc>
            </w:tr>
          </w:tbl>
          <w:p>
            <w:pPr>
              <w:autoSpaceDE w:val="0"/>
              <w:autoSpaceDN w:val="0"/>
              <w:adjustRightInd w:val="0"/>
              <w:spacing w:line="360" w:lineRule="auto"/>
              <w:ind w:firstLine="480" w:firstLineChars="200"/>
              <w:rPr>
                <w:sz w:val="24"/>
                <w:szCs w:val="28"/>
              </w:rPr>
            </w:pPr>
            <w:r>
              <w:rPr>
                <w:rFonts w:hint="eastAsia"/>
                <w:sz w:val="24"/>
                <w:szCs w:val="28"/>
              </w:rPr>
              <w:t>一吨污水需加入200g净化药剂，本项目设计处理能力为100m</w:t>
            </w:r>
            <w:r>
              <w:rPr>
                <w:rFonts w:hint="eastAsia"/>
                <w:sz w:val="24"/>
                <w:szCs w:val="28"/>
                <w:vertAlign w:val="superscript"/>
              </w:rPr>
              <w:t>3</w:t>
            </w:r>
            <w:r>
              <w:rPr>
                <w:rFonts w:hint="eastAsia"/>
                <w:sz w:val="24"/>
                <w:szCs w:val="28"/>
              </w:rPr>
              <w:t>/d，药剂用量为20kg/d，根据《庆阳市太昌镇污水处理工程建设项目可行性研究报告》，项目污水站所用药品为聚丙</w:t>
            </w:r>
            <w:r>
              <w:rPr>
                <w:bCs/>
                <w:sz w:val="24"/>
                <w:szCs w:val="28"/>
              </w:rPr>
              <w:t>烯酰胺</w:t>
            </w:r>
            <w:r>
              <w:rPr>
                <w:rFonts w:hint="eastAsia"/>
                <w:bCs/>
                <w:sz w:val="24"/>
                <w:szCs w:val="28"/>
              </w:rPr>
              <w:t>和聚合氯化铝，</w:t>
            </w:r>
            <w:r>
              <w:rPr>
                <w:rFonts w:hint="eastAsia"/>
                <w:sz w:val="24"/>
                <w:szCs w:val="28"/>
              </w:rPr>
              <w:t>药品理化性质：</w:t>
            </w:r>
          </w:p>
          <w:p>
            <w:pPr>
              <w:autoSpaceDE w:val="0"/>
              <w:autoSpaceDN w:val="0"/>
              <w:adjustRightInd w:val="0"/>
              <w:spacing w:line="360" w:lineRule="auto"/>
              <w:ind w:firstLine="480" w:firstLineChars="200"/>
              <w:rPr>
                <w:bCs/>
                <w:sz w:val="24"/>
                <w:szCs w:val="28"/>
              </w:rPr>
            </w:pPr>
            <w:r>
              <w:rPr>
                <w:rFonts w:hint="eastAsia"/>
                <w:sz w:val="24"/>
                <w:szCs w:val="28"/>
              </w:rPr>
              <w:t>（1）</w:t>
            </w:r>
            <w:r>
              <w:rPr>
                <w:bCs/>
                <w:sz w:val="24"/>
                <w:szCs w:val="28"/>
              </w:rPr>
              <w:t>聚丙烯酰胺</w:t>
            </w:r>
          </w:p>
          <w:p>
            <w:pPr>
              <w:autoSpaceDE w:val="0"/>
              <w:autoSpaceDN w:val="0"/>
              <w:adjustRightInd w:val="0"/>
              <w:spacing w:line="360" w:lineRule="auto"/>
              <w:ind w:firstLine="480" w:firstLineChars="200"/>
              <w:rPr>
                <w:bCs/>
                <w:sz w:val="24"/>
                <w:szCs w:val="28"/>
              </w:rPr>
            </w:pPr>
            <w:r>
              <w:rPr>
                <w:bCs/>
                <w:sz w:val="24"/>
                <w:szCs w:val="28"/>
              </w:rPr>
              <w:t>聚丙烯酰胺</w:t>
            </w:r>
            <w:r>
              <w:rPr>
                <w:rFonts w:hint="eastAsia"/>
                <w:bCs/>
                <w:sz w:val="24"/>
                <w:szCs w:val="28"/>
              </w:rPr>
              <w:t>理化性质见表7。</w:t>
            </w:r>
          </w:p>
          <w:p>
            <w:pPr>
              <w:autoSpaceDE w:val="0"/>
              <w:autoSpaceDN w:val="0"/>
              <w:adjustRightInd w:val="0"/>
              <w:spacing w:line="360" w:lineRule="auto"/>
              <w:ind w:firstLine="422" w:firstLineChars="200"/>
              <w:jc w:val="center"/>
              <w:rPr>
                <w:b/>
                <w:bCs/>
                <w:szCs w:val="21"/>
              </w:rPr>
            </w:pPr>
            <w:r>
              <w:rPr>
                <w:rFonts w:hint="eastAsia"/>
                <w:b/>
                <w:bCs/>
                <w:szCs w:val="21"/>
              </w:rPr>
              <w:t xml:space="preserve">表7  </w:t>
            </w:r>
            <w:r>
              <w:rPr>
                <w:b/>
                <w:bCs/>
                <w:szCs w:val="21"/>
              </w:rPr>
              <w:t>聚丙烯酰胺</w:t>
            </w:r>
            <w:r>
              <w:rPr>
                <w:rFonts w:hint="eastAsia"/>
                <w:b/>
                <w:bCs/>
                <w:szCs w:val="21"/>
              </w:rPr>
              <w:t>理化性质一览表</w:t>
            </w:r>
          </w:p>
          <w:tbl>
            <w:tblPr>
              <w:tblStyle w:val="36"/>
              <w:tblW w:w="8901"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09"/>
              <w:gridCol w:w="1556"/>
              <w:gridCol w:w="2412"/>
              <w:gridCol w:w="709"/>
              <w:gridCol w:w="992"/>
              <w:gridCol w:w="252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
                      <w:bCs/>
                      <w:szCs w:val="21"/>
                    </w:rPr>
                  </w:pPr>
                  <w:r>
                    <w:rPr>
                      <w:rFonts w:hint="eastAsia"/>
                      <w:b/>
                      <w:bCs/>
                      <w:szCs w:val="21"/>
                    </w:rPr>
                    <w:t>序号</w:t>
                  </w:r>
                </w:p>
              </w:tc>
              <w:tc>
                <w:tcPr>
                  <w:tcW w:w="1556" w:type="dxa"/>
                  <w:vAlign w:val="center"/>
                </w:tcPr>
                <w:p>
                  <w:pPr>
                    <w:autoSpaceDE w:val="0"/>
                    <w:autoSpaceDN w:val="0"/>
                    <w:adjustRightInd w:val="0"/>
                    <w:jc w:val="center"/>
                    <w:rPr>
                      <w:b/>
                      <w:bCs/>
                      <w:szCs w:val="21"/>
                    </w:rPr>
                  </w:pPr>
                  <w:r>
                    <w:rPr>
                      <w:rFonts w:hint="eastAsia"/>
                      <w:b/>
                      <w:bCs/>
                      <w:szCs w:val="21"/>
                    </w:rPr>
                    <w:t>性质</w:t>
                  </w:r>
                </w:p>
              </w:tc>
              <w:tc>
                <w:tcPr>
                  <w:tcW w:w="2412" w:type="dxa"/>
                  <w:vAlign w:val="center"/>
                </w:tcPr>
                <w:p>
                  <w:pPr>
                    <w:autoSpaceDE w:val="0"/>
                    <w:autoSpaceDN w:val="0"/>
                    <w:adjustRightInd w:val="0"/>
                    <w:jc w:val="center"/>
                    <w:rPr>
                      <w:b/>
                      <w:bCs/>
                      <w:szCs w:val="21"/>
                    </w:rPr>
                  </w:pPr>
                  <w:r>
                    <w:rPr>
                      <w:rFonts w:hint="eastAsia"/>
                      <w:b/>
                      <w:bCs/>
                      <w:szCs w:val="21"/>
                    </w:rPr>
                    <w:t>参数</w:t>
                  </w:r>
                </w:p>
              </w:tc>
              <w:tc>
                <w:tcPr>
                  <w:tcW w:w="709" w:type="dxa"/>
                  <w:vAlign w:val="center"/>
                </w:tcPr>
                <w:p>
                  <w:pPr>
                    <w:autoSpaceDE w:val="0"/>
                    <w:autoSpaceDN w:val="0"/>
                    <w:adjustRightInd w:val="0"/>
                    <w:jc w:val="center"/>
                    <w:rPr>
                      <w:b/>
                      <w:bCs/>
                      <w:szCs w:val="21"/>
                    </w:rPr>
                  </w:pPr>
                  <w:r>
                    <w:rPr>
                      <w:rFonts w:hint="eastAsia"/>
                      <w:b/>
                      <w:bCs/>
                      <w:szCs w:val="21"/>
                    </w:rPr>
                    <w:t>序号</w:t>
                  </w:r>
                </w:p>
              </w:tc>
              <w:tc>
                <w:tcPr>
                  <w:tcW w:w="992" w:type="dxa"/>
                  <w:vAlign w:val="center"/>
                </w:tcPr>
                <w:p>
                  <w:pPr>
                    <w:autoSpaceDE w:val="0"/>
                    <w:autoSpaceDN w:val="0"/>
                    <w:adjustRightInd w:val="0"/>
                    <w:jc w:val="center"/>
                    <w:rPr>
                      <w:b/>
                      <w:bCs/>
                      <w:szCs w:val="21"/>
                    </w:rPr>
                  </w:pPr>
                  <w:r>
                    <w:rPr>
                      <w:rFonts w:hint="eastAsia"/>
                      <w:b/>
                      <w:bCs/>
                      <w:szCs w:val="21"/>
                    </w:rPr>
                    <w:t>性质</w:t>
                  </w:r>
                </w:p>
              </w:tc>
              <w:tc>
                <w:tcPr>
                  <w:tcW w:w="2523" w:type="dxa"/>
                  <w:vAlign w:val="center"/>
                </w:tcPr>
                <w:p>
                  <w:pPr>
                    <w:autoSpaceDE w:val="0"/>
                    <w:autoSpaceDN w:val="0"/>
                    <w:adjustRightInd w:val="0"/>
                    <w:jc w:val="center"/>
                    <w:rPr>
                      <w:b/>
                      <w:bCs/>
                      <w:szCs w:val="21"/>
                    </w:rPr>
                  </w:pPr>
                  <w:r>
                    <w:rPr>
                      <w:rFonts w:hint="eastAsia"/>
                      <w:b/>
                      <w:bCs/>
                      <w:szCs w:val="21"/>
                    </w:rPr>
                    <w:t>参数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1</w:t>
                  </w:r>
                </w:p>
              </w:tc>
              <w:tc>
                <w:tcPr>
                  <w:tcW w:w="1556" w:type="dxa"/>
                  <w:vAlign w:val="center"/>
                </w:tcPr>
                <w:p>
                  <w:pPr>
                    <w:autoSpaceDE w:val="0"/>
                    <w:autoSpaceDN w:val="0"/>
                    <w:adjustRightInd w:val="0"/>
                    <w:jc w:val="center"/>
                    <w:rPr>
                      <w:bCs/>
                      <w:szCs w:val="21"/>
                    </w:rPr>
                  </w:pPr>
                  <w:r>
                    <w:rPr>
                      <w:rFonts w:hint="eastAsia"/>
                      <w:bCs/>
                      <w:szCs w:val="21"/>
                    </w:rPr>
                    <w:t>外观</w:t>
                  </w:r>
                </w:p>
              </w:tc>
              <w:tc>
                <w:tcPr>
                  <w:tcW w:w="2412" w:type="dxa"/>
                  <w:vAlign w:val="center"/>
                </w:tcPr>
                <w:p>
                  <w:pPr>
                    <w:autoSpaceDE w:val="0"/>
                    <w:autoSpaceDN w:val="0"/>
                    <w:adjustRightInd w:val="0"/>
                    <w:jc w:val="center"/>
                    <w:rPr>
                      <w:bCs/>
                      <w:szCs w:val="21"/>
                    </w:rPr>
                  </w:pPr>
                  <w:r>
                    <w:rPr>
                      <w:bCs/>
                      <w:szCs w:val="21"/>
                    </w:rPr>
                    <w:t>白色粉末或半透明颗粒</w:t>
                  </w:r>
                </w:p>
              </w:tc>
              <w:tc>
                <w:tcPr>
                  <w:tcW w:w="709" w:type="dxa"/>
                  <w:vAlign w:val="center"/>
                </w:tcPr>
                <w:p>
                  <w:pPr>
                    <w:autoSpaceDE w:val="0"/>
                    <w:autoSpaceDN w:val="0"/>
                    <w:adjustRightInd w:val="0"/>
                    <w:jc w:val="center"/>
                    <w:rPr>
                      <w:bCs/>
                      <w:szCs w:val="21"/>
                    </w:rPr>
                  </w:pPr>
                  <w:r>
                    <w:rPr>
                      <w:rFonts w:hint="eastAsia"/>
                      <w:bCs/>
                      <w:szCs w:val="21"/>
                    </w:rPr>
                    <w:t>6</w:t>
                  </w:r>
                </w:p>
              </w:tc>
              <w:tc>
                <w:tcPr>
                  <w:tcW w:w="992" w:type="dxa"/>
                  <w:vAlign w:val="center"/>
                </w:tcPr>
                <w:p>
                  <w:pPr>
                    <w:autoSpaceDE w:val="0"/>
                    <w:autoSpaceDN w:val="0"/>
                    <w:adjustRightInd w:val="0"/>
                    <w:jc w:val="center"/>
                    <w:rPr>
                      <w:bCs/>
                      <w:szCs w:val="21"/>
                    </w:rPr>
                  </w:pPr>
                  <w:r>
                    <w:rPr>
                      <w:rFonts w:hint="eastAsia"/>
                      <w:bCs/>
                      <w:szCs w:val="21"/>
                    </w:rPr>
                    <w:t>热稳定性</w:t>
                  </w:r>
                </w:p>
              </w:tc>
              <w:tc>
                <w:tcPr>
                  <w:tcW w:w="2523" w:type="dxa"/>
                  <w:vAlign w:val="center"/>
                </w:tcPr>
                <w:p>
                  <w:pPr>
                    <w:autoSpaceDE w:val="0"/>
                    <w:autoSpaceDN w:val="0"/>
                    <w:adjustRightInd w:val="0"/>
                    <w:jc w:val="center"/>
                    <w:rPr>
                      <w:bCs/>
                      <w:szCs w:val="21"/>
                    </w:rPr>
                  </w:pPr>
                  <w:r>
                    <w:rPr>
                      <w:bCs/>
                      <w:szCs w:val="21"/>
                    </w:rPr>
                    <w:t>温度超过120度时易分解</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2</w:t>
                  </w:r>
                </w:p>
              </w:tc>
              <w:tc>
                <w:tcPr>
                  <w:tcW w:w="1556" w:type="dxa"/>
                  <w:vAlign w:val="center"/>
                </w:tcPr>
                <w:p>
                  <w:pPr>
                    <w:autoSpaceDE w:val="0"/>
                    <w:autoSpaceDN w:val="0"/>
                    <w:adjustRightInd w:val="0"/>
                    <w:jc w:val="center"/>
                    <w:rPr>
                      <w:bCs/>
                      <w:szCs w:val="21"/>
                    </w:rPr>
                  </w:pPr>
                  <w:r>
                    <w:rPr>
                      <w:rFonts w:hint="eastAsia"/>
                      <w:bCs/>
                      <w:szCs w:val="21"/>
                    </w:rPr>
                    <w:t>气味</w:t>
                  </w:r>
                </w:p>
              </w:tc>
              <w:tc>
                <w:tcPr>
                  <w:tcW w:w="2412" w:type="dxa"/>
                  <w:vAlign w:val="center"/>
                </w:tcPr>
                <w:p>
                  <w:pPr>
                    <w:autoSpaceDE w:val="0"/>
                    <w:autoSpaceDN w:val="0"/>
                    <w:adjustRightInd w:val="0"/>
                    <w:jc w:val="center"/>
                    <w:rPr>
                      <w:bCs/>
                      <w:szCs w:val="21"/>
                    </w:rPr>
                  </w:pPr>
                  <w:r>
                    <w:rPr>
                      <w:rFonts w:hint="eastAsia"/>
                      <w:bCs/>
                      <w:szCs w:val="21"/>
                    </w:rPr>
                    <w:t>无臭</w:t>
                  </w:r>
                </w:p>
              </w:tc>
              <w:tc>
                <w:tcPr>
                  <w:tcW w:w="709" w:type="dxa"/>
                  <w:vAlign w:val="center"/>
                </w:tcPr>
                <w:p>
                  <w:pPr>
                    <w:autoSpaceDE w:val="0"/>
                    <w:autoSpaceDN w:val="0"/>
                    <w:adjustRightInd w:val="0"/>
                    <w:jc w:val="center"/>
                    <w:rPr>
                      <w:bCs/>
                      <w:szCs w:val="21"/>
                    </w:rPr>
                  </w:pPr>
                  <w:r>
                    <w:rPr>
                      <w:rFonts w:hint="eastAsia"/>
                      <w:bCs/>
                      <w:szCs w:val="21"/>
                    </w:rPr>
                    <w:t>7</w:t>
                  </w:r>
                </w:p>
              </w:tc>
              <w:tc>
                <w:tcPr>
                  <w:tcW w:w="992" w:type="dxa"/>
                  <w:vAlign w:val="center"/>
                </w:tcPr>
                <w:p>
                  <w:pPr>
                    <w:autoSpaceDE w:val="0"/>
                    <w:autoSpaceDN w:val="0"/>
                    <w:adjustRightInd w:val="0"/>
                    <w:jc w:val="center"/>
                    <w:rPr>
                      <w:bCs/>
                      <w:szCs w:val="21"/>
                    </w:rPr>
                  </w:pPr>
                  <w:r>
                    <w:rPr>
                      <w:rFonts w:hint="eastAsia"/>
                      <w:bCs/>
                      <w:szCs w:val="21"/>
                    </w:rPr>
                    <w:t>溶解性</w:t>
                  </w:r>
                </w:p>
              </w:tc>
              <w:tc>
                <w:tcPr>
                  <w:tcW w:w="2523" w:type="dxa"/>
                  <w:vAlign w:val="center"/>
                </w:tcPr>
                <w:p>
                  <w:pPr>
                    <w:autoSpaceDE w:val="0"/>
                    <w:autoSpaceDN w:val="0"/>
                    <w:adjustRightInd w:val="0"/>
                    <w:jc w:val="center"/>
                    <w:rPr>
                      <w:bCs/>
                      <w:szCs w:val="21"/>
                    </w:rPr>
                  </w:pPr>
                  <w:r>
                    <w:rPr>
                      <w:bCs/>
                      <w:szCs w:val="21"/>
                    </w:rPr>
                    <w:t>溶于水，几乎不溶于有机溶剂，如苯、甲苯、乙醇、丙酮、酯类等，仅在乙二醇、甘油、甲方酰胺、乳酸、丙烯酸中溶解1%左右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3</w:t>
                  </w:r>
                </w:p>
              </w:tc>
              <w:tc>
                <w:tcPr>
                  <w:tcW w:w="1556" w:type="dxa"/>
                  <w:vAlign w:val="center"/>
                </w:tcPr>
                <w:p>
                  <w:pPr>
                    <w:autoSpaceDE w:val="0"/>
                    <w:autoSpaceDN w:val="0"/>
                    <w:adjustRightInd w:val="0"/>
                    <w:jc w:val="center"/>
                    <w:rPr>
                      <w:bCs/>
                      <w:szCs w:val="21"/>
                    </w:rPr>
                  </w:pPr>
                  <w:r>
                    <w:rPr>
                      <w:rFonts w:hint="eastAsia"/>
                      <w:bCs/>
                      <w:szCs w:val="21"/>
                    </w:rPr>
                    <w:t>密度</w:t>
                  </w:r>
                  <w:r>
                    <w:rPr>
                      <w:bCs/>
                      <w:szCs w:val="21"/>
                    </w:rPr>
                    <w:t>（23度）（g/cm</w:t>
                  </w:r>
                  <w:r>
                    <w:rPr>
                      <w:bCs/>
                      <w:szCs w:val="21"/>
                      <w:vertAlign w:val="superscript"/>
                    </w:rPr>
                    <w:t>3</w:t>
                  </w:r>
                  <w:r>
                    <w:rPr>
                      <w:bCs/>
                      <w:szCs w:val="21"/>
                    </w:rPr>
                    <w:t>)</w:t>
                  </w:r>
                </w:p>
              </w:tc>
              <w:tc>
                <w:tcPr>
                  <w:tcW w:w="2412" w:type="dxa"/>
                  <w:vAlign w:val="center"/>
                </w:tcPr>
                <w:p>
                  <w:pPr>
                    <w:autoSpaceDE w:val="0"/>
                    <w:autoSpaceDN w:val="0"/>
                    <w:adjustRightInd w:val="0"/>
                    <w:jc w:val="center"/>
                    <w:rPr>
                      <w:bCs/>
                      <w:szCs w:val="21"/>
                    </w:rPr>
                  </w:pPr>
                  <w:r>
                    <w:rPr>
                      <w:rFonts w:hint="eastAsia"/>
                      <w:bCs/>
                      <w:szCs w:val="21"/>
                    </w:rPr>
                    <w:t>1.302</w:t>
                  </w:r>
                </w:p>
              </w:tc>
              <w:tc>
                <w:tcPr>
                  <w:tcW w:w="709" w:type="dxa"/>
                  <w:vAlign w:val="center"/>
                </w:tcPr>
                <w:p>
                  <w:pPr>
                    <w:autoSpaceDE w:val="0"/>
                    <w:autoSpaceDN w:val="0"/>
                    <w:adjustRightInd w:val="0"/>
                    <w:jc w:val="center"/>
                    <w:rPr>
                      <w:bCs/>
                      <w:szCs w:val="21"/>
                    </w:rPr>
                  </w:pPr>
                  <w:r>
                    <w:rPr>
                      <w:rFonts w:hint="eastAsia"/>
                      <w:bCs/>
                      <w:szCs w:val="21"/>
                    </w:rPr>
                    <w:t>8</w:t>
                  </w:r>
                </w:p>
              </w:tc>
              <w:tc>
                <w:tcPr>
                  <w:tcW w:w="992" w:type="dxa"/>
                  <w:vAlign w:val="center"/>
                </w:tcPr>
                <w:p>
                  <w:pPr>
                    <w:autoSpaceDE w:val="0"/>
                    <w:autoSpaceDN w:val="0"/>
                    <w:adjustRightInd w:val="0"/>
                    <w:jc w:val="center"/>
                    <w:rPr>
                      <w:bCs/>
                      <w:szCs w:val="21"/>
                    </w:rPr>
                  </w:pPr>
                  <w:r>
                    <w:rPr>
                      <w:rFonts w:hint="eastAsia"/>
                      <w:bCs/>
                      <w:szCs w:val="21"/>
                    </w:rPr>
                    <w:t>毒性</w:t>
                  </w:r>
                </w:p>
              </w:tc>
              <w:tc>
                <w:tcPr>
                  <w:tcW w:w="2523" w:type="dxa"/>
                  <w:vAlign w:val="center"/>
                </w:tcPr>
                <w:p>
                  <w:pPr>
                    <w:autoSpaceDE w:val="0"/>
                    <w:autoSpaceDN w:val="0"/>
                    <w:adjustRightInd w:val="0"/>
                    <w:jc w:val="center"/>
                    <w:rPr>
                      <w:bCs/>
                      <w:szCs w:val="21"/>
                    </w:rPr>
                  </w:pPr>
                  <w:r>
                    <w:rPr>
                      <w:bCs/>
                      <w:szCs w:val="21"/>
                    </w:rPr>
                    <w:t>无毒，单体有剧毒</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4</w:t>
                  </w:r>
                </w:p>
              </w:tc>
              <w:tc>
                <w:tcPr>
                  <w:tcW w:w="1556" w:type="dxa"/>
                  <w:vAlign w:val="center"/>
                </w:tcPr>
                <w:p>
                  <w:pPr>
                    <w:autoSpaceDE w:val="0"/>
                    <w:autoSpaceDN w:val="0"/>
                    <w:adjustRightInd w:val="0"/>
                    <w:jc w:val="center"/>
                    <w:rPr>
                      <w:bCs/>
                      <w:szCs w:val="21"/>
                    </w:rPr>
                  </w:pPr>
                  <w:r>
                    <w:rPr>
                      <w:rFonts w:hint="eastAsia"/>
                      <w:bCs/>
                      <w:szCs w:val="21"/>
                    </w:rPr>
                    <w:t>临界表面张力</w:t>
                  </w:r>
                  <w:r>
                    <w:rPr>
                      <w:bCs/>
                      <w:szCs w:val="21"/>
                    </w:rPr>
                    <w:t>（10-5N/cm)</w:t>
                  </w:r>
                </w:p>
              </w:tc>
              <w:tc>
                <w:tcPr>
                  <w:tcW w:w="2412" w:type="dxa"/>
                  <w:vAlign w:val="center"/>
                </w:tcPr>
                <w:p>
                  <w:pPr>
                    <w:autoSpaceDE w:val="0"/>
                    <w:autoSpaceDN w:val="0"/>
                    <w:adjustRightInd w:val="0"/>
                    <w:jc w:val="center"/>
                    <w:rPr>
                      <w:bCs/>
                      <w:szCs w:val="21"/>
                    </w:rPr>
                  </w:pPr>
                  <w:r>
                    <w:rPr>
                      <w:rFonts w:hint="eastAsia"/>
                      <w:bCs/>
                      <w:szCs w:val="21"/>
                    </w:rPr>
                    <w:t>30~40</w:t>
                  </w:r>
                </w:p>
              </w:tc>
              <w:tc>
                <w:tcPr>
                  <w:tcW w:w="709" w:type="dxa"/>
                  <w:vAlign w:val="center"/>
                </w:tcPr>
                <w:p>
                  <w:pPr>
                    <w:autoSpaceDE w:val="0"/>
                    <w:autoSpaceDN w:val="0"/>
                    <w:adjustRightInd w:val="0"/>
                    <w:jc w:val="center"/>
                    <w:rPr>
                      <w:bCs/>
                      <w:szCs w:val="21"/>
                    </w:rPr>
                  </w:pPr>
                  <w:r>
                    <w:rPr>
                      <w:rFonts w:hint="eastAsia"/>
                      <w:bCs/>
                      <w:szCs w:val="21"/>
                    </w:rPr>
                    <w:t>9</w:t>
                  </w:r>
                </w:p>
              </w:tc>
              <w:tc>
                <w:tcPr>
                  <w:tcW w:w="992" w:type="dxa"/>
                  <w:vAlign w:val="center"/>
                </w:tcPr>
                <w:p>
                  <w:pPr>
                    <w:autoSpaceDE w:val="0"/>
                    <w:autoSpaceDN w:val="0"/>
                    <w:adjustRightInd w:val="0"/>
                    <w:jc w:val="center"/>
                    <w:rPr>
                      <w:bCs/>
                      <w:szCs w:val="21"/>
                    </w:rPr>
                  </w:pPr>
                  <w:r>
                    <w:rPr>
                      <w:rFonts w:hint="eastAsia"/>
                      <w:bCs/>
                      <w:szCs w:val="21"/>
                    </w:rPr>
                    <w:t>腐蚀性</w:t>
                  </w:r>
                </w:p>
              </w:tc>
              <w:tc>
                <w:tcPr>
                  <w:tcW w:w="2523" w:type="dxa"/>
                  <w:vAlign w:val="center"/>
                </w:tcPr>
                <w:p>
                  <w:pPr>
                    <w:wordWrap w:val="0"/>
                    <w:spacing w:line="276" w:lineRule="atLeast"/>
                    <w:jc w:val="center"/>
                    <w:rPr>
                      <w:bCs/>
                      <w:szCs w:val="21"/>
                    </w:rPr>
                  </w:pPr>
                  <w:r>
                    <w:rPr>
                      <w:bCs/>
                      <w:szCs w:val="21"/>
                    </w:rPr>
                    <w:t>无腐蚀性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9" w:type="dxa"/>
                  <w:vAlign w:val="center"/>
                </w:tcPr>
                <w:p>
                  <w:pPr>
                    <w:autoSpaceDE w:val="0"/>
                    <w:autoSpaceDN w:val="0"/>
                    <w:adjustRightInd w:val="0"/>
                    <w:jc w:val="center"/>
                    <w:rPr>
                      <w:bCs/>
                      <w:szCs w:val="21"/>
                    </w:rPr>
                  </w:pPr>
                  <w:r>
                    <w:rPr>
                      <w:rFonts w:hint="eastAsia"/>
                      <w:bCs/>
                      <w:szCs w:val="21"/>
                    </w:rPr>
                    <w:t>5</w:t>
                  </w:r>
                </w:p>
              </w:tc>
              <w:tc>
                <w:tcPr>
                  <w:tcW w:w="1556" w:type="dxa"/>
                  <w:vAlign w:val="center"/>
                </w:tcPr>
                <w:p>
                  <w:pPr>
                    <w:autoSpaceDE w:val="0"/>
                    <w:autoSpaceDN w:val="0"/>
                    <w:adjustRightInd w:val="0"/>
                    <w:jc w:val="center"/>
                    <w:rPr>
                      <w:bCs/>
                      <w:szCs w:val="21"/>
                    </w:rPr>
                  </w:pPr>
                  <w:r>
                    <w:rPr>
                      <w:rFonts w:hint="eastAsia"/>
                      <w:bCs/>
                      <w:szCs w:val="21"/>
                    </w:rPr>
                    <w:t>链结构</w:t>
                  </w:r>
                </w:p>
              </w:tc>
              <w:tc>
                <w:tcPr>
                  <w:tcW w:w="2412" w:type="dxa"/>
                  <w:vAlign w:val="center"/>
                </w:tcPr>
                <w:p>
                  <w:pPr>
                    <w:wordWrap w:val="0"/>
                    <w:spacing w:line="276" w:lineRule="atLeast"/>
                    <w:jc w:val="center"/>
                    <w:rPr>
                      <w:bCs/>
                      <w:szCs w:val="21"/>
                    </w:rPr>
                  </w:pPr>
                  <w:r>
                    <w:rPr>
                      <w:bCs/>
                      <w:szCs w:val="21"/>
                    </w:rPr>
                    <w:t>链的链接具有一般的头—尾结构，少量有些头—头加成，链的立体结构以无规立构为主</w:t>
                  </w:r>
                </w:p>
              </w:tc>
              <w:tc>
                <w:tcPr>
                  <w:tcW w:w="709" w:type="dxa"/>
                  <w:vAlign w:val="center"/>
                </w:tcPr>
                <w:p>
                  <w:pPr>
                    <w:autoSpaceDE w:val="0"/>
                    <w:autoSpaceDN w:val="0"/>
                    <w:adjustRightInd w:val="0"/>
                    <w:jc w:val="center"/>
                    <w:rPr>
                      <w:bCs/>
                      <w:szCs w:val="21"/>
                    </w:rPr>
                  </w:pPr>
                  <w:r>
                    <w:rPr>
                      <w:rFonts w:hint="eastAsia"/>
                      <w:bCs/>
                      <w:szCs w:val="21"/>
                    </w:rPr>
                    <w:t>10</w:t>
                  </w:r>
                </w:p>
              </w:tc>
              <w:tc>
                <w:tcPr>
                  <w:tcW w:w="992" w:type="dxa"/>
                  <w:vAlign w:val="center"/>
                </w:tcPr>
                <w:p>
                  <w:pPr>
                    <w:autoSpaceDE w:val="0"/>
                    <w:autoSpaceDN w:val="0"/>
                    <w:adjustRightInd w:val="0"/>
                    <w:jc w:val="center"/>
                    <w:rPr>
                      <w:bCs/>
                      <w:szCs w:val="21"/>
                    </w:rPr>
                  </w:pPr>
                  <w:r>
                    <w:rPr>
                      <w:rFonts w:hint="eastAsia"/>
                      <w:bCs/>
                      <w:szCs w:val="21"/>
                    </w:rPr>
                    <w:t>吸湿性</w:t>
                  </w:r>
                </w:p>
              </w:tc>
              <w:tc>
                <w:tcPr>
                  <w:tcW w:w="2523" w:type="dxa"/>
                  <w:vAlign w:val="center"/>
                </w:tcPr>
                <w:p>
                  <w:pPr>
                    <w:wordWrap w:val="0"/>
                    <w:spacing w:line="276" w:lineRule="atLeast"/>
                    <w:jc w:val="center"/>
                    <w:rPr>
                      <w:bCs/>
                      <w:szCs w:val="21"/>
                    </w:rPr>
                  </w:pPr>
                  <w:r>
                    <w:rPr>
                      <w:bCs/>
                      <w:szCs w:val="21"/>
                    </w:rPr>
                    <w:t>固体有吸湿性</w:t>
                  </w:r>
                </w:p>
              </w:tc>
            </w:tr>
          </w:tbl>
          <w:p>
            <w:pPr>
              <w:autoSpaceDE w:val="0"/>
              <w:autoSpaceDN w:val="0"/>
              <w:adjustRightInd w:val="0"/>
              <w:spacing w:line="360" w:lineRule="auto"/>
              <w:ind w:firstLine="480" w:firstLineChars="200"/>
              <w:rPr>
                <w:bCs/>
                <w:sz w:val="24"/>
                <w:szCs w:val="28"/>
              </w:rPr>
            </w:pPr>
            <w:r>
              <w:rPr>
                <w:rFonts w:hint="eastAsia"/>
                <w:bCs/>
                <w:sz w:val="24"/>
                <w:szCs w:val="28"/>
              </w:rPr>
              <w:t>（2）聚合氯化铝</w:t>
            </w:r>
          </w:p>
          <w:p>
            <w:pPr>
              <w:autoSpaceDE w:val="0"/>
              <w:autoSpaceDN w:val="0"/>
              <w:adjustRightInd w:val="0"/>
              <w:spacing w:line="360" w:lineRule="auto"/>
              <w:ind w:firstLine="480" w:firstLineChars="200"/>
              <w:rPr>
                <w:bCs/>
                <w:sz w:val="24"/>
                <w:szCs w:val="28"/>
              </w:rPr>
            </w:pPr>
            <w:r>
              <w:rPr>
                <w:rFonts w:hint="eastAsia"/>
                <w:bCs/>
                <w:sz w:val="24"/>
                <w:szCs w:val="28"/>
              </w:rPr>
              <w:t>聚合氯化铝理化性质见表8。</w:t>
            </w:r>
          </w:p>
          <w:p>
            <w:pPr>
              <w:autoSpaceDE w:val="0"/>
              <w:autoSpaceDN w:val="0"/>
              <w:adjustRightInd w:val="0"/>
              <w:spacing w:line="360" w:lineRule="auto"/>
              <w:ind w:firstLine="422" w:firstLineChars="200"/>
              <w:jc w:val="center"/>
              <w:rPr>
                <w:b/>
                <w:bCs/>
                <w:szCs w:val="21"/>
              </w:rPr>
            </w:pPr>
            <w:r>
              <w:rPr>
                <w:rFonts w:hint="eastAsia"/>
                <w:b/>
                <w:bCs/>
                <w:szCs w:val="21"/>
              </w:rPr>
              <w:t>表8  聚合氯化铝理化性质一览表</w:t>
            </w:r>
          </w:p>
          <w:tbl>
            <w:tblPr>
              <w:tblStyle w:val="36"/>
              <w:tblW w:w="8901"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08"/>
              <w:gridCol w:w="1276"/>
              <w:gridCol w:w="2126"/>
              <w:gridCol w:w="709"/>
              <w:gridCol w:w="1702"/>
              <w:gridCol w:w="238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8" w:type="dxa"/>
                  <w:vAlign w:val="center"/>
                </w:tcPr>
                <w:p>
                  <w:pPr>
                    <w:autoSpaceDE w:val="0"/>
                    <w:autoSpaceDN w:val="0"/>
                    <w:adjustRightInd w:val="0"/>
                    <w:jc w:val="center"/>
                    <w:rPr>
                      <w:b/>
                      <w:bCs/>
                      <w:szCs w:val="21"/>
                    </w:rPr>
                  </w:pPr>
                  <w:r>
                    <w:rPr>
                      <w:rFonts w:hint="eastAsia"/>
                      <w:b/>
                      <w:bCs/>
                      <w:szCs w:val="21"/>
                    </w:rPr>
                    <w:t>序号</w:t>
                  </w:r>
                </w:p>
              </w:tc>
              <w:tc>
                <w:tcPr>
                  <w:tcW w:w="1276" w:type="dxa"/>
                  <w:vAlign w:val="center"/>
                </w:tcPr>
                <w:p>
                  <w:pPr>
                    <w:autoSpaceDE w:val="0"/>
                    <w:autoSpaceDN w:val="0"/>
                    <w:adjustRightInd w:val="0"/>
                    <w:jc w:val="center"/>
                    <w:rPr>
                      <w:b/>
                      <w:bCs/>
                      <w:szCs w:val="21"/>
                    </w:rPr>
                  </w:pPr>
                  <w:r>
                    <w:rPr>
                      <w:rFonts w:hint="eastAsia"/>
                      <w:b/>
                      <w:bCs/>
                      <w:szCs w:val="21"/>
                    </w:rPr>
                    <w:t>性质</w:t>
                  </w:r>
                </w:p>
              </w:tc>
              <w:tc>
                <w:tcPr>
                  <w:tcW w:w="2126" w:type="dxa"/>
                  <w:vAlign w:val="center"/>
                </w:tcPr>
                <w:p>
                  <w:pPr>
                    <w:autoSpaceDE w:val="0"/>
                    <w:autoSpaceDN w:val="0"/>
                    <w:adjustRightInd w:val="0"/>
                    <w:jc w:val="center"/>
                    <w:rPr>
                      <w:b/>
                      <w:bCs/>
                      <w:szCs w:val="21"/>
                    </w:rPr>
                  </w:pPr>
                  <w:r>
                    <w:rPr>
                      <w:rFonts w:hint="eastAsia"/>
                      <w:b/>
                      <w:bCs/>
                      <w:szCs w:val="21"/>
                    </w:rPr>
                    <w:t>参数</w:t>
                  </w:r>
                </w:p>
              </w:tc>
              <w:tc>
                <w:tcPr>
                  <w:tcW w:w="709" w:type="dxa"/>
                  <w:vAlign w:val="center"/>
                </w:tcPr>
                <w:p>
                  <w:pPr>
                    <w:autoSpaceDE w:val="0"/>
                    <w:autoSpaceDN w:val="0"/>
                    <w:adjustRightInd w:val="0"/>
                    <w:jc w:val="center"/>
                    <w:rPr>
                      <w:b/>
                      <w:bCs/>
                      <w:szCs w:val="21"/>
                    </w:rPr>
                  </w:pPr>
                  <w:r>
                    <w:rPr>
                      <w:rFonts w:hint="eastAsia"/>
                      <w:b/>
                      <w:bCs/>
                      <w:szCs w:val="21"/>
                    </w:rPr>
                    <w:t>序号</w:t>
                  </w:r>
                </w:p>
              </w:tc>
              <w:tc>
                <w:tcPr>
                  <w:tcW w:w="1702" w:type="dxa"/>
                  <w:vAlign w:val="center"/>
                </w:tcPr>
                <w:p>
                  <w:pPr>
                    <w:autoSpaceDE w:val="0"/>
                    <w:autoSpaceDN w:val="0"/>
                    <w:adjustRightInd w:val="0"/>
                    <w:jc w:val="center"/>
                    <w:rPr>
                      <w:b/>
                      <w:bCs/>
                      <w:szCs w:val="21"/>
                    </w:rPr>
                  </w:pPr>
                  <w:r>
                    <w:rPr>
                      <w:rFonts w:hint="eastAsia"/>
                      <w:b/>
                      <w:bCs/>
                      <w:szCs w:val="21"/>
                    </w:rPr>
                    <w:t>性质</w:t>
                  </w:r>
                </w:p>
              </w:tc>
              <w:tc>
                <w:tcPr>
                  <w:tcW w:w="2380" w:type="dxa"/>
                  <w:vAlign w:val="center"/>
                </w:tcPr>
                <w:p>
                  <w:pPr>
                    <w:autoSpaceDE w:val="0"/>
                    <w:autoSpaceDN w:val="0"/>
                    <w:adjustRightInd w:val="0"/>
                    <w:jc w:val="center"/>
                    <w:rPr>
                      <w:b/>
                      <w:bCs/>
                      <w:szCs w:val="21"/>
                    </w:rPr>
                  </w:pPr>
                  <w:r>
                    <w:rPr>
                      <w:rFonts w:hint="eastAsia"/>
                      <w:b/>
                      <w:bCs/>
                      <w:szCs w:val="21"/>
                    </w:rPr>
                    <w:t>参数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8" w:type="dxa"/>
                  <w:vAlign w:val="center"/>
                </w:tcPr>
                <w:p>
                  <w:pPr>
                    <w:autoSpaceDE w:val="0"/>
                    <w:autoSpaceDN w:val="0"/>
                    <w:adjustRightInd w:val="0"/>
                    <w:jc w:val="center"/>
                    <w:rPr>
                      <w:bCs/>
                      <w:szCs w:val="21"/>
                    </w:rPr>
                  </w:pPr>
                  <w:r>
                    <w:rPr>
                      <w:rFonts w:hint="eastAsia"/>
                      <w:bCs/>
                      <w:szCs w:val="21"/>
                    </w:rPr>
                    <w:t>1</w:t>
                  </w:r>
                </w:p>
              </w:tc>
              <w:tc>
                <w:tcPr>
                  <w:tcW w:w="1276" w:type="dxa"/>
                  <w:vAlign w:val="center"/>
                </w:tcPr>
                <w:p>
                  <w:pPr>
                    <w:autoSpaceDE w:val="0"/>
                    <w:autoSpaceDN w:val="0"/>
                    <w:adjustRightInd w:val="0"/>
                    <w:jc w:val="center"/>
                    <w:rPr>
                      <w:bCs/>
                      <w:szCs w:val="21"/>
                    </w:rPr>
                  </w:pPr>
                  <w:r>
                    <w:rPr>
                      <w:rFonts w:hint="eastAsia"/>
                      <w:bCs/>
                      <w:szCs w:val="21"/>
                    </w:rPr>
                    <w:t>外观</w:t>
                  </w:r>
                </w:p>
              </w:tc>
              <w:tc>
                <w:tcPr>
                  <w:tcW w:w="2126" w:type="dxa"/>
                  <w:vAlign w:val="center"/>
                </w:tcPr>
                <w:p>
                  <w:pPr>
                    <w:autoSpaceDE w:val="0"/>
                    <w:autoSpaceDN w:val="0"/>
                    <w:adjustRightInd w:val="0"/>
                    <w:jc w:val="center"/>
                    <w:rPr>
                      <w:bCs/>
                      <w:szCs w:val="21"/>
                    </w:rPr>
                  </w:pPr>
                  <w:r>
                    <w:rPr>
                      <w:rFonts w:hint="eastAsia"/>
                      <w:bCs/>
                      <w:szCs w:val="21"/>
                    </w:rPr>
                    <w:t>黄色固体</w:t>
                  </w:r>
                </w:p>
              </w:tc>
              <w:tc>
                <w:tcPr>
                  <w:tcW w:w="709" w:type="dxa"/>
                  <w:vAlign w:val="center"/>
                </w:tcPr>
                <w:p>
                  <w:pPr>
                    <w:autoSpaceDE w:val="0"/>
                    <w:autoSpaceDN w:val="0"/>
                    <w:adjustRightInd w:val="0"/>
                    <w:jc w:val="center"/>
                    <w:rPr>
                      <w:bCs/>
                      <w:szCs w:val="21"/>
                    </w:rPr>
                  </w:pPr>
                  <w:r>
                    <w:rPr>
                      <w:rFonts w:hint="eastAsia"/>
                      <w:bCs/>
                      <w:szCs w:val="21"/>
                    </w:rPr>
                    <w:t>6</w:t>
                  </w:r>
                </w:p>
              </w:tc>
              <w:tc>
                <w:tcPr>
                  <w:tcW w:w="1702" w:type="dxa"/>
                  <w:vAlign w:val="center"/>
                </w:tcPr>
                <w:p>
                  <w:pPr>
                    <w:autoSpaceDE w:val="0"/>
                    <w:autoSpaceDN w:val="0"/>
                    <w:adjustRightInd w:val="0"/>
                    <w:jc w:val="center"/>
                    <w:rPr>
                      <w:bCs/>
                      <w:szCs w:val="21"/>
                    </w:rPr>
                  </w:pPr>
                  <w:r>
                    <w:rPr>
                      <w:rFonts w:hint="eastAsia"/>
                      <w:bCs/>
                      <w:szCs w:val="21"/>
                    </w:rPr>
                    <w:t>晶体结构</w:t>
                  </w:r>
                </w:p>
              </w:tc>
              <w:tc>
                <w:tcPr>
                  <w:tcW w:w="2380" w:type="dxa"/>
                  <w:vAlign w:val="center"/>
                </w:tcPr>
                <w:p>
                  <w:pPr>
                    <w:autoSpaceDE w:val="0"/>
                    <w:autoSpaceDN w:val="0"/>
                    <w:adjustRightInd w:val="0"/>
                    <w:jc w:val="center"/>
                    <w:rPr>
                      <w:bCs/>
                      <w:szCs w:val="21"/>
                    </w:rPr>
                  </w:pPr>
                  <w:r>
                    <w:rPr>
                      <w:rFonts w:hint="eastAsia"/>
                      <w:bCs/>
                      <w:szCs w:val="21"/>
                    </w:rPr>
                    <w:t>六配位层状晶格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8" w:type="dxa"/>
                  <w:vAlign w:val="center"/>
                </w:tcPr>
                <w:p>
                  <w:pPr>
                    <w:autoSpaceDE w:val="0"/>
                    <w:autoSpaceDN w:val="0"/>
                    <w:adjustRightInd w:val="0"/>
                    <w:jc w:val="center"/>
                    <w:rPr>
                      <w:bCs/>
                      <w:szCs w:val="21"/>
                    </w:rPr>
                  </w:pPr>
                  <w:r>
                    <w:rPr>
                      <w:rFonts w:hint="eastAsia"/>
                      <w:bCs/>
                      <w:szCs w:val="21"/>
                    </w:rPr>
                    <w:t>2</w:t>
                  </w:r>
                </w:p>
              </w:tc>
              <w:tc>
                <w:tcPr>
                  <w:tcW w:w="1276" w:type="dxa"/>
                  <w:vAlign w:val="center"/>
                </w:tcPr>
                <w:p>
                  <w:pPr>
                    <w:autoSpaceDE w:val="0"/>
                    <w:autoSpaceDN w:val="0"/>
                    <w:adjustRightInd w:val="0"/>
                    <w:jc w:val="center"/>
                    <w:rPr>
                      <w:bCs/>
                      <w:szCs w:val="21"/>
                    </w:rPr>
                  </w:pPr>
                  <w:r>
                    <w:rPr>
                      <w:rFonts w:hint="eastAsia"/>
                      <w:bCs/>
                      <w:szCs w:val="21"/>
                    </w:rPr>
                    <w:t>密度</w:t>
                  </w:r>
                </w:p>
              </w:tc>
              <w:tc>
                <w:tcPr>
                  <w:tcW w:w="2126" w:type="dxa"/>
                  <w:vAlign w:val="center"/>
                </w:tcPr>
                <w:p>
                  <w:pPr>
                    <w:autoSpaceDE w:val="0"/>
                    <w:autoSpaceDN w:val="0"/>
                    <w:adjustRightInd w:val="0"/>
                    <w:jc w:val="center"/>
                    <w:rPr>
                      <w:bCs/>
                      <w:szCs w:val="21"/>
                    </w:rPr>
                  </w:pPr>
                  <w:r>
                    <w:rPr>
                      <w:rFonts w:hint="eastAsia"/>
                      <w:bCs/>
                      <w:szCs w:val="21"/>
                    </w:rPr>
                    <w:t>2.45g/cm</w:t>
                  </w:r>
                  <w:r>
                    <w:rPr>
                      <w:rFonts w:hint="eastAsia"/>
                      <w:bCs/>
                      <w:szCs w:val="21"/>
                      <w:vertAlign w:val="superscript"/>
                    </w:rPr>
                    <w:t>3</w:t>
                  </w:r>
                </w:p>
              </w:tc>
              <w:tc>
                <w:tcPr>
                  <w:tcW w:w="709" w:type="dxa"/>
                  <w:vAlign w:val="center"/>
                </w:tcPr>
                <w:p>
                  <w:pPr>
                    <w:autoSpaceDE w:val="0"/>
                    <w:autoSpaceDN w:val="0"/>
                    <w:adjustRightInd w:val="0"/>
                    <w:jc w:val="center"/>
                    <w:rPr>
                      <w:bCs/>
                      <w:szCs w:val="21"/>
                    </w:rPr>
                  </w:pPr>
                  <w:r>
                    <w:rPr>
                      <w:rFonts w:hint="eastAsia"/>
                      <w:bCs/>
                      <w:szCs w:val="21"/>
                    </w:rPr>
                    <w:t>7</w:t>
                  </w:r>
                </w:p>
              </w:tc>
              <w:tc>
                <w:tcPr>
                  <w:tcW w:w="1702" w:type="dxa"/>
                  <w:vAlign w:val="center"/>
                </w:tcPr>
                <w:p>
                  <w:pPr>
                    <w:autoSpaceDE w:val="0"/>
                    <w:autoSpaceDN w:val="0"/>
                    <w:adjustRightInd w:val="0"/>
                    <w:jc w:val="center"/>
                    <w:rPr>
                      <w:bCs/>
                      <w:szCs w:val="21"/>
                    </w:rPr>
                  </w:pPr>
                  <w:r>
                    <w:rPr>
                      <w:rFonts w:hint="eastAsia"/>
                      <w:bCs/>
                      <w:szCs w:val="21"/>
                    </w:rPr>
                    <w:t>配位几何</w:t>
                  </w:r>
                </w:p>
              </w:tc>
              <w:tc>
                <w:tcPr>
                  <w:tcW w:w="2380" w:type="dxa"/>
                  <w:vAlign w:val="center"/>
                </w:tcPr>
                <w:p>
                  <w:pPr>
                    <w:autoSpaceDE w:val="0"/>
                    <w:autoSpaceDN w:val="0"/>
                    <w:adjustRightInd w:val="0"/>
                    <w:jc w:val="center"/>
                    <w:rPr>
                      <w:bCs/>
                      <w:szCs w:val="21"/>
                    </w:rPr>
                  </w:pPr>
                  <w:r>
                    <w:rPr>
                      <w:rFonts w:hint="eastAsia"/>
                      <w:bCs/>
                      <w:szCs w:val="21"/>
                    </w:rPr>
                    <w:t>八面体（固体）、四面体（液体）</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8" w:type="dxa"/>
                  <w:vAlign w:val="center"/>
                </w:tcPr>
                <w:p>
                  <w:pPr>
                    <w:autoSpaceDE w:val="0"/>
                    <w:autoSpaceDN w:val="0"/>
                    <w:adjustRightInd w:val="0"/>
                    <w:jc w:val="center"/>
                    <w:rPr>
                      <w:bCs/>
                      <w:szCs w:val="21"/>
                    </w:rPr>
                  </w:pPr>
                  <w:r>
                    <w:rPr>
                      <w:rFonts w:hint="eastAsia"/>
                      <w:bCs/>
                      <w:szCs w:val="21"/>
                    </w:rPr>
                    <w:t>3</w:t>
                  </w:r>
                </w:p>
              </w:tc>
              <w:tc>
                <w:tcPr>
                  <w:tcW w:w="1276" w:type="dxa"/>
                  <w:vAlign w:val="center"/>
                </w:tcPr>
                <w:p>
                  <w:pPr>
                    <w:autoSpaceDE w:val="0"/>
                    <w:autoSpaceDN w:val="0"/>
                    <w:adjustRightInd w:val="0"/>
                    <w:jc w:val="center"/>
                    <w:rPr>
                      <w:bCs/>
                      <w:szCs w:val="21"/>
                    </w:rPr>
                  </w:pPr>
                  <w:r>
                    <w:rPr>
                      <w:rFonts w:hint="eastAsia"/>
                      <w:bCs/>
                      <w:szCs w:val="21"/>
                    </w:rPr>
                    <w:t>熔点</w:t>
                  </w:r>
                </w:p>
              </w:tc>
              <w:tc>
                <w:tcPr>
                  <w:tcW w:w="2126" w:type="dxa"/>
                  <w:vAlign w:val="center"/>
                </w:tcPr>
                <w:p>
                  <w:pPr>
                    <w:autoSpaceDE w:val="0"/>
                    <w:autoSpaceDN w:val="0"/>
                    <w:adjustRightInd w:val="0"/>
                    <w:jc w:val="center"/>
                    <w:rPr>
                      <w:bCs/>
                      <w:szCs w:val="21"/>
                    </w:rPr>
                  </w:pPr>
                  <w:r>
                    <w:rPr>
                      <w:rFonts w:hint="eastAsia"/>
                      <w:bCs/>
                      <w:szCs w:val="21"/>
                    </w:rPr>
                    <w:t>190℃（2.5大气压）</w:t>
                  </w:r>
                </w:p>
              </w:tc>
              <w:tc>
                <w:tcPr>
                  <w:tcW w:w="709" w:type="dxa"/>
                  <w:vAlign w:val="center"/>
                </w:tcPr>
                <w:p>
                  <w:pPr>
                    <w:autoSpaceDE w:val="0"/>
                    <w:autoSpaceDN w:val="0"/>
                    <w:adjustRightInd w:val="0"/>
                    <w:jc w:val="center"/>
                    <w:rPr>
                      <w:bCs/>
                      <w:szCs w:val="21"/>
                    </w:rPr>
                  </w:pPr>
                  <w:r>
                    <w:rPr>
                      <w:rFonts w:hint="eastAsia"/>
                      <w:bCs/>
                      <w:szCs w:val="21"/>
                    </w:rPr>
                    <w:t>8</w:t>
                  </w:r>
                </w:p>
              </w:tc>
              <w:tc>
                <w:tcPr>
                  <w:tcW w:w="1702" w:type="dxa"/>
                  <w:vAlign w:val="center"/>
                </w:tcPr>
                <w:p>
                  <w:pPr>
                    <w:autoSpaceDE w:val="0"/>
                    <w:autoSpaceDN w:val="0"/>
                    <w:adjustRightInd w:val="0"/>
                    <w:jc w:val="center"/>
                    <w:rPr>
                      <w:bCs/>
                      <w:szCs w:val="21"/>
                    </w:rPr>
                  </w:pPr>
                  <w:r>
                    <w:rPr>
                      <w:rFonts w:hint="eastAsia"/>
                      <w:bCs/>
                      <w:szCs w:val="21"/>
                    </w:rPr>
                    <w:t>分子构型</w:t>
                  </w:r>
                </w:p>
              </w:tc>
              <w:tc>
                <w:tcPr>
                  <w:tcW w:w="2380" w:type="dxa"/>
                  <w:vAlign w:val="center"/>
                </w:tcPr>
                <w:p>
                  <w:pPr>
                    <w:autoSpaceDE w:val="0"/>
                    <w:autoSpaceDN w:val="0"/>
                    <w:adjustRightInd w:val="0"/>
                    <w:jc w:val="center"/>
                    <w:rPr>
                      <w:bCs/>
                      <w:szCs w:val="21"/>
                    </w:rPr>
                  </w:pPr>
                  <w:r>
                    <w:rPr>
                      <w:rFonts w:hint="eastAsia"/>
                      <w:bCs/>
                      <w:szCs w:val="21"/>
                    </w:rPr>
                    <w:t>平面三角形（单分子蒸汽）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8" w:type="dxa"/>
                  <w:vAlign w:val="center"/>
                </w:tcPr>
                <w:p>
                  <w:pPr>
                    <w:autoSpaceDE w:val="0"/>
                    <w:autoSpaceDN w:val="0"/>
                    <w:adjustRightInd w:val="0"/>
                    <w:jc w:val="center"/>
                    <w:rPr>
                      <w:bCs/>
                      <w:szCs w:val="21"/>
                    </w:rPr>
                  </w:pPr>
                  <w:r>
                    <w:rPr>
                      <w:rFonts w:hint="eastAsia"/>
                      <w:bCs/>
                      <w:szCs w:val="21"/>
                    </w:rPr>
                    <w:t>4</w:t>
                  </w:r>
                </w:p>
              </w:tc>
              <w:tc>
                <w:tcPr>
                  <w:tcW w:w="1276" w:type="dxa"/>
                  <w:vAlign w:val="center"/>
                </w:tcPr>
                <w:p>
                  <w:pPr>
                    <w:autoSpaceDE w:val="0"/>
                    <w:autoSpaceDN w:val="0"/>
                    <w:adjustRightInd w:val="0"/>
                    <w:jc w:val="center"/>
                    <w:rPr>
                      <w:bCs/>
                      <w:szCs w:val="21"/>
                    </w:rPr>
                  </w:pPr>
                  <w:r>
                    <w:rPr>
                      <w:rFonts w:hint="eastAsia"/>
                      <w:bCs/>
                      <w:szCs w:val="21"/>
                    </w:rPr>
                    <w:t>沸点</w:t>
                  </w:r>
                </w:p>
              </w:tc>
              <w:tc>
                <w:tcPr>
                  <w:tcW w:w="2126" w:type="dxa"/>
                  <w:vAlign w:val="center"/>
                </w:tcPr>
                <w:p>
                  <w:pPr>
                    <w:autoSpaceDE w:val="0"/>
                    <w:autoSpaceDN w:val="0"/>
                    <w:adjustRightInd w:val="0"/>
                    <w:jc w:val="center"/>
                    <w:rPr>
                      <w:bCs/>
                      <w:szCs w:val="21"/>
                    </w:rPr>
                  </w:pPr>
                  <w:r>
                    <w:rPr>
                      <w:rFonts w:hint="eastAsia"/>
                      <w:bCs/>
                      <w:szCs w:val="21"/>
                    </w:rPr>
                    <w:t>178℃（升华）</w:t>
                  </w:r>
                </w:p>
              </w:tc>
              <w:tc>
                <w:tcPr>
                  <w:tcW w:w="709" w:type="dxa"/>
                  <w:vAlign w:val="center"/>
                </w:tcPr>
                <w:p>
                  <w:pPr>
                    <w:autoSpaceDE w:val="0"/>
                    <w:autoSpaceDN w:val="0"/>
                    <w:adjustRightInd w:val="0"/>
                    <w:jc w:val="center"/>
                    <w:rPr>
                      <w:bCs/>
                      <w:szCs w:val="21"/>
                    </w:rPr>
                  </w:pPr>
                  <w:r>
                    <w:rPr>
                      <w:rFonts w:hint="eastAsia"/>
                      <w:bCs/>
                      <w:szCs w:val="21"/>
                    </w:rPr>
                    <w:t>9</w:t>
                  </w:r>
                </w:p>
              </w:tc>
              <w:tc>
                <w:tcPr>
                  <w:tcW w:w="1702" w:type="dxa"/>
                  <w:vAlign w:val="center"/>
                </w:tcPr>
                <w:p>
                  <w:pPr>
                    <w:autoSpaceDE w:val="0"/>
                    <w:autoSpaceDN w:val="0"/>
                    <w:adjustRightInd w:val="0"/>
                    <w:jc w:val="center"/>
                    <w:rPr>
                      <w:bCs/>
                      <w:szCs w:val="21"/>
                    </w:rPr>
                  </w:pPr>
                  <w:r>
                    <w:rPr>
                      <w:rFonts w:hint="eastAsia"/>
                      <w:bCs/>
                      <w:szCs w:val="21"/>
                    </w:rPr>
                    <w:t>燃烧（分解产物）</w:t>
                  </w:r>
                </w:p>
              </w:tc>
              <w:tc>
                <w:tcPr>
                  <w:tcW w:w="2380" w:type="dxa"/>
                  <w:vAlign w:val="center"/>
                </w:tcPr>
                <w:p>
                  <w:pPr>
                    <w:wordWrap w:val="0"/>
                    <w:spacing w:line="276" w:lineRule="atLeast"/>
                    <w:jc w:val="center"/>
                    <w:rPr>
                      <w:bCs/>
                      <w:szCs w:val="21"/>
                    </w:rPr>
                  </w:pPr>
                  <w:r>
                    <w:rPr>
                      <w:rFonts w:hint="eastAsia"/>
                      <w:bCs/>
                      <w:szCs w:val="21"/>
                    </w:rPr>
                    <w:t>氯化物、氧化铝</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708" w:type="dxa"/>
                  <w:vAlign w:val="center"/>
                </w:tcPr>
                <w:p>
                  <w:pPr>
                    <w:autoSpaceDE w:val="0"/>
                    <w:autoSpaceDN w:val="0"/>
                    <w:adjustRightInd w:val="0"/>
                    <w:jc w:val="center"/>
                    <w:rPr>
                      <w:bCs/>
                      <w:szCs w:val="21"/>
                    </w:rPr>
                  </w:pPr>
                  <w:r>
                    <w:rPr>
                      <w:rFonts w:hint="eastAsia"/>
                      <w:bCs/>
                      <w:szCs w:val="21"/>
                    </w:rPr>
                    <w:t>5</w:t>
                  </w:r>
                </w:p>
              </w:tc>
              <w:tc>
                <w:tcPr>
                  <w:tcW w:w="1276" w:type="dxa"/>
                  <w:vAlign w:val="center"/>
                </w:tcPr>
                <w:p>
                  <w:pPr>
                    <w:autoSpaceDE w:val="0"/>
                    <w:autoSpaceDN w:val="0"/>
                    <w:adjustRightInd w:val="0"/>
                    <w:jc w:val="center"/>
                    <w:rPr>
                      <w:bCs/>
                      <w:szCs w:val="21"/>
                    </w:rPr>
                  </w:pPr>
                  <w:r>
                    <w:rPr>
                      <w:rFonts w:hint="eastAsia"/>
                      <w:bCs/>
                      <w:szCs w:val="21"/>
                    </w:rPr>
                    <w:t>溶解度（水）</w:t>
                  </w:r>
                </w:p>
              </w:tc>
              <w:tc>
                <w:tcPr>
                  <w:tcW w:w="2126" w:type="dxa"/>
                  <w:vAlign w:val="center"/>
                </w:tcPr>
                <w:p>
                  <w:pPr>
                    <w:wordWrap w:val="0"/>
                    <w:spacing w:line="276" w:lineRule="atLeast"/>
                    <w:jc w:val="center"/>
                    <w:rPr>
                      <w:bCs/>
                      <w:szCs w:val="21"/>
                    </w:rPr>
                  </w:pPr>
                  <w:r>
                    <w:rPr>
                      <w:rFonts w:hint="eastAsia"/>
                      <w:bCs/>
                      <w:szCs w:val="21"/>
                    </w:rPr>
                    <w:t>45.8g/100g水（20℃）</w:t>
                  </w:r>
                </w:p>
              </w:tc>
              <w:tc>
                <w:tcPr>
                  <w:tcW w:w="709" w:type="dxa"/>
                  <w:vAlign w:val="center"/>
                </w:tcPr>
                <w:p>
                  <w:pPr>
                    <w:autoSpaceDE w:val="0"/>
                    <w:autoSpaceDN w:val="0"/>
                    <w:adjustRightInd w:val="0"/>
                    <w:jc w:val="center"/>
                    <w:rPr>
                      <w:bCs/>
                      <w:szCs w:val="21"/>
                    </w:rPr>
                  </w:pPr>
                  <w:r>
                    <w:rPr>
                      <w:rFonts w:hint="eastAsia"/>
                      <w:bCs/>
                      <w:szCs w:val="21"/>
                    </w:rPr>
                    <w:t>10</w:t>
                  </w:r>
                </w:p>
              </w:tc>
              <w:tc>
                <w:tcPr>
                  <w:tcW w:w="1702" w:type="dxa"/>
                  <w:vAlign w:val="center"/>
                </w:tcPr>
                <w:p>
                  <w:pPr>
                    <w:autoSpaceDE w:val="0"/>
                    <w:autoSpaceDN w:val="0"/>
                    <w:adjustRightInd w:val="0"/>
                    <w:jc w:val="center"/>
                    <w:rPr>
                      <w:bCs/>
                      <w:szCs w:val="21"/>
                    </w:rPr>
                  </w:pPr>
                  <w:r>
                    <w:rPr>
                      <w:rFonts w:hint="eastAsia"/>
                      <w:bCs/>
                      <w:szCs w:val="21"/>
                    </w:rPr>
                    <w:t>水溶性</w:t>
                  </w:r>
                </w:p>
              </w:tc>
              <w:tc>
                <w:tcPr>
                  <w:tcW w:w="2380" w:type="dxa"/>
                  <w:vAlign w:val="center"/>
                </w:tcPr>
                <w:p>
                  <w:pPr>
                    <w:wordWrap w:val="0"/>
                    <w:spacing w:line="276" w:lineRule="atLeast"/>
                    <w:jc w:val="center"/>
                    <w:rPr>
                      <w:bCs/>
                      <w:szCs w:val="21"/>
                    </w:rPr>
                  </w:pPr>
                  <w:r>
                    <w:rPr>
                      <w:rFonts w:hint="eastAsia"/>
                      <w:bCs/>
                      <w:szCs w:val="21"/>
                    </w:rPr>
                    <w:t>易溶于水</w:t>
                  </w:r>
                </w:p>
              </w:tc>
            </w:tr>
          </w:tbl>
          <w:p>
            <w:pPr>
              <w:autoSpaceDE w:val="0"/>
              <w:autoSpaceDN w:val="0"/>
              <w:adjustRightInd w:val="0"/>
              <w:spacing w:line="360" w:lineRule="auto"/>
              <w:ind w:firstLine="482" w:firstLineChars="200"/>
              <w:rPr>
                <w:b/>
                <w:sz w:val="24"/>
                <w:szCs w:val="28"/>
              </w:rPr>
            </w:pPr>
            <w:r>
              <w:rPr>
                <w:rFonts w:hint="eastAsia"/>
                <w:b/>
                <w:sz w:val="24"/>
                <w:szCs w:val="28"/>
              </w:rPr>
              <w:t>7、</w:t>
            </w:r>
            <w:r>
              <w:rPr>
                <w:b/>
                <w:sz w:val="24"/>
                <w:szCs w:val="28"/>
              </w:rPr>
              <w:t>平面布置</w:t>
            </w:r>
          </w:p>
          <w:p>
            <w:pPr>
              <w:autoSpaceDE w:val="0"/>
              <w:autoSpaceDN w:val="0"/>
              <w:adjustRightInd w:val="0"/>
              <w:spacing w:line="360" w:lineRule="auto"/>
              <w:ind w:firstLine="480" w:firstLineChars="200"/>
              <w:rPr>
                <w:sz w:val="24"/>
                <w:szCs w:val="28"/>
              </w:rPr>
            </w:pPr>
            <w:r>
              <w:rPr>
                <w:rFonts w:hint="eastAsia"/>
                <w:sz w:val="24"/>
                <w:szCs w:val="28"/>
              </w:rPr>
              <w:t>规划拟建建设场地为沿街道路及人行道，位于太昌主街道东侧，长约384.58m，在地块内呈方形布置，由南、北方向街道与外界相互连通，能满足居民的日常使用要求。广场位于道路交叉口，为东风村村民提供文体娱乐和休闲游憩的场地。道路平面布置图见附图3，广场平面布置图见附图4，给排水管网平面布置图见附图5。</w:t>
            </w:r>
          </w:p>
          <w:p>
            <w:pPr>
              <w:autoSpaceDE w:val="0"/>
              <w:autoSpaceDN w:val="0"/>
              <w:adjustRightInd w:val="0"/>
              <w:spacing w:line="360" w:lineRule="auto"/>
              <w:ind w:firstLine="480" w:firstLineChars="200"/>
              <w:rPr>
                <w:sz w:val="24"/>
                <w:szCs w:val="28"/>
              </w:rPr>
            </w:pPr>
            <w:r>
              <w:rPr>
                <w:rFonts w:hint="eastAsia"/>
                <w:sz w:val="24"/>
                <w:szCs w:val="28"/>
              </w:rPr>
              <w:t>污水处理站平面布置原则：</w:t>
            </w:r>
          </w:p>
          <w:p>
            <w:pPr>
              <w:autoSpaceDE w:val="0"/>
              <w:autoSpaceDN w:val="0"/>
              <w:adjustRightInd w:val="0"/>
              <w:spacing w:line="360" w:lineRule="auto"/>
              <w:ind w:firstLine="480" w:firstLineChars="200"/>
              <w:rPr>
                <w:sz w:val="24"/>
                <w:szCs w:val="28"/>
              </w:rPr>
            </w:pPr>
            <w:r>
              <w:rPr>
                <w:rFonts w:hint="eastAsia"/>
                <w:sz w:val="24"/>
                <w:szCs w:val="28"/>
              </w:rPr>
              <w:t>（1）工艺流程顺畅，功能分区明确，平面布局合理，满足国家规范及标准；</w:t>
            </w:r>
          </w:p>
          <w:p>
            <w:pPr>
              <w:autoSpaceDE w:val="0"/>
              <w:autoSpaceDN w:val="0"/>
              <w:adjustRightInd w:val="0"/>
              <w:spacing w:line="360" w:lineRule="auto"/>
              <w:ind w:firstLine="480" w:firstLineChars="200"/>
              <w:rPr>
                <w:sz w:val="24"/>
                <w:szCs w:val="28"/>
              </w:rPr>
            </w:pPr>
            <w:r>
              <w:rPr>
                <w:rFonts w:hint="eastAsia"/>
                <w:sz w:val="24"/>
                <w:szCs w:val="28"/>
              </w:rPr>
              <w:t>（2）办公区及生产区的布置应顺应夏季主导风向，办公区处于上风向；</w:t>
            </w:r>
          </w:p>
          <w:p>
            <w:pPr>
              <w:autoSpaceDE w:val="0"/>
              <w:autoSpaceDN w:val="0"/>
              <w:adjustRightInd w:val="0"/>
              <w:spacing w:line="360" w:lineRule="auto"/>
              <w:ind w:firstLine="480" w:firstLineChars="200"/>
              <w:rPr>
                <w:sz w:val="24"/>
                <w:szCs w:val="28"/>
              </w:rPr>
            </w:pPr>
            <w:r>
              <w:rPr>
                <w:rFonts w:hint="eastAsia"/>
                <w:sz w:val="24"/>
                <w:szCs w:val="28"/>
              </w:rPr>
              <w:t>（3）进水、出水构筑物布置顺畅；</w:t>
            </w:r>
          </w:p>
          <w:p>
            <w:pPr>
              <w:autoSpaceDE w:val="0"/>
              <w:autoSpaceDN w:val="0"/>
              <w:adjustRightInd w:val="0"/>
              <w:spacing w:line="360" w:lineRule="auto"/>
              <w:ind w:firstLine="480" w:firstLineChars="200"/>
              <w:rPr>
                <w:sz w:val="24"/>
                <w:szCs w:val="28"/>
              </w:rPr>
            </w:pPr>
            <w:r>
              <w:rPr>
                <w:rFonts w:hint="eastAsia"/>
                <w:sz w:val="24"/>
                <w:szCs w:val="28"/>
              </w:rPr>
              <w:t>（4）布置紧凑、节约用地，满足绿化用地；</w:t>
            </w:r>
          </w:p>
          <w:p>
            <w:pPr>
              <w:autoSpaceDE w:val="0"/>
              <w:autoSpaceDN w:val="0"/>
              <w:adjustRightInd w:val="0"/>
              <w:spacing w:line="360" w:lineRule="auto"/>
              <w:ind w:firstLine="480" w:firstLineChars="200"/>
              <w:rPr>
                <w:sz w:val="24"/>
                <w:szCs w:val="28"/>
              </w:rPr>
            </w:pPr>
            <w:r>
              <w:rPr>
                <w:rFonts w:hint="eastAsia"/>
                <w:sz w:val="24"/>
                <w:szCs w:val="28"/>
              </w:rPr>
              <w:t>（5）人流、物流运输便捷，主次道路分级明确，满足消防要求。</w:t>
            </w:r>
          </w:p>
          <w:p>
            <w:pPr>
              <w:autoSpaceDE w:val="0"/>
              <w:autoSpaceDN w:val="0"/>
              <w:adjustRightInd w:val="0"/>
              <w:spacing w:line="360" w:lineRule="auto"/>
              <w:ind w:firstLine="480" w:firstLineChars="200"/>
              <w:rPr>
                <w:sz w:val="24"/>
                <w:szCs w:val="28"/>
              </w:rPr>
            </w:pPr>
            <w:r>
              <w:rPr>
                <w:rFonts w:hint="eastAsia"/>
                <w:sz w:val="24"/>
                <w:szCs w:val="28"/>
              </w:rPr>
              <w:t>污水处理站位于太昌镇东风村，场地主要为生产区和设备间，生产区由格栅、综合池、好氧池、沉淀池等组成，均为地下式，设备间为地上式，进、出水口明确，靠近村道，道路运输方便。污水处理站处于乡镇街道侧风向。建筑间距满足防火间距和卫生防护要求，同时也满足各种管线布置要求。厂区周围设2.5m高围栏。污水站平面布置图见附图6。</w:t>
            </w:r>
          </w:p>
          <w:p>
            <w:pPr>
              <w:autoSpaceDE w:val="0"/>
              <w:autoSpaceDN w:val="0"/>
              <w:adjustRightInd w:val="0"/>
              <w:spacing w:line="360" w:lineRule="auto"/>
              <w:ind w:firstLine="482" w:firstLineChars="200"/>
              <w:rPr>
                <w:b/>
                <w:sz w:val="24"/>
                <w:szCs w:val="28"/>
              </w:rPr>
            </w:pPr>
            <w:r>
              <w:rPr>
                <w:rFonts w:hint="eastAsia"/>
                <w:b/>
                <w:sz w:val="24"/>
                <w:szCs w:val="28"/>
              </w:rPr>
              <w:t>8、辅助工程</w:t>
            </w:r>
          </w:p>
          <w:p>
            <w:pPr>
              <w:autoSpaceDE w:val="0"/>
              <w:autoSpaceDN w:val="0"/>
              <w:adjustRightInd w:val="0"/>
              <w:spacing w:line="360" w:lineRule="auto"/>
              <w:ind w:firstLine="480" w:firstLineChars="200"/>
              <w:rPr>
                <w:sz w:val="24"/>
                <w:szCs w:val="28"/>
              </w:rPr>
            </w:pPr>
            <w:r>
              <w:rPr>
                <w:rFonts w:hint="eastAsia"/>
                <w:sz w:val="24"/>
                <w:szCs w:val="28"/>
              </w:rPr>
              <w:t>项目污水站自动控制系统由PLC组成的控制系统和仪表检测系统两部分组成。</w:t>
            </w:r>
          </w:p>
          <w:p>
            <w:pPr>
              <w:autoSpaceDE w:val="0"/>
              <w:autoSpaceDN w:val="0"/>
              <w:adjustRightInd w:val="0"/>
              <w:spacing w:line="360" w:lineRule="auto"/>
              <w:ind w:firstLine="480" w:firstLineChars="200"/>
              <w:rPr>
                <w:sz w:val="24"/>
                <w:szCs w:val="28"/>
              </w:rPr>
            </w:pPr>
            <w:r>
              <w:rPr>
                <w:rFonts w:hint="eastAsia"/>
                <w:sz w:val="24"/>
                <w:szCs w:val="28"/>
              </w:rPr>
              <w:t>（1</w:t>
            </w:r>
            <w:r>
              <w:rPr>
                <w:sz w:val="24"/>
                <w:szCs w:val="28"/>
              </w:rPr>
              <w:t>）PLC</w:t>
            </w:r>
            <w:r>
              <w:rPr>
                <w:rFonts w:hint="eastAsia"/>
                <w:sz w:val="24"/>
                <w:szCs w:val="28"/>
              </w:rPr>
              <w:t>组成的控制系统</w:t>
            </w:r>
          </w:p>
          <w:p>
            <w:pPr>
              <w:autoSpaceDE w:val="0"/>
              <w:autoSpaceDN w:val="0"/>
              <w:adjustRightInd w:val="0"/>
              <w:spacing w:line="360" w:lineRule="auto"/>
              <w:ind w:firstLine="480" w:firstLineChars="200"/>
              <w:rPr>
                <w:sz w:val="24"/>
                <w:szCs w:val="28"/>
              </w:rPr>
            </w:pPr>
            <w:r>
              <w:rPr>
                <w:rFonts w:hint="eastAsia"/>
                <w:sz w:val="24"/>
                <w:szCs w:val="28"/>
              </w:rPr>
              <w:t>全厂的控制管理系统是基于现代先进控制思想的分布式控制系统，它集成了当代高性能PLC及智能化仪表的各自特点于一身，使其在污水处理站的运行管理方面发挥了巨大的作用。PLC系统预留以太网接口，以备未来将污水处理站运行数据上传之需。</w:t>
            </w:r>
          </w:p>
          <w:p>
            <w:pPr>
              <w:autoSpaceDE w:val="0"/>
              <w:autoSpaceDN w:val="0"/>
              <w:adjustRightInd w:val="0"/>
              <w:spacing w:line="360" w:lineRule="auto"/>
              <w:ind w:firstLine="480" w:firstLineChars="200"/>
              <w:rPr>
                <w:sz w:val="24"/>
                <w:szCs w:val="28"/>
              </w:rPr>
            </w:pPr>
            <w:r>
              <w:rPr>
                <w:rFonts w:hint="eastAsia"/>
                <w:sz w:val="24"/>
                <w:szCs w:val="28"/>
              </w:rPr>
              <w:t>（2）预留在线仪表检测系统接口</w:t>
            </w:r>
          </w:p>
          <w:p>
            <w:pPr>
              <w:autoSpaceDE w:val="0"/>
              <w:autoSpaceDN w:val="0"/>
              <w:adjustRightInd w:val="0"/>
              <w:spacing w:line="360" w:lineRule="auto"/>
              <w:ind w:firstLine="480" w:firstLineChars="200"/>
              <w:rPr>
                <w:sz w:val="24"/>
                <w:szCs w:val="28"/>
              </w:rPr>
            </w:pPr>
            <w:r>
              <w:rPr>
                <w:rFonts w:hint="eastAsia"/>
                <w:sz w:val="24"/>
                <w:szCs w:val="28"/>
              </w:rPr>
              <w:t>拟建项目为了掌握工艺运行情况，使出厂水达标排放，预留设置以下在线检测仪表：</w:t>
            </w:r>
          </w:p>
          <w:p>
            <w:pPr>
              <w:autoSpaceDE w:val="0"/>
              <w:autoSpaceDN w:val="0"/>
              <w:adjustRightInd w:val="0"/>
              <w:spacing w:line="360" w:lineRule="auto"/>
              <w:ind w:firstLine="480" w:firstLineChars="200"/>
              <w:rPr>
                <w:sz w:val="24"/>
                <w:szCs w:val="28"/>
              </w:rPr>
            </w:pPr>
            <w:r>
              <w:rPr>
                <w:rFonts w:hint="eastAsia"/>
                <w:sz w:val="24"/>
                <w:szCs w:val="28"/>
              </w:rPr>
              <w:t>①进水控制井：设pH计、温度计、SS检测仪、用于对进场水质进行检测。</w:t>
            </w:r>
          </w:p>
          <w:p>
            <w:pPr>
              <w:autoSpaceDE w:val="0"/>
              <w:autoSpaceDN w:val="0"/>
              <w:adjustRightInd w:val="0"/>
              <w:spacing w:line="360" w:lineRule="auto"/>
              <w:ind w:firstLine="480" w:firstLineChars="200"/>
              <w:rPr>
                <w:sz w:val="24"/>
                <w:szCs w:val="28"/>
              </w:rPr>
            </w:pPr>
            <w:r>
              <w:rPr>
                <w:rFonts w:hint="eastAsia"/>
                <w:sz w:val="24"/>
                <w:szCs w:val="28"/>
              </w:rPr>
              <w:t>提升泵房：在提升泵房设超声波液位计用于潜水泵开停控制。</w:t>
            </w:r>
          </w:p>
          <w:p>
            <w:pPr>
              <w:autoSpaceDE w:val="0"/>
              <w:autoSpaceDN w:val="0"/>
              <w:adjustRightInd w:val="0"/>
              <w:spacing w:line="360" w:lineRule="auto"/>
              <w:ind w:firstLine="480" w:firstLineChars="200"/>
              <w:rPr>
                <w:sz w:val="24"/>
                <w:szCs w:val="28"/>
              </w:rPr>
            </w:pPr>
            <w:r>
              <w:rPr>
                <w:rFonts w:hint="eastAsia"/>
                <w:sz w:val="24"/>
                <w:szCs w:val="28"/>
              </w:rPr>
              <w:t>②计量井：设电磁流量测量进出水水量。</w:t>
            </w:r>
          </w:p>
          <w:p>
            <w:pPr>
              <w:autoSpaceDE w:val="0"/>
              <w:autoSpaceDN w:val="0"/>
              <w:adjustRightInd w:val="0"/>
              <w:spacing w:line="360" w:lineRule="auto"/>
              <w:ind w:firstLine="480" w:firstLineChars="200"/>
              <w:rPr>
                <w:sz w:val="24"/>
                <w:szCs w:val="28"/>
              </w:rPr>
            </w:pPr>
            <w:r>
              <w:rPr>
                <w:rFonts w:hint="eastAsia"/>
                <w:sz w:val="24"/>
                <w:szCs w:val="28"/>
              </w:rPr>
              <w:t>③泵房：送水泵房设置吸水井液位、送水流量、送水压力检测计；剩余及污泥回流泵房设置超声波液位计，控制泵启停。</w:t>
            </w:r>
          </w:p>
          <w:p>
            <w:pPr>
              <w:autoSpaceDE w:val="0"/>
              <w:autoSpaceDN w:val="0"/>
              <w:adjustRightInd w:val="0"/>
              <w:spacing w:line="360" w:lineRule="auto"/>
              <w:ind w:firstLine="480" w:firstLineChars="200"/>
              <w:rPr>
                <w:sz w:val="24"/>
                <w:szCs w:val="28"/>
              </w:rPr>
            </w:pPr>
            <w:r>
              <w:rPr>
                <w:rFonts w:hint="eastAsia"/>
                <w:sz w:val="24"/>
                <w:szCs w:val="28"/>
              </w:rPr>
              <w:t>④进水口、出水口分别预留CODcr和NH</w:t>
            </w:r>
            <w:r>
              <w:rPr>
                <w:rFonts w:hint="eastAsia"/>
                <w:sz w:val="24"/>
                <w:szCs w:val="28"/>
                <w:vertAlign w:val="subscript"/>
              </w:rPr>
              <w:t>3</w:t>
            </w:r>
            <w:r>
              <w:rPr>
                <w:rFonts w:hint="eastAsia"/>
                <w:sz w:val="24"/>
                <w:szCs w:val="28"/>
              </w:rPr>
              <w:t>-N在线监测装置。</w:t>
            </w:r>
          </w:p>
          <w:p>
            <w:pPr>
              <w:autoSpaceDE w:val="0"/>
              <w:autoSpaceDN w:val="0"/>
              <w:adjustRightInd w:val="0"/>
              <w:spacing w:line="360" w:lineRule="auto"/>
              <w:ind w:firstLine="482" w:firstLineChars="200"/>
              <w:rPr>
                <w:b/>
                <w:sz w:val="24"/>
                <w:szCs w:val="28"/>
              </w:rPr>
            </w:pPr>
            <w:r>
              <w:rPr>
                <w:rFonts w:hint="eastAsia"/>
                <w:b/>
                <w:sz w:val="24"/>
                <w:szCs w:val="28"/>
              </w:rPr>
              <w:t>9、公用工程</w:t>
            </w:r>
          </w:p>
          <w:p>
            <w:pPr>
              <w:autoSpaceDE w:val="0"/>
              <w:autoSpaceDN w:val="0"/>
              <w:adjustRightInd w:val="0"/>
              <w:spacing w:line="360" w:lineRule="auto"/>
              <w:ind w:firstLine="480" w:firstLineChars="200"/>
              <w:rPr>
                <w:sz w:val="24"/>
                <w:szCs w:val="28"/>
              </w:rPr>
            </w:pPr>
            <w:r>
              <w:rPr>
                <w:rFonts w:hint="eastAsia"/>
                <w:sz w:val="24"/>
                <w:szCs w:val="28"/>
              </w:rPr>
              <w:t>（1）供电</w:t>
            </w:r>
          </w:p>
          <w:p>
            <w:pPr>
              <w:autoSpaceDE w:val="0"/>
              <w:autoSpaceDN w:val="0"/>
              <w:adjustRightInd w:val="0"/>
              <w:spacing w:line="360" w:lineRule="auto"/>
              <w:ind w:firstLine="480" w:firstLineChars="200"/>
              <w:rPr>
                <w:sz w:val="24"/>
                <w:szCs w:val="28"/>
              </w:rPr>
            </w:pPr>
            <w:r>
              <w:rPr>
                <w:rFonts w:hint="eastAsia"/>
                <w:sz w:val="24"/>
                <w:szCs w:val="28"/>
              </w:rPr>
              <w:t>拟建项目用电由宁县供电公司太昌镇供电所供给，满足项目需求。</w:t>
            </w:r>
          </w:p>
          <w:p>
            <w:pPr>
              <w:autoSpaceDE w:val="0"/>
              <w:autoSpaceDN w:val="0"/>
              <w:adjustRightInd w:val="0"/>
              <w:spacing w:line="360" w:lineRule="auto"/>
              <w:ind w:firstLine="480" w:firstLineChars="200"/>
              <w:rPr>
                <w:sz w:val="24"/>
                <w:szCs w:val="28"/>
              </w:rPr>
            </w:pPr>
            <w:r>
              <w:rPr>
                <w:rFonts w:hint="eastAsia"/>
                <w:sz w:val="24"/>
                <w:szCs w:val="28"/>
              </w:rPr>
              <w:t>（2）给排水</w:t>
            </w:r>
          </w:p>
          <w:p>
            <w:pPr>
              <w:autoSpaceDE w:val="0"/>
              <w:autoSpaceDN w:val="0"/>
              <w:adjustRightInd w:val="0"/>
              <w:spacing w:line="360" w:lineRule="auto"/>
              <w:ind w:firstLine="480" w:firstLineChars="200"/>
              <w:rPr>
                <w:sz w:val="24"/>
                <w:szCs w:val="28"/>
              </w:rPr>
            </w:pPr>
            <w:r>
              <w:rPr>
                <w:rFonts w:hint="eastAsia"/>
                <w:sz w:val="24"/>
                <w:szCs w:val="28"/>
              </w:rPr>
              <w:t>生活用水：根据本项目工艺设计，仅需1名兼职管理员负责污水站设备的日常巡检工作，管理员不在污水站区生活，污水站区不需生活用水。</w:t>
            </w:r>
          </w:p>
          <w:p>
            <w:pPr>
              <w:autoSpaceDE w:val="0"/>
              <w:autoSpaceDN w:val="0"/>
              <w:adjustRightInd w:val="0"/>
              <w:spacing w:line="360" w:lineRule="auto"/>
              <w:ind w:firstLine="480" w:firstLineChars="200"/>
              <w:rPr>
                <w:sz w:val="24"/>
                <w:szCs w:val="28"/>
              </w:rPr>
            </w:pPr>
            <w:r>
              <w:rPr>
                <w:rFonts w:hint="eastAsia"/>
                <w:sz w:val="24"/>
                <w:szCs w:val="28"/>
              </w:rPr>
              <w:t>生产用水：本项目生产用水主要为污水站药品稀释用水，类比同类项目：一吨污水需加入200g净化药剂，本项目设计处理能力为100m</w:t>
            </w:r>
            <w:r>
              <w:rPr>
                <w:rFonts w:hint="eastAsia"/>
                <w:sz w:val="24"/>
                <w:szCs w:val="28"/>
                <w:vertAlign w:val="superscript"/>
              </w:rPr>
              <w:t>3</w:t>
            </w:r>
            <w:r>
              <w:rPr>
                <w:rFonts w:hint="eastAsia"/>
                <w:sz w:val="24"/>
                <w:szCs w:val="28"/>
              </w:rPr>
              <w:t>/d，药剂用量为20kg/d，稀释用水比例为10L/kg，则项目稀释用水量为0.2m</w:t>
            </w:r>
            <w:r>
              <w:rPr>
                <w:rFonts w:hint="eastAsia"/>
                <w:sz w:val="24"/>
                <w:szCs w:val="28"/>
                <w:vertAlign w:val="superscript"/>
              </w:rPr>
              <w:t>3</w:t>
            </w:r>
            <w:r>
              <w:rPr>
                <w:rFonts w:hint="eastAsia"/>
                <w:sz w:val="24"/>
                <w:szCs w:val="28"/>
              </w:rPr>
              <w:t>/d（73m</w:t>
            </w:r>
            <w:r>
              <w:rPr>
                <w:rFonts w:hint="eastAsia"/>
                <w:sz w:val="24"/>
                <w:szCs w:val="28"/>
                <w:vertAlign w:val="superscript"/>
              </w:rPr>
              <w:t>3</w:t>
            </w:r>
            <w:r>
              <w:rPr>
                <w:rFonts w:hint="eastAsia"/>
                <w:sz w:val="24"/>
                <w:szCs w:val="28"/>
              </w:rPr>
              <w:t>/a）。</w:t>
            </w:r>
          </w:p>
          <w:p>
            <w:pPr>
              <w:autoSpaceDE w:val="0"/>
              <w:autoSpaceDN w:val="0"/>
              <w:adjustRightInd w:val="0"/>
              <w:spacing w:line="360" w:lineRule="auto"/>
              <w:ind w:firstLine="480" w:firstLineChars="200"/>
              <w:rPr>
                <w:sz w:val="24"/>
                <w:szCs w:val="28"/>
              </w:rPr>
            </w:pPr>
            <w:r>
              <w:rPr>
                <w:rFonts w:hint="eastAsia"/>
                <w:sz w:val="24"/>
                <w:szCs w:val="28"/>
              </w:rPr>
              <w:t>绿化用水：本项目工程绿化面积为1387.28m</w:t>
            </w:r>
            <w:r>
              <w:rPr>
                <w:rFonts w:hint="eastAsia"/>
                <w:sz w:val="24"/>
                <w:szCs w:val="28"/>
                <w:vertAlign w:val="superscript"/>
              </w:rPr>
              <w:t>2</w:t>
            </w:r>
            <w:r>
              <w:rPr>
                <w:rFonts w:hint="eastAsia"/>
                <w:sz w:val="24"/>
                <w:szCs w:val="28"/>
              </w:rPr>
              <w:t>，绿化用水量以1.0L/m</w:t>
            </w:r>
            <w:r>
              <w:rPr>
                <w:rFonts w:hint="eastAsia"/>
                <w:sz w:val="24"/>
                <w:szCs w:val="28"/>
                <w:vertAlign w:val="superscript"/>
              </w:rPr>
              <w:t>2</w:t>
            </w:r>
            <w:r>
              <w:rPr>
                <w:rFonts w:hint="eastAsia"/>
                <w:sz w:val="24"/>
                <w:szCs w:val="28"/>
              </w:rPr>
              <w:t>·次计算，绿化频次每年按30次算，项目绿化用水量为0.11m</w:t>
            </w:r>
            <w:r>
              <w:rPr>
                <w:rFonts w:hint="eastAsia"/>
                <w:sz w:val="24"/>
                <w:szCs w:val="28"/>
                <w:vertAlign w:val="superscript"/>
              </w:rPr>
              <w:t>3</w:t>
            </w:r>
            <w:r>
              <w:rPr>
                <w:rFonts w:hint="eastAsia"/>
                <w:sz w:val="24"/>
                <w:szCs w:val="28"/>
              </w:rPr>
              <w:t>/d（41.6m</w:t>
            </w:r>
            <w:r>
              <w:rPr>
                <w:rFonts w:hint="eastAsia"/>
                <w:sz w:val="24"/>
                <w:szCs w:val="28"/>
                <w:vertAlign w:val="superscript"/>
              </w:rPr>
              <w:t>3</w:t>
            </w:r>
            <w:r>
              <w:rPr>
                <w:rFonts w:hint="eastAsia"/>
                <w:sz w:val="24"/>
                <w:szCs w:val="28"/>
              </w:rPr>
              <w:t>/a）。</w:t>
            </w:r>
          </w:p>
          <w:p>
            <w:pPr>
              <w:autoSpaceDE w:val="0"/>
              <w:autoSpaceDN w:val="0"/>
              <w:adjustRightInd w:val="0"/>
              <w:spacing w:line="360" w:lineRule="auto"/>
              <w:ind w:firstLine="480" w:firstLineChars="200"/>
              <w:rPr>
                <w:sz w:val="24"/>
                <w:szCs w:val="28"/>
              </w:rPr>
            </w:pPr>
            <w:r>
              <w:rPr>
                <w:rFonts w:hint="eastAsia"/>
                <w:sz w:val="24"/>
                <w:szCs w:val="28"/>
              </w:rPr>
              <w:t>综上所述，本项目总用水量为0.31m</w:t>
            </w:r>
            <w:r>
              <w:rPr>
                <w:rFonts w:hint="eastAsia"/>
                <w:sz w:val="24"/>
                <w:szCs w:val="28"/>
                <w:vertAlign w:val="superscript"/>
              </w:rPr>
              <w:t>3</w:t>
            </w:r>
            <w:r>
              <w:rPr>
                <w:rFonts w:hint="eastAsia"/>
                <w:sz w:val="24"/>
                <w:szCs w:val="28"/>
              </w:rPr>
              <w:t>/d（114.6m</w:t>
            </w:r>
            <w:r>
              <w:rPr>
                <w:rFonts w:hint="eastAsia"/>
                <w:sz w:val="24"/>
                <w:szCs w:val="28"/>
                <w:vertAlign w:val="superscript"/>
              </w:rPr>
              <w:t>3</w:t>
            </w:r>
            <w:r>
              <w:rPr>
                <w:rFonts w:hint="eastAsia"/>
                <w:sz w:val="24"/>
                <w:szCs w:val="28"/>
              </w:rPr>
              <w:t>/a）。</w:t>
            </w:r>
          </w:p>
          <w:p>
            <w:pPr>
              <w:autoSpaceDE w:val="0"/>
              <w:autoSpaceDN w:val="0"/>
              <w:adjustRightInd w:val="0"/>
              <w:spacing w:line="360" w:lineRule="auto"/>
              <w:ind w:firstLine="480" w:firstLineChars="200"/>
              <w:rPr>
                <w:sz w:val="24"/>
                <w:szCs w:val="28"/>
              </w:rPr>
            </w:pPr>
            <w:r>
              <w:rPr>
                <w:rFonts w:hint="eastAsia"/>
                <w:sz w:val="24"/>
                <w:szCs w:val="28"/>
              </w:rPr>
              <w:t>项目水平衡一览表详见表9。</w:t>
            </w:r>
          </w:p>
          <w:p>
            <w:pPr>
              <w:autoSpaceDE w:val="0"/>
              <w:autoSpaceDN w:val="0"/>
              <w:adjustRightInd w:val="0"/>
              <w:spacing w:line="360" w:lineRule="auto"/>
              <w:ind w:firstLine="422" w:firstLineChars="200"/>
              <w:jc w:val="center"/>
              <w:rPr>
                <w:b/>
                <w:szCs w:val="21"/>
              </w:rPr>
            </w:pPr>
            <w:r>
              <w:rPr>
                <w:rFonts w:hint="eastAsia"/>
                <w:b/>
                <w:szCs w:val="21"/>
              </w:rPr>
              <w:t>表9  项目水平衡一览表  单位：m</w:t>
            </w:r>
            <w:r>
              <w:rPr>
                <w:rFonts w:hint="eastAsia"/>
                <w:b/>
                <w:szCs w:val="21"/>
                <w:vertAlign w:val="superscript"/>
              </w:rPr>
              <w:t>3</w:t>
            </w:r>
            <w:r>
              <w:rPr>
                <w:rFonts w:hint="eastAsia"/>
                <w:b/>
                <w:szCs w:val="21"/>
              </w:rPr>
              <w:t>/d</w:t>
            </w:r>
          </w:p>
          <w:tbl>
            <w:tblPr>
              <w:tblStyle w:val="36"/>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21"/>
              <w:gridCol w:w="1275"/>
              <w:gridCol w:w="2549"/>
              <w:gridCol w:w="1276"/>
              <w:gridCol w:w="1134"/>
              <w:gridCol w:w="12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421" w:type="dxa"/>
                  <w:vAlign w:val="center"/>
                </w:tcPr>
                <w:p>
                  <w:pPr>
                    <w:autoSpaceDE w:val="0"/>
                    <w:autoSpaceDN w:val="0"/>
                    <w:adjustRightInd w:val="0"/>
                    <w:jc w:val="center"/>
                    <w:rPr>
                      <w:rFonts w:hAnsi="宋体"/>
                      <w:b/>
                      <w:kern w:val="0"/>
                      <w:szCs w:val="21"/>
                    </w:rPr>
                  </w:pPr>
                  <w:r>
                    <w:rPr>
                      <w:rFonts w:hint="eastAsia" w:hAnsi="宋体"/>
                      <w:b/>
                      <w:kern w:val="0"/>
                      <w:szCs w:val="21"/>
                    </w:rPr>
                    <w:t>类别</w:t>
                  </w:r>
                </w:p>
              </w:tc>
              <w:tc>
                <w:tcPr>
                  <w:tcW w:w="1275" w:type="dxa"/>
                  <w:vAlign w:val="center"/>
                </w:tcPr>
                <w:p>
                  <w:pPr>
                    <w:autoSpaceDE w:val="0"/>
                    <w:autoSpaceDN w:val="0"/>
                    <w:adjustRightInd w:val="0"/>
                    <w:jc w:val="center"/>
                    <w:rPr>
                      <w:rFonts w:hAnsi="宋体"/>
                      <w:b/>
                      <w:kern w:val="0"/>
                      <w:szCs w:val="21"/>
                    </w:rPr>
                  </w:pPr>
                  <w:r>
                    <w:rPr>
                      <w:rFonts w:hint="eastAsia" w:hAnsi="宋体"/>
                      <w:b/>
                      <w:kern w:val="0"/>
                      <w:szCs w:val="21"/>
                    </w:rPr>
                    <w:t>规模</w:t>
                  </w:r>
                </w:p>
              </w:tc>
              <w:tc>
                <w:tcPr>
                  <w:tcW w:w="2549" w:type="dxa"/>
                  <w:vAlign w:val="center"/>
                </w:tcPr>
                <w:p>
                  <w:pPr>
                    <w:autoSpaceDE w:val="0"/>
                    <w:autoSpaceDN w:val="0"/>
                    <w:adjustRightInd w:val="0"/>
                    <w:jc w:val="center"/>
                    <w:rPr>
                      <w:rFonts w:hAnsi="宋体"/>
                      <w:b/>
                      <w:kern w:val="0"/>
                      <w:szCs w:val="21"/>
                    </w:rPr>
                  </w:pPr>
                  <w:r>
                    <w:rPr>
                      <w:b/>
                      <w:szCs w:val="21"/>
                    </w:rPr>
                    <w:t>用水标准</w:t>
                  </w:r>
                </w:p>
              </w:tc>
              <w:tc>
                <w:tcPr>
                  <w:tcW w:w="1276" w:type="dxa"/>
                  <w:vAlign w:val="center"/>
                </w:tcPr>
                <w:p>
                  <w:pPr>
                    <w:autoSpaceDE w:val="0"/>
                    <w:autoSpaceDN w:val="0"/>
                    <w:adjustRightInd w:val="0"/>
                    <w:jc w:val="center"/>
                    <w:rPr>
                      <w:rFonts w:hAnsi="宋体"/>
                      <w:b/>
                      <w:kern w:val="0"/>
                      <w:szCs w:val="21"/>
                    </w:rPr>
                  </w:pPr>
                  <w:r>
                    <w:rPr>
                      <w:b/>
                      <w:szCs w:val="21"/>
                    </w:rPr>
                    <w:t>用水量</w:t>
                  </w:r>
                </w:p>
              </w:tc>
              <w:tc>
                <w:tcPr>
                  <w:tcW w:w="1134" w:type="dxa"/>
                  <w:vAlign w:val="center"/>
                </w:tcPr>
                <w:p>
                  <w:pPr>
                    <w:autoSpaceDE w:val="0"/>
                    <w:autoSpaceDN w:val="0"/>
                    <w:adjustRightInd w:val="0"/>
                    <w:jc w:val="center"/>
                    <w:rPr>
                      <w:b/>
                      <w:szCs w:val="21"/>
                    </w:rPr>
                  </w:pPr>
                  <w:r>
                    <w:rPr>
                      <w:b/>
                      <w:szCs w:val="21"/>
                    </w:rPr>
                    <w:t>损耗量</w:t>
                  </w:r>
                </w:p>
              </w:tc>
              <w:tc>
                <w:tcPr>
                  <w:tcW w:w="1246" w:type="dxa"/>
                  <w:vAlign w:val="center"/>
                </w:tcPr>
                <w:p>
                  <w:pPr>
                    <w:autoSpaceDE w:val="0"/>
                    <w:autoSpaceDN w:val="0"/>
                    <w:adjustRightInd w:val="0"/>
                    <w:jc w:val="center"/>
                    <w:rPr>
                      <w:b/>
                      <w:szCs w:val="21"/>
                    </w:rPr>
                  </w:pPr>
                  <w:r>
                    <w:rPr>
                      <w:b/>
                      <w:szCs w:val="21"/>
                    </w:rPr>
                    <w:t>排放量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421" w:type="dxa"/>
                  <w:vAlign w:val="center"/>
                </w:tcPr>
                <w:p>
                  <w:pPr>
                    <w:autoSpaceDE w:val="0"/>
                    <w:autoSpaceDN w:val="0"/>
                    <w:adjustRightInd w:val="0"/>
                    <w:jc w:val="center"/>
                    <w:rPr>
                      <w:rFonts w:hAnsi="宋体"/>
                      <w:kern w:val="0"/>
                      <w:szCs w:val="21"/>
                    </w:rPr>
                  </w:pPr>
                  <w:r>
                    <w:rPr>
                      <w:szCs w:val="21"/>
                    </w:rPr>
                    <w:t>生产用水</w:t>
                  </w:r>
                </w:p>
              </w:tc>
              <w:tc>
                <w:tcPr>
                  <w:tcW w:w="1275" w:type="dxa"/>
                  <w:vAlign w:val="center"/>
                </w:tcPr>
                <w:p>
                  <w:pPr>
                    <w:autoSpaceDE w:val="0"/>
                    <w:autoSpaceDN w:val="0"/>
                    <w:adjustRightInd w:val="0"/>
                    <w:jc w:val="center"/>
                    <w:rPr>
                      <w:rFonts w:hAnsi="宋体"/>
                      <w:kern w:val="0"/>
                      <w:szCs w:val="21"/>
                    </w:rPr>
                  </w:pPr>
                  <w:r>
                    <w:rPr>
                      <w:rFonts w:hint="eastAsia"/>
                      <w:szCs w:val="21"/>
                    </w:rPr>
                    <w:t>2</w:t>
                  </w:r>
                  <w:r>
                    <w:rPr>
                      <w:szCs w:val="21"/>
                    </w:rPr>
                    <w:t>0kg</w:t>
                  </w:r>
                  <w:r>
                    <w:rPr>
                      <w:rFonts w:hint="eastAsia"/>
                      <w:szCs w:val="21"/>
                    </w:rPr>
                    <w:t>/d</w:t>
                  </w:r>
                </w:p>
              </w:tc>
              <w:tc>
                <w:tcPr>
                  <w:tcW w:w="2549" w:type="dxa"/>
                  <w:vAlign w:val="center"/>
                </w:tcPr>
                <w:p>
                  <w:pPr>
                    <w:autoSpaceDE w:val="0"/>
                    <w:autoSpaceDN w:val="0"/>
                    <w:adjustRightInd w:val="0"/>
                    <w:jc w:val="center"/>
                    <w:rPr>
                      <w:rFonts w:hAnsi="宋体"/>
                      <w:kern w:val="0"/>
                      <w:szCs w:val="21"/>
                    </w:rPr>
                  </w:pPr>
                  <w:r>
                    <w:rPr>
                      <w:szCs w:val="21"/>
                    </w:rPr>
                    <w:t>10L/kg</w:t>
                  </w:r>
                </w:p>
              </w:tc>
              <w:tc>
                <w:tcPr>
                  <w:tcW w:w="1276" w:type="dxa"/>
                  <w:vAlign w:val="center"/>
                </w:tcPr>
                <w:p>
                  <w:pPr>
                    <w:autoSpaceDE w:val="0"/>
                    <w:autoSpaceDN w:val="0"/>
                    <w:adjustRightInd w:val="0"/>
                    <w:jc w:val="center"/>
                    <w:rPr>
                      <w:rFonts w:hAnsi="宋体"/>
                      <w:kern w:val="0"/>
                      <w:szCs w:val="21"/>
                    </w:rPr>
                  </w:pPr>
                  <w:r>
                    <w:rPr>
                      <w:rFonts w:hint="eastAsia" w:hAnsi="宋体"/>
                      <w:kern w:val="0"/>
                      <w:szCs w:val="21"/>
                    </w:rPr>
                    <w:t>0.2</w:t>
                  </w:r>
                </w:p>
              </w:tc>
              <w:tc>
                <w:tcPr>
                  <w:tcW w:w="1134" w:type="dxa"/>
                  <w:vAlign w:val="center"/>
                </w:tcPr>
                <w:p>
                  <w:pPr>
                    <w:autoSpaceDE w:val="0"/>
                    <w:autoSpaceDN w:val="0"/>
                    <w:adjustRightInd w:val="0"/>
                    <w:jc w:val="center"/>
                    <w:rPr>
                      <w:rFonts w:hAnsi="宋体"/>
                      <w:kern w:val="0"/>
                      <w:szCs w:val="21"/>
                    </w:rPr>
                  </w:pPr>
                  <w:r>
                    <w:rPr>
                      <w:rFonts w:hint="eastAsia" w:hAnsi="宋体"/>
                      <w:kern w:val="0"/>
                      <w:szCs w:val="21"/>
                    </w:rPr>
                    <w:t>0.2</w:t>
                  </w:r>
                </w:p>
              </w:tc>
              <w:tc>
                <w:tcPr>
                  <w:tcW w:w="1246" w:type="dxa"/>
                  <w:vAlign w:val="center"/>
                </w:tcPr>
                <w:p>
                  <w:pPr>
                    <w:autoSpaceDE w:val="0"/>
                    <w:autoSpaceDN w:val="0"/>
                    <w:adjustRightInd w:val="0"/>
                    <w:jc w:val="center"/>
                    <w:rPr>
                      <w:rFonts w:hAnsi="宋体"/>
                      <w:kern w:val="0"/>
                      <w:szCs w:val="21"/>
                    </w:rPr>
                  </w:pPr>
                  <w:r>
                    <w:rPr>
                      <w:rFonts w:hint="eastAsia" w:hAnsi="宋体"/>
                      <w:kern w:val="0"/>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421" w:type="dxa"/>
                  <w:vAlign w:val="center"/>
                </w:tcPr>
                <w:p>
                  <w:pPr>
                    <w:autoSpaceDE w:val="0"/>
                    <w:autoSpaceDN w:val="0"/>
                    <w:adjustRightInd w:val="0"/>
                    <w:jc w:val="center"/>
                    <w:rPr>
                      <w:rFonts w:hAnsi="宋体"/>
                      <w:kern w:val="0"/>
                      <w:szCs w:val="21"/>
                    </w:rPr>
                  </w:pPr>
                  <w:r>
                    <w:rPr>
                      <w:szCs w:val="21"/>
                    </w:rPr>
                    <w:t>绿化用水</w:t>
                  </w:r>
                </w:p>
              </w:tc>
              <w:tc>
                <w:tcPr>
                  <w:tcW w:w="1275" w:type="dxa"/>
                  <w:vAlign w:val="center"/>
                </w:tcPr>
                <w:p>
                  <w:pPr>
                    <w:autoSpaceDE w:val="0"/>
                    <w:autoSpaceDN w:val="0"/>
                    <w:adjustRightInd w:val="0"/>
                    <w:jc w:val="center"/>
                    <w:rPr>
                      <w:rFonts w:hAnsi="宋体"/>
                      <w:kern w:val="0"/>
                      <w:szCs w:val="21"/>
                    </w:rPr>
                  </w:pPr>
                  <w:r>
                    <w:rPr>
                      <w:rFonts w:hint="eastAsia" w:hAnsi="宋体"/>
                      <w:kern w:val="0"/>
                      <w:szCs w:val="21"/>
                    </w:rPr>
                    <w:t>1387.28m</w:t>
                  </w:r>
                  <w:r>
                    <w:rPr>
                      <w:rFonts w:hint="eastAsia" w:hAnsi="宋体"/>
                      <w:kern w:val="0"/>
                      <w:szCs w:val="21"/>
                      <w:vertAlign w:val="superscript"/>
                    </w:rPr>
                    <w:t>2</w:t>
                  </w:r>
                </w:p>
              </w:tc>
              <w:tc>
                <w:tcPr>
                  <w:tcW w:w="2549" w:type="dxa"/>
                  <w:vAlign w:val="center"/>
                </w:tcPr>
                <w:p>
                  <w:pPr>
                    <w:autoSpaceDE w:val="0"/>
                    <w:autoSpaceDN w:val="0"/>
                    <w:adjustRightInd w:val="0"/>
                    <w:jc w:val="center"/>
                    <w:rPr>
                      <w:rFonts w:hAnsi="宋体"/>
                      <w:kern w:val="0"/>
                      <w:szCs w:val="21"/>
                    </w:rPr>
                  </w:pPr>
                  <w:r>
                    <w:rPr>
                      <w:rFonts w:hAnsi="宋体"/>
                      <w:kern w:val="0"/>
                      <w:szCs w:val="21"/>
                    </w:rPr>
                    <w:t>1.0L/m</w:t>
                  </w:r>
                  <w:r>
                    <w:rPr>
                      <w:rFonts w:hAnsi="宋体"/>
                      <w:kern w:val="0"/>
                      <w:szCs w:val="21"/>
                      <w:vertAlign w:val="superscript"/>
                    </w:rPr>
                    <w:t>2</w:t>
                  </w:r>
                  <w:r>
                    <w:rPr>
                      <w:rFonts w:hAnsi="宋体"/>
                      <w:kern w:val="0"/>
                      <w:szCs w:val="21"/>
                    </w:rPr>
                    <w:t>·次，每年30次</w:t>
                  </w:r>
                </w:p>
              </w:tc>
              <w:tc>
                <w:tcPr>
                  <w:tcW w:w="1276" w:type="dxa"/>
                  <w:vAlign w:val="center"/>
                </w:tcPr>
                <w:p>
                  <w:pPr>
                    <w:autoSpaceDE w:val="0"/>
                    <w:autoSpaceDN w:val="0"/>
                    <w:adjustRightInd w:val="0"/>
                    <w:jc w:val="center"/>
                    <w:rPr>
                      <w:rFonts w:hAnsi="宋体"/>
                      <w:kern w:val="0"/>
                      <w:szCs w:val="21"/>
                    </w:rPr>
                  </w:pPr>
                  <w:r>
                    <w:rPr>
                      <w:rFonts w:hint="eastAsia" w:hAnsi="宋体"/>
                      <w:kern w:val="0"/>
                      <w:szCs w:val="21"/>
                    </w:rPr>
                    <w:t>0.11</w:t>
                  </w:r>
                </w:p>
              </w:tc>
              <w:tc>
                <w:tcPr>
                  <w:tcW w:w="1134" w:type="dxa"/>
                  <w:vAlign w:val="center"/>
                </w:tcPr>
                <w:p>
                  <w:pPr>
                    <w:autoSpaceDE w:val="0"/>
                    <w:autoSpaceDN w:val="0"/>
                    <w:adjustRightInd w:val="0"/>
                    <w:jc w:val="center"/>
                    <w:rPr>
                      <w:rFonts w:hAnsi="宋体"/>
                      <w:kern w:val="0"/>
                      <w:szCs w:val="21"/>
                    </w:rPr>
                  </w:pPr>
                  <w:r>
                    <w:rPr>
                      <w:rFonts w:hint="eastAsia" w:hAnsi="宋体"/>
                      <w:kern w:val="0"/>
                      <w:szCs w:val="21"/>
                    </w:rPr>
                    <w:t>0.11</w:t>
                  </w:r>
                </w:p>
              </w:tc>
              <w:tc>
                <w:tcPr>
                  <w:tcW w:w="1246" w:type="dxa"/>
                  <w:vAlign w:val="center"/>
                </w:tcPr>
                <w:p>
                  <w:pPr>
                    <w:autoSpaceDE w:val="0"/>
                    <w:autoSpaceDN w:val="0"/>
                    <w:adjustRightInd w:val="0"/>
                    <w:jc w:val="center"/>
                    <w:rPr>
                      <w:rFonts w:hAnsi="宋体"/>
                      <w:kern w:val="0"/>
                      <w:szCs w:val="21"/>
                    </w:rPr>
                  </w:pPr>
                  <w:r>
                    <w:rPr>
                      <w:rFonts w:hint="eastAsia" w:hAnsi="宋体"/>
                      <w:kern w:val="0"/>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421" w:type="dxa"/>
                  <w:vAlign w:val="center"/>
                </w:tcPr>
                <w:p>
                  <w:pPr>
                    <w:autoSpaceDE w:val="0"/>
                    <w:autoSpaceDN w:val="0"/>
                    <w:adjustRightInd w:val="0"/>
                    <w:jc w:val="center"/>
                    <w:rPr>
                      <w:rFonts w:hAnsi="宋体"/>
                      <w:kern w:val="0"/>
                      <w:szCs w:val="21"/>
                    </w:rPr>
                  </w:pPr>
                  <w:r>
                    <w:rPr>
                      <w:rFonts w:hint="eastAsia"/>
                      <w:szCs w:val="21"/>
                    </w:rPr>
                    <w:t>合计</w:t>
                  </w:r>
                </w:p>
              </w:tc>
              <w:tc>
                <w:tcPr>
                  <w:tcW w:w="1275" w:type="dxa"/>
                  <w:vAlign w:val="center"/>
                </w:tcPr>
                <w:p>
                  <w:pPr>
                    <w:autoSpaceDE w:val="0"/>
                    <w:autoSpaceDN w:val="0"/>
                    <w:adjustRightInd w:val="0"/>
                    <w:jc w:val="center"/>
                    <w:rPr>
                      <w:rFonts w:hAnsi="宋体"/>
                      <w:kern w:val="0"/>
                      <w:szCs w:val="21"/>
                    </w:rPr>
                  </w:pPr>
                  <w:r>
                    <w:rPr>
                      <w:rFonts w:hint="eastAsia" w:hAnsi="宋体"/>
                      <w:kern w:val="0"/>
                      <w:szCs w:val="21"/>
                    </w:rPr>
                    <w:t>/</w:t>
                  </w:r>
                </w:p>
              </w:tc>
              <w:tc>
                <w:tcPr>
                  <w:tcW w:w="2549" w:type="dxa"/>
                  <w:vAlign w:val="center"/>
                </w:tcPr>
                <w:p>
                  <w:pPr>
                    <w:autoSpaceDE w:val="0"/>
                    <w:autoSpaceDN w:val="0"/>
                    <w:adjustRightInd w:val="0"/>
                    <w:jc w:val="center"/>
                    <w:rPr>
                      <w:rFonts w:hAnsi="宋体"/>
                      <w:kern w:val="0"/>
                      <w:szCs w:val="21"/>
                    </w:rPr>
                  </w:pPr>
                  <w:r>
                    <w:rPr>
                      <w:rFonts w:hint="eastAsia" w:hAnsi="宋体"/>
                      <w:kern w:val="0"/>
                      <w:szCs w:val="21"/>
                    </w:rPr>
                    <w:t>/</w:t>
                  </w:r>
                </w:p>
              </w:tc>
              <w:tc>
                <w:tcPr>
                  <w:tcW w:w="1276" w:type="dxa"/>
                  <w:vAlign w:val="center"/>
                </w:tcPr>
                <w:p>
                  <w:pPr>
                    <w:autoSpaceDE w:val="0"/>
                    <w:autoSpaceDN w:val="0"/>
                    <w:adjustRightInd w:val="0"/>
                    <w:jc w:val="center"/>
                    <w:rPr>
                      <w:rFonts w:hAnsi="宋体"/>
                      <w:kern w:val="0"/>
                      <w:szCs w:val="21"/>
                    </w:rPr>
                  </w:pPr>
                  <w:r>
                    <w:rPr>
                      <w:rFonts w:hint="eastAsia" w:hAnsi="宋体"/>
                      <w:kern w:val="0"/>
                      <w:szCs w:val="21"/>
                    </w:rPr>
                    <w:t>0.31</w:t>
                  </w:r>
                </w:p>
              </w:tc>
              <w:tc>
                <w:tcPr>
                  <w:tcW w:w="1134" w:type="dxa"/>
                  <w:vAlign w:val="center"/>
                </w:tcPr>
                <w:p>
                  <w:pPr>
                    <w:autoSpaceDE w:val="0"/>
                    <w:autoSpaceDN w:val="0"/>
                    <w:adjustRightInd w:val="0"/>
                    <w:jc w:val="center"/>
                    <w:rPr>
                      <w:rFonts w:hAnsi="宋体"/>
                      <w:kern w:val="0"/>
                      <w:szCs w:val="21"/>
                    </w:rPr>
                  </w:pPr>
                  <w:r>
                    <w:rPr>
                      <w:rFonts w:hint="eastAsia" w:hAnsi="宋体"/>
                      <w:kern w:val="0"/>
                      <w:szCs w:val="21"/>
                    </w:rPr>
                    <w:t>0.31</w:t>
                  </w:r>
                </w:p>
              </w:tc>
              <w:tc>
                <w:tcPr>
                  <w:tcW w:w="1246" w:type="dxa"/>
                  <w:vAlign w:val="center"/>
                </w:tcPr>
                <w:p>
                  <w:pPr>
                    <w:autoSpaceDE w:val="0"/>
                    <w:autoSpaceDN w:val="0"/>
                    <w:adjustRightInd w:val="0"/>
                    <w:jc w:val="center"/>
                    <w:rPr>
                      <w:rFonts w:hAnsi="宋体"/>
                      <w:kern w:val="0"/>
                      <w:szCs w:val="21"/>
                    </w:rPr>
                  </w:pPr>
                  <w:r>
                    <w:rPr>
                      <w:rFonts w:hint="eastAsia" w:hAnsi="宋体"/>
                      <w:kern w:val="0"/>
                      <w:szCs w:val="21"/>
                    </w:rPr>
                    <w:t>0</w:t>
                  </w:r>
                </w:p>
              </w:tc>
            </w:tr>
          </w:tbl>
          <w:p>
            <w:pPr>
              <w:autoSpaceDE w:val="0"/>
              <w:autoSpaceDN w:val="0"/>
              <w:adjustRightInd w:val="0"/>
              <w:spacing w:line="360" w:lineRule="auto"/>
              <w:ind w:firstLine="480" w:firstLineChars="200"/>
              <w:rPr>
                <w:sz w:val="24"/>
                <w:szCs w:val="28"/>
              </w:rPr>
            </w:pPr>
            <w:r>
              <w:rPr>
                <w:rFonts w:hint="eastAsia"/>
                <w:sz w:val="24"/>
                <w:szCs w:val="28"/>
              </w:rPr>
              <w:t>（3）排水</w:t>
            </w:r>
          </w:p>
          <w:p>
            <w:pPr>
              <w:autoSpaceDE w:val="0"/>
              <w:autoSpaceDN w:val="0"/>
              <w:adjustRightInd w:val="0"/>
              <w:spacing w:line="360" w:lineRule="auto"/>
              <w:ind w:firstLine="480" w:firstLineChars="200"/>
              <w:rPr>
                <w:sz w:val="24"/>
                <w:szCs w:val="28"/>
              </w:rPr>
            </w:pPr>
            <w:r>
              <w:rPr>
                <w:rFonts w:hint="eastAsia"/>
                <w:sz w:val="24"/>
                <w:szCs w:val="28"/>
              </w:rPr>
              <w:t>污水站兼职管理员生活依托太昌乡镇街道，无生活污水产生。</w:t>
            </w:r>
          </w:p>
          <w:p>
            <w:pPr>
              <w:autoSpaceDE w:val="0"/>
              <w:autoSpaceDN w:val="0"/>
              <w:adjustRightInd w:val="0"/>
              <w:spacing w:line="360" w:lineRule="auto"/>
              <w:ind w:firstLine="480" w:firstLineChars="200"/>
              <w:rPr>
                <w:sz w:val="24"/>
                <w:szCs w:val="28"/>
              </w:rPr>
            </w:pPr>
            <w:r>
              <w:rPr>
                <w:rFonts w:hint="eastAsia"/>
                <w:sz w:val="24"/>
                <w:szCs w:val="28"/>
              </w:rPr>
              <w:t>本项目污水站处理后的污水达到</w:t>
            </w:r>
            <w:r>
              <w:rPr>
                <w:bCs/>
                <w:sz w:val="24"/>
                <w:szCs w:val="28"/>
              </w:rPr>
              <w:t>《城镇污水处理厂污染物排放标准》（GB18918-2002）中一级</w:t>
            </w:r>
            <w:r>
              <w:rPr>
                <w:rFonts w:hint="eastAsia"/>
                <w:bCs/>
                <w:sz w:val="24"/>
                <w:szCs w:val="28"/>
              </w:rPr>
              <w:t>A</w:t>
            </w:r>
            <w:r>
              <w:rPr>
                <w:bCs/>
                <w:sz w:val="24"/>
                <w:szCs w:val="28"/>
              </w:rPr>
              <w:t>排放标准</w:t>
            </w:r>
            <w:r>
              <w:rPr>
                <w:rFonts w:hint="eastAsia"/>
                <w:bCs/>
                <w:sz w:val="24"/>
                <w:szCs w:val="28"/>
              </w:rPr>
              <w:t>，</w:t>
            </w:r>
            <w:r>
              <w:rPr>
                <w:rFonts w:hint="eastAsia"/>
                <w:sz w:val="24"/>
                <w:szCs w:val="28"/>
              </w:rPr>
              <w:t>经下沟管道排入老虎沟，最终汇入马莲河。</w:t>
            </w:r>
          </w:p>
          <w:p>
            <w:pPr>
              <w:autoSpaceDE w:val="0"/>
              <w:autoSpaceDN w:val="0"/>
              <w:adjustRightInd w:val="0"/>
              <w:spacing w:line="360" w:lineRule="auto"/>
              <w:ind w:firstLine="480" w:firstLineChars="200"/>
              <w:rPr>
                <w:sz w:val="24"/>
                <w:szCs w:val="28"/>
              </w:rPr>
            </w:pPr>
            <w:r>
              <w:rPr>
                <w:rFonts w:hint="eastAsia"/>
                <w:sz w:val="24"/>
                <w:szCs w:val="28"/>
              </w:rPr>
              <w:t>（4）</w:t>
            </w:r>
            <w:r>
              <w:rPr>
                <w:sz w:val="24"/>
                <w:szCs w:val="28"/>
              </w:rPr>
              <w:t>供暖</w:t>
            </w:r>
          </w:p>
          <w:p>
            <w:pPr>
              <w:autoSpaceDE w:val="0"/>
              <w:autoSpaceDN w:val="0"/>
              <w:adjustRightInd w:val="0"/>
              <w:spacing w:line="360" w:lineRule="auto"/>
              <w:ind w:firstLine="480" w:firstLineChars="200"/>
              <w:rPr>
                <w:sz w:val="24"/>
                <w:szCs w:val="28"/>
              </w:rPr>
            </w:pPr>
            <w:r>
              <w:rPr>
                <w:rFonts w:hint="eastAsia"/>
                <w:sz w:val="24"/>
                <w:szCs w:val="28"/>
              </w:rPr>
              <w:t>本项目建设工程不需供暖。</w:t>
            </w:r>
          </w:p>
          <w:p>
            <w:pPr>
              <w:autoSpaceDE w:val="0"/>
              <w:autoSpaceDN w:val="0"/>
              <w:adjustRightInd w:val="0"/>
              <w:spacing w:line="360" w:lineRule="auto"/>
              <w:ind w:firstLine="480" w:firstLineChars="200"/>
              <w:rPr>
                <w:sz w:val="24"/>
                <w:szCs w:val="28"/>
              </w:rPr>
            </w:pPr>
            <w:r>
              <w:rPr>
                <w:rFonts w:hint="eastAsia"/>
                <w:sz w:val="24"/>
                <w:szCs w:val="28"/>
              </w:rPr>
              <w:t>（5）通风</w:t>
            </w:r>
          </w:p>
          <w:p>
            <w:pPr>
              <w:autoSpaceDE w:val="0"/>
              <w:autoSpaceDN w:val="0"/>
              <w:adjustRightInd w:val="0"/>
              <w:spacing w:line="360" w:lineRule="auto"/>
              <w:ind w:firstLine="480" w:firstLineChars="200"/>
              <w:rPr>
                <w:sz w:val="24"/>
                <w:szCs w:val="28"/>
              </w:rPr>
            </w:pPr>
            <w:r>
              <w:rPr>
                <w:rFonts w:hint="eastAsia"/>
                <w:sz w:val="24"/>
                <w:szCs w:val="28"/>
              </w:rPr>
              <w:t>拟建项目通风主要考虑自然通风。</w:t>
            </w:r>
          </w:p>
          <w:p>
            <w:pPr>
              <w:autoSpaceDE w:val="0"/>
              <w:autoSpaceDN w:val="0"/>
              <w:adjustRightInd w:val="0"/>
              <w:spacing w:line="360" w:lineRule="auto"/>
              <w:ind w:firstLine="482" w:firstLineChars="200"/>
              <w:rPr>
                <w:b/>
                <w:sz w:val="24"/>
                <w:szCs w:val="28"/>
              </w:rPr>
            </w:pPr>
            <w:r>
              <w:rPr>
                <w:rFonts w:hint="eastAsia"/>
                <w:b/>
                <w:sz w:val="24"/>
                <w:szCs w:val="28"/>
              </w:rPr>
              <w:t>10、选址合理性</w:t>
            </w:r>
          </w:p>
          <w:p>
            <w:pPr>
              <w:autoSpaceDE w:val="0"/>
              <w:autoSpaceDN w:val="0"/>
              <w:adjustRightInd w:val="0"/>
              <w:spacing w:line="360" w:lineRule="auto"/>
              <w:ind w:firstLine="480" w:firstLineChars="200"/>
              <w:rPr>
                <w:sz w:val="24"/>
                <w:szCs w:val="28"/>
              </w:rPr>
            </w:pPr>
            <w:r>
              <w:rPr>
                <w:rFonts w:hint="eastAsia"/>
                <w:bCs/>
                <w:sz w:val="24"/>
                <w:szCs w:val="28"/>
              </w:rPr>
              <w:t>项目已取得宁县城乡规划局《</w:t>
            </w:r>
            <w:r>
              <w:rPr>
                <w:rFonts w:hint="eastAsia"/>
                <w:sz w:val="24"/>
                <w:szCs w:val="28"/>
              </w:rPr>
              <w:t>建设项目选址意见书</w:t>
            </w:r>
            <w:r>
              <w:rPr>
                <w:rFonts w:hint="eastAsia"/>
                <w:bCs/>
                <w:sz w:val="24"/>
                <w:szCs w:val="28"/>
              </w:rPr>
              <w:t>》</w:t>
            </w:r>
            <w:r>
              <w:rPr>
                <w:rFonts w:hint="eastAsia"/>
                <w:sz w:val="24"/>
                <w:szCs w:val="28"/>
              </w:rPr>
              <w:t>（选字第2017-028号），审核本建设项目符合城乡规划要求（附件3）。项目已取得宁县国土资源局《证明》（宁国土资函字[2017]171号），批复项目实施范围在街区原国有土地基础上进行，无新增占用耕地，符合太昌镇城镇土地利用总体规划（附件5）。</w:t>
            </w:r>
          </w:p>
          <w:p>
            <w:pPr>
              <w:autoSpaceDE w:val="0"/>
              <w:autoSpaceDN w:val="0"/>
              <w:adjustRightInd w:val="0"/>
              <w:spacing w:line="360" w:lineRule="auto"/>
              <w:ind w:firstLine="480" w:firstLineChars="200"/>
              <w:rPr>
                <w:bCs/>
                <w:sz w:val="24"/>
                <w:szCs w:val="28"/>
              </w:rPr>
            </w:pPr>
            <w:r>
              <w:rPr>
                <w:rFonts w:hint="eastAsia"/>
                <w:sz w:val="24"/>
                <w:szCs w:val="28"/>
              </w:rPr>
              <w:t>根据《宁县太昌镇东风村易地扶贫搬迁附属工程建设项目岩土工程勘察报告》（兰州理工大学建筑勘察设计院）结论，项目地在现有地质环境条件下，场地稳定，适宜进行该工程建设。</w:t>
            </w:r>
          </w:p>
          <w:p>
            <w:pPr>
              <w:autoSpaceDE w:val="0"/>
              <w:autoSpaceDN w:val="0"/>
              <w:adjustRightInd w:val="0"/>
              <w:spacing w:line="360" w:lineRule="auto"/>
              <w:ind w:firstLine="480"/>
              <w:rPr>
                <w:bCs/>
                <w:sz w:val="24"/>
                <w:szCs w:val="28"/>
              </w:rPr>
            </w:pPr>
            <w:r>
              <w:rPr>
                <w:rFonts w:hint="eastAsia"/>
                <w:bCs/>
                <w:sz w:val="24"/>
                <w:szCs w:val="28"/>
              </w:rPr>
              <w:t>太昌镇北高南低，排水系统规划中充分考虑地形因素，使水流能够以重力流自流排放。根据设计，污水处理站位于乡镇南侧，街道共敷设雨水管896m，管径DN200-DN700，共敷设污水管1359m，管径DN400-DN600，采用重力自流，沿街道东侧铺设，不涉及农户拆迁。综上所述，项目排水管网选线是合理的。</w:t>
            </w:r>
          </w:p>
          <w:p>
            <w:pPr>
              <w:autoSpaceDE w:val="0"/>
              <w:autoSpaceDN w:val="0"/>
              <w:adjustRightInd w:val="0"/>
              <w:spacing w:line="360" w:lineRule="auto"/>
              <w:ind w:firstLine="480"/>
              <w:rPr>
                <w:bCs/>
                <w:sz w:val="24"/>
                <w:szCs w:val="28"/>
              </w:rPr>
            </w:pPr>
            <w:r>
              <w:rPr>
                <w:rFonts w:hint="eastAsia"/>
                <w:bCs/>
                <w:sz w:val="24"/>
                <w:szCs w:val="28"/>
              </w:rPr>
              <w:t>项目广场设置于街道南侧岔路口，不占用公路，不占用农田，远离主街道，降低娱乐噪声对主街道的影响，距离东风村居民住宅区较近。</w:t>
            </w:r>
          </w:p>
          <w:p>
            <w:pPr>
              <w:autoSpaceDE w:val="0"/>
              <w:autoSpaceDN w:val="0"/>
              <w:adjustRightInd w:val="0"/>
              <w:spacing w:line="360" w:lineRule="auto"/>
              <w:ind w:firstLine="480" w:firstLineChars="200"/>
              <w:rPr>
                <w:bCs/>
                <w:sz w:val="24"/>
                <w:szCs w:val="28"/>
              </w:rPr>
            </w:pPr>
            <w:r>
              <w:rPr>
                <w:rFonts w:hint="eastAsia"/>
                <w:bCs/>
                <w:sz w:val="24"/>
                <w:szCs w:val="28"/>
              </w:rPr>
              <w:t>拟建污水处理站选址合理性分析见表10。</w:t>
            </w:r>
          </w:p>
          <w:p>
            <w:pPr>
              <w:autoSpaceDE w:val="0"/>
              <w:autoSpaceDN w:val="0"/>
              <w:adjustRightInd w:val="0"/>
              <w:spacing w:line="360" w:lineRule="auto"/>
              <w:ind w:firstLine="422" w:firstLineChars="200"/>
              <w:jc w:val="center"/>
              <w:rPr>
                <w:sz w:val="24"/>
                <w:szCs w:val="28"/>
              </w:rPr>
            </w:pPr>
            <w:r>
              <w:rPr>
                <w:rFonts w:hint="eastAsia" w:hAnsi="宋体"/>
                <w:b/>
                <w:bCs/>
                <w:szCs w:val="21"/>
              </w:rPr>
              <w:t>表10   污水处理站选址合理性分析</w:t>
            </w:r>
          </w:p>
          <w:tbl>
            <w:tblPr>
              <w:tblStyle w:val="35"/>
              <w:tblW w:w="890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260"/>
              <w:gridCol w:w="3543"/>
              <w:gridCol w:w="13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blHeader/>
              </w:trPr>
              <w:tc>
                <w:tcPr>
                  <w:tcW w:w="709" w:type="dxa"/>
                  <w:tcBorders>
                    <w:top w:val="single" w:color="auto" w:sz="12" w:space="0"/>
                    <w:left w:val="nil"/>
                    <w:bottom w:val="single" w:color="auto" w:sz="12" w:space="0"/>
                  </w:tcBorders>
                  <w:vAlign w:val="center"/>
                </w:tcPr>
                <w:p>
                  <w:pPr>
                    <w:jc w:val="center"/>
                    <w:rPr>
                      <w:b/>
                      <w:szCs w:val="21"/>
                    </w:rPr>
                  </w:pPr>
                  <w:r>
                    <w:rPr>
                      <w:b/>
                      <w:szCs w:val="21"/>
                    </w:rPr>
                    <w:t>序号</w:t>
                  </w:r>
                </w:p>
              </w:tc>
              <w:tc>
                <w:tcPr>
                  <w:tcW w:w="3260" w:type="dxa"/>
                  <w:tcBorders>
                    <w:top w:val="single" w:color="auto" w:sz="12" w:space="0"/>
                    <w:bottom w:val="single" w:color="auto" w:sz="12" w:space="0"/>
                  </w:tcBorders>
                  <w:vAlign w:val="center"/>
                </w:tcPr>
                <w:p>
                  <w:pPr>
                    <w:jc w:val="center"/>
                    <w:rPr>
                      <w:b/>
                      <w:szCs w:val="21"/>
                    </w:rPr>
                  </w:pPr>
                  <w:r>
                    <w:rPr>
                      <w:b/>
                      <w:szCs w:val="21"/>
                    </w:rPr>
                    <w:t>厂址选择原则</w:t>
                  </w:r>
                </w:p>
              </w:tc>
              <w:tc>
                <w:tcPr>
                  <w:tcW w:w="3543" w:type="dxa"/>
                  <w:tcBorders>
                    <w:top w:val="single" w:color="auto" w:sz="12" w:space="0"/>
                    <w:bottom w:val="single" w:color="auto" w:sz="12" w:space="0"/>
                  </w:tcBorders>
                  <w:vAlign w:val="center"/>
                </w:tcPr>
                <w:p>
                  <w:pPr>
                    <w:jc w:val="center"/>
                    <w:rPr>
                      <w:b/>
                      <w:szCs w:val="21"/>
                    </w:rPr>
                  </w:pPr>
                  <w:r>
                    <w:rPr>
                      <w:b/>
                      <w:szCs w:val="21"/>
                    </w:rPr>
                    <w:t>拟建项目厂址概况</w:t>
                  </w:r>
                </w:p>
              </w:tc>
              <w:tc>
                <w:tcPr>
                  <w:tcW w:w="1389" w:type="dxa"/>
                  <w:tcBorders>
                    <w:top w:val="single" w:color="auto" w:sz="12" w:space="0"/>
                    <w:bottom w:val="single" w:color="auto" w:sz="12" w:space="0"/>
                    <w:right w:val="nil"/>
                  </w:tcBorders>
                  <w:vAlign w:val="center"/>
                </w:tcPr>
                <w:p>
                  <w:pPr>
                    <w:jc w:val="center"/>
                    <w:rPr>
                      <w:b/>
                      <w:szCs w:val="21"/>
                    </w:rPr>
                  </w:pPr>
                  <w:r>
                    <w:rPr>
                      <w:b/>
                      <w:szCs w:val="21"/>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09" w:type="dxa"/>
                  <w:tcBorders>
                    <w:top w:val="single" w:color="auto" w:sz="12" w:space="0"/>
                    <w:left w:val="nil"/>
                  </w:tcBorders>
                  <w:vAlign w:val="center"/>
                </w:tcPr>
                <w:p>
                  <w:pPr>
                    <w:jc w:val="center"/>
                    <w:rPr>
                      <w:szCs w:val="21"/>
                    </w:rPr>
                  </w:pPr>
                  <w:r>
                    <w:rPr>
                      <w:szCs w:val="21"/>
                    </w:rPr>
                    <w:t>1</w:t>
                  </w:r>
                </w:p>
              </w:tc>
              <w:tc>
                <w:tcPr>
                  <w:tcW w:w="3260" w:type="dxa"/>
                  <w:tcBorders>
                    <w:top w:val="single" w:color="auto" w:sz="12" w:space="0"/>
                  </w:tcBorders>
                  <w:vAlign w:val="center"/>
                </w:tcPr>
                <w:p>
                  <w:pPr>
                    <w:jc w:val="center"/>
                    <w:rPr>
                      <w:szCs w:val="21"/>
                    </w:rPr>
                  </w:pPr>
                  <w:r>
                    <w:rPr>
                      <w:szCs w:val="21"/>
                    </w:rPr>
                    <w:t>为了保证环境卫生的要求，厂址应与规划居住区或公共建筑群保持一定的卫生防护距离。</w:t>
                  </w:r>
                </w:p>
              </w:tc>
              <w:tc>
                <w:tcPr>
                  <w:tcW w:w="3543" w:type="dxa"/>
                  <w:tcBorders>
                    <w:top w:val="single" w:color="auto" w:sz="12" w:space="0"/>
                  </w:tcBorders>
                  <w:vAlign w:val="center"/>
                </w:tcPr>
                <w:p>
                  <w:pPr>
                    <w:jc w:val="center"/>
                    <w:rPr>
                      <w:szCs w:val="21"/>
                    </w:rPr>
                  </w:pPr>
                  <w:r>
                    <w:rPr>
                      <w:szCs w:val="21"/>
                    </w:rPr>
                    <w:t>拟建</w:t>
                  </w:r>
                  <w:r>
                    <w:rPr>
                      <w:rFonts w:hint="eastAsia"/>
                      <w:szCs w:val="21"/>
                    </w:rPr>
                    <w:t>污水处理站</w:t>
                  </w:r>
                  <w:r>
                    <w:rPr>
                      <w:szCs w:val="21"/>
                    </w:rPr>
                    <w:t>处于</w:t>
                  </w:r>
                  <w:r>
                    <w:rPr>
                      <w:rFonts w:hint="eastAsia"/>
                      <w:szCs w:val="21"/>
                    </w:rPr>
                    <w:t>太昌镇，站址四周为农田，本次环评设置50m卫生防护距离。</w:t>
                  </w:r>
                </w:p>
              </w:tc>
              <w:tc>
                <w:tcPr>
                  <w:tcW w:w="1389" w:type="dxa"/>
                  <w:tcBorders>
                    <w:top w:val="single" w:color="auto" w:sz="12" w:space="0"/>
                    <w:right w:val="nil"/>
                  </w:tcBorders>
                  <w:vAlign w:val="center"/>
                </w:tcPr>
                <w:p>
                  <w:pPr>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09" w:type="dxa"/>
                  <w:tcBorders>
                    <w:left w:val="nil"/>
                  </w:tcBorders>
                  <w:vAlign w:val="center"/>
                </w:tcPr>
                <w:p>
                  <w:pPr>
                    <w:jc w:val="center"/>
                    <w:rPr>
                      <w:szCs w:val="21"/>
                    </w:rPr>
                  </w:pPr>
                  <w:r>
                    <w:rPr>
                      <w:rFonts w:hint="eastAsia"/>
                      <w:szCs w:val="21"/>
                    </w:rPr>
                    <w:t>2</w:t>
                  </w:r>
                </w:p>
              </w:tc>
              <w:tc>
                <w:tcPr>
                  <w:tcW w:w="3260" w:type="dxa"/>
                  <w:vAlign w:val="center"/>
                </w:tcPr>
                <w:p>
                  <w:pPr>
                    <w:jc w:val="center"/>
                    <w:rPr>
                      <w:szCs w:val="21"/>
                    </w:rPr>
                  </w:pPr>
                  <w:r>
                    <w:rPr>
                      <w:szCs w:val="21"/>
                    </w:rPr>
                    <w:t>厂址应尽量设在城市和工厂夏季主导风的下风向。</w:t>
                  </w:r>
                </w:p>
              </w:tc>
              <w:tc>
                <w:tcPr>
                  <w:tcW w:w="3543" w:type="dxa"/>
                  <w:vAlign w:val="center"/>
                </w:tcPr>
                <w:p>
                  <w:pPr>
                    <w:jc w:val="center"/>
                    <w:rPr>
                      <w:szCs w:val="21"/>
                    </w:rPr>
                  </w:pPr>
                  <w:r>
                    <w:rPr>
                      <w:szCs w:val="21"/>
                    </w:rPr>
                    <w:t>拟建项目</w:t>
                  </w:r>
                  <w:r>
                    <w:rPr>
                      <w:rFonts w:hint="eastAsia" w:hAnsi="宋体"/>
                      <w:bCs/>
                    </w:rPr>
                    <w:t>位于乡镇街道的南侧，</w:t>
                  </w:r>
                  <w:r>
                    <w:rPr>
                      <w:rFonts w:hint="eastAsia" w:hAnsi="宋体"/>
                      <w:kern w:val="0"/>
                      <w:szCs w:val="21"/>
                    </w:rPr>
                    <w:t>为全年主导风向侧风向处</w:t>
                  </w:r>
                </w:p>
              </w:tc>
              <w:tc>
                <w:tcPr>
                  <w:tcW w:w="1389" w:type="dxa"/>
                  <w:tcBorders>
                    <w:right w:val="nil"/>
                  </w:tcBorders>
                  <w:vAlign w:val="center"/>
                </w:tcPr>
                <w:p>
                  <w:pPr>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09" w:type="dxa"/>
                  <w:tcBorders>
                    <w:left w:val="nil"/>
                  </w:tcBorders>
                  <w:vAlign w:val="center"/>
                </w:tcPr>
                <w:p>
                  <w:pPr>
                    <w:jc w:val="center"/>
                    <w:rPr>
                      <w:szCs w:val="21"/>
                    </w:rPr>
                  </w:pPr>
                  <w:r>
                    <w:rPr>
                      <w:rFonts w:hint="eastAsia"/>
                      <w:szCs w:val="21"/>
                    </w:rPr>
                    <w:t>3</w:t>
                  </w:r>
                </w:p>
              </w:tc>
              <w:tc>
                <w:tcPr>
                  <w:tcW w:w="3260" w:type="dxa"/>
                  <w:vAlign w:val="center"/>
                </w:tcPr>
                <w:p>
                  <w:pPr>
                    <w:jc w:val="center"/>
                    <w:rPr>
                      <w:szCs w:val="21"/>
                    </w:rPr>
                  </w:pPr>
                  <w:r>
                    <w:rPr>
                      <w:szCs w:val="21"/>
                    </w:rPr>
                    <w:t>厂址应尽量靠近水体，以便于排放，同时应考虑不受洪水威胁。</w:t>
                  </w:r>
                </w:p>
              </w:tc>
              <w:tc>
                <w:tcPr>
                  <w:tcW w:w="3543" w:type="dxa"/>
                  <w:vAlign w:val="center"/>
                </w:tcPr>
                <w:p>
                  <w:pPr>
                    <w:jc w:val="center"/>
                    <w:rPr>
                      <w:szCs w:val="21"/>
                    </w:rPr>
                  </w:pPr>
                  <w:r>
                    <w:rPr>
                      <w:rFonts w:hint="eastAsia"/>
                      <w:szCs w:val="21"/>
                    </w:rPr>
                    <w:t>拟建项目污水经处理后经排放管道排入老虎沟，最终汇入马莲河，便于排放</w:t>
                  </w:r>
                </w:p>
              </w:tc>
              <w:tc>
                <w:tcPr>
                  <w:tcW w:w="1389" w:type="dxa"/>
                  <w:tcBorders>
                    <w:right w:val="nil"/>
                  </w:tcBorders>
                  <w:vAlign w:val="center"/>
                </w:tcPr>
                <w:p>
                  <w:pPr>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09" w:type="dxa"/>
                  <w:tcBorders>
                    <w:left w:val="nil"/>
                    <w:bottom w:val="single" w:color="auto" w:sz="12" w:space="0"/>
                  </w:tcBorders>
                  <w:vAlign w:val="center"/>
                </w:tcPr>
                <w:p>
                  <w:pPr>
                    <w:jc w:val="center"/>
                    <w:rPr>
                      <w:szCs w:val="21"/>
                    </w:rPr>
                  </w:pPr>
                  <w:r>
                    <w:rPr>
                      <w:rFonts w:hint="eastAsia"/>
                      <w:szCs w:val="21"/>
                    </w:rPr>
                    <w:t>4</w:t>
                  </w:r>
                </w:p>
              </w:tc>
              <w:tc>
                <w:tcPr>
                  <w:tcW w:w="3260" w:type="dxa"/>
                  <w:tcBorders>
                    <w:bottom w:val="single" w:color="auto" w:sz="12" w:space="0"/>
                  </w:tcBorders>
                  <w:vAlign w:val="center"/>
                </w:tcPr>
                <w:p>
                  <w:pPr>
                    <w:jc w:val="center"/>
                    <w:rPr>
                      <w:szCs w:val="21"/>
                    </w:rPr>
                  </w:pPr>
                  <w:r>
                    <w:rPr>
                      <w:szCs w:val="21"/>
                    </w:rPr>
                    <w:t>厂址选择应考虑交通运输及水电供应等条件。</w:t>
                  </w:r>
                </w:p>
              </w:tc>
              <w:tc>
                <w:tcPr>
                  <w:tcW w:w="3543" w:type="dxa"/>
                  <w:tcBorders>
                    <w:bottom w:val="single" w:color="auto" w:sz="12" w:space="0"/>
                  </w:tcBorders>
                  <w:vAlign w:val="center"/>
                </w:tcPr>
                <w:p>
                  <w:pPr>
                    <w:jc w:val="center"/>
                    <w:rPr>
                      <w:szCs w:val="21"/>
                    </w:rPr>
                  </w:pPr>
                  <w:r>
                    <w:rPr>
                      <w:szCs w:val="21"/>
                    </w:rPr>
                    <w:t>拟建项目</w:t>
                  </w:r>
                  <w:r>
                    <w:rPr>
                      <w:rFonts w:hint="eastAsia" w:hAnsi="宋体"/>
                      <w:szCs w:val="21"/>
                    </w:rPr>
                    <w:t>宁县供电公司太昌供电所负责拟建项目的供电</w:t>
                  </w:r>
                </w:p>
              </w:tc>
              <w:tc>
                <w:tcPr>
                  <w:tcW w:w="1389" w:type="dxa"/>
                  <w:tcBorders>
                    <w:bottom w:val="single" w:color="auto" w:sz="12" w:space="0"/>
                    <w:right w:val="nil"/>
                  </w:tcBorders>
                  <w:vAlign w:val="center"/>
                </w:tcPr>
                <w:p>
                  <w:pPr>
                    <w:jc w:val="center"/>
                    <w:rPr>
                      <w:szCs w:val="21"/>
                    </w:rPr>
                  </w:pPr>
                  <w:r>
                    <w:rPr>
                      <w:szCs w:val="21"/>
                    </w:rPr>
                    <w:t>符合</w:t>
                  </w:r>
                </w:p>
              </w:tc>
            </w:tr>
          </w:tbl>
          <w:p>
            <w:pPr>
              <w:autoSpaceDE w:val="0"/>
              <w:autoSpaceDN w:val="0"/>
              <w:adjustRightInd w:val="0"/>
              <w:spacing w:line="360" w:lineRule="auto"/>
              <w:ind w:firstLine="480" w:firstLineChars="200"/>
              <w:rPr>
                <w:bCs/>
                <w:sz w:val="24"/>
                <w:szCs w:val="28"/>
              </w:rPr>
            </w:pPr>
            <w:r>
              <w:rPr>
                <w:rFonts w:hint="eastAsia"/>
                <w:bCs/>
                <w:sz w:val="24"/>
                <w:szCs w:val="28"/>
              </w:rPr>
              <w:t>根据《甘肃省宁县太昌乡、焦村镇集中式饮用水水源保护区划分技术报告》（甘肃水文地质工程地质勘察院），太昌镇水源地一级保护区面积为0.0127km</w:t>
            </w:r>
            <w:r>
              <w:rPr>
                <w:rFonts w:hint="eastAsia"/>
                <w:bCs/>
                <w:sz w:val="24"/>
                <w:szCs w:val="28"/>
                <w:vertAlign w:val="superscript"/>
              </w:rPr>
              <w:t>2</w:t>
            </w:r>
            <w:r>
              <w:rPr>
                <w:rFonts w:hint="eastAsia"/>
                <w:bCs/>
                <w:sz w:val="24"/>
                <w:szCs w:val="28"/>
              </w:rPr>
              <w:t>，保护区范围为以取水点为中心半径45m的圆形区域；饮用水源地二级保护区为各取水井为中心，半径为450m圆的外切多边形区域（一级保护区除外），二级保护区面积为1.9475km</w:t>
            </w:r>
            <w:r>
              <w:rPr>
                <w:rFonts w:hint="eastAsia"/>
                <w:bCs/>
                <w:sz w:val="24"/>
                <w:szCs w:val="28"/>
                <w:vertAlign w:val="superscript"/>
              </w:rPr>
              <w:t>2</w:t>
            </w:r>
            <w:r>
              <w:rPr>
                <w:rFonts w:hint="eastAsia"/>
                <w:bCs/>
                <w:sz w:val="24"/>
                <w:szCs w:val="28"/>
              </w:rPr>
              <w:t>。本项目位于饮用水源地保护区地下水下游，相距675m，不在其范围内。本项目与太昌镇饮用水源地保护区位置关系示意图见附图7。</w:t>
            </w:r>
          </w:p>
          <w:p>
            <w:pPr>
              <w:autoSpaceDE w:val="0"/>
              <w:autoSpaceDN w:val="0"/>
              <w:adjustRightInd w:val="0"/>
              <w:spacing w:line="360" w:lineRule="auto"/>
              <w:ind w:firstLine="480" w:firstLineChars="200"/>
              <w:rPr>
                <w:bCs/>
                <w:sz w:val="24"/>
                <w:szCs w:val="28"/>
              </w:rPr>
            </w:pPr>
            <w:r>
              <w:rPr>
                <w:rFonts w:hint="eastAsia"/>
                <w:bCs/>
                <w:sz w:val="24"/>
                <w:szCs w:val="28"/>
              </w:rPr>
              <w:t>综上所述，项目选址符合城镇土地利用总体规划；场地地质适宜建设本工程；排水管网不涉及农户拆迁，选线基本合理；广场不占用公路，不占用农田，选址基本合理；污水处理站不在饮用水源地保护区范围内，环评要求污水处理站生产区周围设置50m卫生防护距离，根据2018年11月环评现场踏勘，污水处理站周围最近居民房屋距离生产区为51m，且处于侧风向区域，因此，污水处理站选址基本合理。</w:t>
            </w:r>
          </w:p>
          <w:p>
            <w:pPr>
              <w:autoSpaceDE w:val="0"/>
              <w:autoSpaceDN w:val="0"/>
              <w:adjustRightInd w:val="0"/>
              <w:spacing w:line="360" w:lineRule="auto"/>
              <w:ind w:firstLine="482" w:firstLineChars="200"/>
              <w:rPr>
                <w:b/>
                <w:sz w:val="24"/>
                <w:szCs w:val="28"/>
              </w:rPr>
            </w:pPr>
            <w:r>
              <w:rPr>
                <w:rFonts w:hint="eastAsia"/>
                <w:b/>
                <w:sz w:val="24"/>
                <w:szCs w:val="28"/>
              </w:rPr>
              <w:t>11、产业政策符合性分析</w:t>
            </w:r>
          </w:p>
          <w:p>
            <w:pPr>
              <w:autoSpaceDE w:val="0"/>
              <w:autoSpaceDN w:val="0"/>
              <w:adjustRightInd w:val="0"/>
              <w:spacing w:line="360" w:lineRule="auto"/>
              <w:ind w:firstLine="480" w:firstLineChars="200"/>
              <w:rPr>
                <w:sz w:val="24"/>
                <w:szCs w:val="28"/>
              </w:rPr>
            </w:pPr>
            <w:r>
              <w:rPr>
                <w:rFonts w:hint="eastAsia"/>
                <w:sz w:val="24"/>
                <w:szCs w:val="28"/>
              </w:rPr>
              <w:t>根据《国民经济行业分类》（GB/T4754-2017），本项目属于E4819 其他道路、隧道和桥梁工程建筑、E4852 管道工程建筑、</w:t>
            </w:r>
            <w:r>
              <w:rPr>
                <w:rFonts w:hint="eastAsia"/>
                <w:sz w:val="24"/>
              </w:rPr>
              <w:t>D4620 污水处理及其再生利用</w:t>
            </w:r>
            <w:r>
              <w:rPr>
                <w:rFonts w:hint="eastAsia"/>
                <w:sz w:val="24"/>
                <w:szCs w:val="28"/>
              </w:rPr>
              <w:t>。</w:t>
            </w:r>
            <w:r>
              <w:rPr>
                <w:sz w:val="24"/>
                <w:szCs w:val="28"/>
              </w:rPr>
              <w:t>根据《产业结构调整指导目录》（2011年本）及《国家发展改革委关于修改&lt;产业结构调整指导目录（2011年本）&gt;有关条款的决定》（国家发展和改革委员会令第21号，2013年2月16日），</w:t>
            </w:r>
            <w:r>
              <w:rPr>
                <w:rFonts w:hint="eastAsia"/>
                <w:sz w:val="24"/>
                <w:szCs w:val="28"/>
              </w:rPr>
              <w:t>拟建项目属于鼓励类“第二十二项城市基础设施—9城镇供排水管网工程、供水水源及净水厂工程”、“第二十二项城市基础设施—19再生水利用技术与工程”，以及其他建设工程内容不属于限制类和禁止类，符合国家产业政策。</w:t>
            </w:r>
          </w:p>
          <w:p>
            <w:pPr>
              <w:autoSpaceDE w:val="0"/>
              <w:autoSpaceDN w:val="0"/>
              <w:adjustRightInd w:val="0"/>
              <w:spacing w:line="360" w:lineRule="auto"/>
              <w:ind w:firstLine="480" w:firstLineChars="200"/>
              <w:rPr>
                <w:b/>
                <w:sz w:val="24"/>
                <w:szCs w:val="28"/>
              </w:rPr>
            </w:pPr>
            <w:r>
              <w:rPr>
                <w:rFonts w:hint="eastAsia"/>
                <w:sz w:val="24"/>
                <w:szCs w:val="28"/>
              </w:rPr>
              <w:t>污水处理站</w:t>
            </w:r>
            <w:r>
              <w:rPr>
                <w:sz w:val="24"/>
                <w:szCs w:val="28"/>
              </w:rPr>
              <w:t>污水处理工艺符合国家计委、建设部颁发的《城市污水处理工程项目建设标准（修订2001）》，建设部、国家环境保护总局及科技部印发的《城市污水处理及污染防治技术政策（建城2000[24]号）》的要求。</w:t>
            </w:r>
            <w:r>
              <w:rPr>
                <w:rFonts w:hint="eastAsia"/>
                <w:b/>
                <w:sz w:val="24"/>
                <w:szCs w:val="28"/>
              </w:rPr>
              <w:t xml:space="preserve"> </w:t>
            </w:r>
          </w:p>
          <w:p>
            <w:pPr>
              <w:spacing w:line="360" w:lineRule="auto"/>
              <w:ind w:firstLine="482" w:firstLineChars="200"/>
              <w:rPr>
                <w:b/>
                <w:sz w:val="24"/>
                <w:szCs w:val="28"/>
              </w:rPr>
            </w:pPr>
            <w:r>
              <w:rPr>
                <w:rFonts w:hint="eastAsia"/>
                <w:b/>
                <w:sz w:val="24"/>
                <w:szCs w:val="28"/>
              </w:rPr>
              <w:t>12、“三线一单”符合性分析</w:t>
            </w:r>
          </w:p>
          <w:p>
            <w:pPr>
              <w:spacing w:line="360" w:lineRule="auto"/>
              <w:ind w:firstLine="480" w:firstLineChars="200"/>
              <w:rPr>
                <w:sz w:val="24"/>
                <w:szCs w:val="28"/>
              </w:rPr>
            </w:pPr>
            <w:r>
              <w:rPr>
                <w:rFonts w:hint="eastAsia"/>
                <w:sz w:val="24"/>
                <w:szCs w:val="28"/>
              </w:rPr>
              <w:t>本项目“三线一单”符合性分析见表11。</w:t>
            </w:r>
          </w:p>
          <w:p>
            <w:pPr>
              <w:spacing w:line="360" w:lineRule="auto"/>
              <w:ind w:firstLine="422" w:firstLineChars="200"/>
              <w:jc w:val="center"/>
              <w:rPr>
                <w:b/>
                <w:szCs w:val="21"/>
              </w:rPr>
            </w:pPr>
            <w:r>
              <w:rPr>
                <w:rFonts w:hint="eastAsia"/>
                <w:b/>
                <w:szCs w:val="21"/>
              </w:rPr>
              <w:t>表11   项目“三线一单”符合性分析一览表</w:t>
            </w:r>
          </w:p>
          <w:tbl>
            <w:tblPr>
              <w:tblStyle w:val="36"/>
              <w:tblW w:w="8901"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663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2268" w:type="dxa"/>
                  <w:vAlign w:val="center"/>
                </w:tcPr>
                <w:p>
                  <w:pPr>
                    <w:jc w:val="center"/>
                    <w:rPr>
                      <w:b/>
                      <w:szCs w:val="21"/>
                    </w:rPr>
                  </w:pPr>
                  <w:r>
                    <w:rPr>
                      <w:rFonts w:hint="eastAsia"/>
                      <w:b/>
                      <w:szCs w:val="21"/>
                    </w:rPr>
                    <w:t>“三线一单”</w:t>
                  </w:r>
                </w:p>
              </w:tc>
              <w:tc>
                <w:tcPr>
                  <w:tcW w:w="6633" w:type="dxa"/>
                  <w:vAlign w:val="center"/>
                </w:tcPr>
                <w:p>
                  <w:pPr>
                    <w:jc w:val="center"/>
                    <w:rPr>
                      <w:b/>
                      <w:szCs w:val="21"/>
                    </w:rPr>
                  </w:pPr>
                  <w:r>
                    <w:rPr>
                      <w:rFonts w:hint="eastAsia"/>
                      <w:b/>
                      <w:szCs w:val="21"/>
                    </w:rPr>
                    <w:t>符合性分析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2268" w:type="dxa"/>
                  <w:vAlign w:val="center"/>
                </w:tcPr>
                <w:p>
                  <w:pPr>
                    <w:jc w:val="center"/>
                    <w:rPr>
                      <w:szCs w:val="21"/>
                    </w:rPr>
                  </w:pPr>
                  <w:r>
                    <w:rPr>
                      <w:rFonts w:hint="eastAsia"/>
                      <w:szCs w:val="21"/>
                    </w:rPr>
                    <w:t>生态保护红线</w:t>
                  </w:r>
                </w:p>
              </w:tc>
              <w:tc>
                <w:tcPr>
                  <w:tcW w:w="6633" w:type="dxa"/>
                  <w:vAlign w:val="center"/>
                </w:tcPr>
                <w:p>
                  <w:pPr>
                    <w:jc w:val="center"/>
                    <w:rPr>
                      <w:szCs w:val="21"/>
                    </w:rPr>
                  </w:pPr>
                  <w:r>
                    <w:rPr>
                      <w:rFonts w:hint="eastAsia"/>
                      <w:szCs w:val="21"/>
                    </w:rPr>
                    <w:t>本项目位于宁县太昌镇，项目未占用基本农田、自然保护区、饮用水源保护区等生态保护目标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2268" w:type="dxa"/>
                  <w:vAlign w:val="center"/>
                </w:tcPr>
                <w:p>
                  <w:pPr>
                    <w:jc w:val="center"/>
                    <w:rPr>
                      <w:szCs w:val="21"/>
                    </w:rPr>
                  </w:pPr>
                  <w:r>
                    <w:rPr>
                      <w:rFonts w:hint="eastAsia"/>
                      <w:szCs w:val="21"/>
                    </w:rPr>
                    <w:t>资源利用上线</w:t>
                  </w:r>
                </w:p>
              </w:tc>
              <w:tc>
                <w:tcPr>
                  <w:tcW w:w="6633" w:type="dxa"/>
                  <w:vAlign w:val="center"/>
                </w:tcPr>
                <w:p>
                  <w:pPr>
                    <w:jc w:val="center"/>
                    <w:rPr>
                      <w:szCs w:val="21"/>
                    </w:rPr>
                  </w:pPr>
                  <w:r>
                    <w:rPr>
                      <w:rFonts w:hint="eastAsia"/>
                      <w:szCs w:val="21"/>
                    </w:rPr>
                    <w:t>本项目自然资源消耗总量相对区域资源利用总量较小，符合资源利用上线要求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2268" w:type="dxa"/>
                  <w:vAlign w:val="center"/>
                </w:tcPr>
                <w:p>
                  <w:pPr>
                    <w:jc w:val="center"/>
                    <w:rPr>
                      <w:szCs w:val="21"/>
                    </w:rPr>
                  </w:pPr>
                  <w:r>
                    <w:rPr>
                      <w:rFonts w:hint="eastAsia"/>
                      <w:szCs w:val="21"/>
                    </w:rPr>
                    <w:t>环境质量底线</w:t>
                  </w:r>
                </w:p>
              </w:tc>
              <w:tc>
                <w:tcPr>
                  <w:tcW w:w="6633" w:type="dxa"/>
                  <w:vAlign w:val="center"/>
                </w:tcPr>
                <w:p>
                  <w:pPr>
                    <w:jc w:val="center"/>
                    <w:rPr>
                      <w:szCs w:val="21"/>
                    </w:rPr>
                  </w:pPr>
                  <w:r>
                    <w:rPr>
                      <w:rFonts w:hint="eastAsia"/>
                      <w:szCs w:val="21"/>
                    </w:rPr>
                    <w:t>经监测，本项目附近的大气环境、地表水环境、地下水环境、声环境质量等均能满足相应的标准要求，项目施工期及运营期废气、废水、噪声及固废等经处理措施妥善处置后，对周边环境影响较小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2268" w:type="dxa"/>
                  <w:vAlign w:val="center"/>
                </w:tcPr>
                <w:p>
                  <w:pPr>
                    <w:jc w:val="center"/>
                    <w:rPr>
                      <w:szCs w:val="21"/>
                    </w:rPr>
                  </w:pPr>
                  <w:r>
                    <w:rPr>
                      <w:rFonts w:hint="eastAsia"/>
                      <w:szCs w:val="21"/>
                    </w:rPr>
                    <w:t>环境准入负面清单</w:t>
                  </w:r>
                </w:p>
              </w:tc>
              <w:tc>
                <w:tcPr>
                  <w:tcW w:w="6633" w:type="dxa"/>
                  <w:vAlign w:val="center"/>
                </w:tcPr>
                <w:p>
                  <w:pPr>
                    <w:jc w:val="center"/>
                    <w:rPr>
                      <w:szCs w:val="21"/>
                    </w:rPr>
                  </w:pPr>
                  <w:r>
                    <w:rPr>
                      <w:rFonts w:hint="eastAsia"/>
                      <w:szCs w:val="21"/>
                    </w:rPr>
                    <w:t>本项目不在划定的负面清单范围内</w:t>
                  </w:r>
                </w:p>
              </w:tc>
            </w:tr>
          </w:tbl>
          <w:p>
            <w:pPr>
              <w:spacing w:line="360" w:lineRule="auto"/>
              <w:ind w:firstLine="470" w:firstLineChars="196"/>
              <w:rPr>
                <w:rFonts w:eastAsiaTheme="minorEastAsia"/>
                <w:sz w:val="24"/>
                <w:szCs w:val="28"/>
              </w:rPr>
            </w:pPr>
          </w:p>
          <w:p>
            <w:pPr>
              <w:tabs>
                <w:tab w:val="left" w:pos="6480"/>
              </w:tabs>
              <w:spacing w:beforeLines="50" w:line="360" w:lineRule="auto"/>
              <w:rPr>
                <w:b/>
                <w:sz w:val="28"/>
              </w:rPr>
            </w:pPr>
            <w:r>
              <w:rPr>
                <w:rFonts w:hint="eastAsia"/>
                <w:b/>
                <w:sz w:val="28"/>
              </w:rPr>
              <w:t>本项目有关的原有污染情况及主要环境问题：</w:t>
            </w:r>
          </w:p>
          <w:p>
            <w:pPr>
              <w:widowControl/>
              <w:spacing w:line="360" w:lineRule="auto"/>
              <w:ind w:firstLine="480" w:firstLineChars="200"/>
              <w:jc w:val="left"/>
              <w:rPr>
                <w:kern w:val="0"/>
                <w:sz w:val="24"/>
                <w:szCs w:val="24"/>
              </w:rPr>
            </w:pPr>
            <w:r>
              <w:rPr>
                <w:rFonts w:hint="eastAsia"/>
                <w:kern w:val="0"/>
                <w:sz w:val="24"/>
                <w:szCs w:val="24"/>
              </w:rPr>
              <w:t>本项目为新建项目，根据2018年11月环评现场踏勘，项目地现状如下：</w:t>
            </w:r>
          </w:p>
          <w:p>
            <w:pPr>
              <w:widowControl/>
              <w:spacing w:line="360" w:lineRule="auto"/>
              <w:ind w:firstLine="480" w:firstLineChars="200"/>
              <w:jc w:val="left"/>
              <w:rPr>
                <w:kern w:val="0"/>
                <w:sz w:val="24"/>
                <w:szCs w:val="24"/>
              </w:rPr>
            </w:pPr>
            <w:r>
              <w:rPr>
                <w:rFonts w:hint="eastAsia"/>
                <w:kern w:val="0"/>
                <w:sz w:val="24"/>
                <w:szCs w:val="24"/>
              </w:rPr>
              <w:t>①现状道路差，道路通畅性不够；</w:t>
            </w:r>
          </w:p>
          <w:p>
            <w:pPr>
              <w:widowControl/>
              <w:spacing w:line="360" w:lineRule="auto"/>
              <w:ind w:firstLine="480" w:firstLineChars="200"/>
              <w:jc w:val="left"/>
              <w:rPr>
                <w:bCs/>
                <w:sz w:val="24"/>
                <w:szCs w:val="28"/>
              </w:rPr>
            </w:pPr>
            <w:r>
              <w:rPr>
                <w:rFonts w:hint="eastAsia"/>
                <w:kern w:val="0"/>
                <w:sz w:val="24"/>
                <w:szCs w:val="24"/>
              </w:rPr>
              <w:t>②绿化及</w:t>
            </w:r>
            <w:r>
              <w:rPr>
                <w:rFonts w:hint="eastAsia"/>
                <w:bCs/>
                <w:sz w:val="24"/>
                <w:szCs w:val="28"/>
              </w:rPr>
              <w:t>照明设施不完善；</w:t>
            </w:r>
          </w:p>
          <w:p>
            <w:pPr>
              <w:widowControl/>
              <w:spacing w:line="360" w:lineRule="auto"/>
              <w:ind w:firstLine="480" w:firstLineChars="200"/>
              <w:jc w:val="left"/>
              <w:rPr>
                <w:kern w:val="0"/>
                <w:sz w:val="24"/>
                <w:szCs w:val="24"/>
              </w:rPr>
            </w:pPr>
            <w:r>
              <w:rPr>
                <w:rFonts w:hint="eastAsia"/>
                <w:bCs/>
                <w:sz w:val="24"/>
                <w:szCs w:val="28"/>
              </w:rPr>
              <w:t>③太昌镇街道污水主要为生活污水，来源于街道周围居民的日常生活排水，无工业废水产生，根据宁县太昌镇人民政府提供数据，目前太昌镇街道生活污水产生量约为40m</w:t>
            </w:r>
            <w:r>
              <w:rPr>
                <w:rFonts w:hint="eastAsia"/>
                <w:bCs/>
                <w:sz w:val="24"/>
                <w:szCs w:val="28"/>
                <w:vertAlign w:val="superscript"/>
              </w:rPr>
              <w:t>3</w:t>
            </w:r>
            <w:r>
              <w:rPr>
                <w:rFonts w:hint="eastAsia"/>
                <w:bCs/>
                <w:sz w:val="24"/>
                <w:szCs w:val="28"/>
              </w:rPr>
              <w:t>/d~50m</w:t>
            </w:r>
            <w:r>
              <w:rPr>
                <w:rFonts w:hint="eastAsia"/>
                <w:bCs/>
                <w:sz w:val="24"/>
                <w:szCs w:val="28"/>
                <w:vertAlign w:val="superscript"/>
              </w:rPr>
              <w:t>3</w:t>
            </w:r>
            <w:r>
              <w:rPr>
                <w:rFonts w:hint="eastAsia"/>
                <w:bCs/>
                <w:sz w:val="24"/>
                <w:szCs w:val="28"/>
              </w:rPr>
              <w:t>/d；街道两侧居民生活污水进入最近污水口；现建有雨污合流管网，起点为街道北侧</w:t>
            </w:r>
            <w:r>
              <w:rPr>
                <w:rFonts w:hint="eastAsia"/>
                <w:kern w:val="0"/>
                <w:sz w:val="24"/>
                <w:szCs w:val="24"/>
              </w:rPr>
              <w:t>，经街道及南侧农田直接排入老户沟，污水未进行处理直排。</w:t>
            </w:r>
          </w:p>
          <w:p>
            <w:pPr>
              <w:widowControl/>
              <w:spacing w:line="360" w:lineRule="auto"/>
              <w:ind w:firstLine="480" w:firstLineChars="200"/>
              <w:jc w:val="left"/>
              <w:rPr>
                <w:bCs/>
                <w:sz w:val="24"/>
                <w:szCs w:val="28"/>
              </w:rPr>
            </w:pPr>
            <w:r>
              <w:rPr>
                <w:rFonts w:hint="eastAsia"/>
                <w:kern w:val="0"/>
                <w:sz w:val="24"/>
                <w:szCs w:val="24"/>
              </w:rPr>
              <w:t>项目所</w:t>
            </w:r>
            <w:r>
              <w:rPr>
                <w:rFonts w:hint="eastAsia"/>
                <w:bCs/>
                <w:sz w:val="24"/>
                <w:szCs w:val="28"/>
              </w:rPr>
              <w:t>在地现存在的污染问题及整改措施如下：</w:t>
            </w:r>
          </w:p>
          <w:p>
            <w:pPr>
              <w:widowControl/>
              <w:spacing w:line="360" w:lineRule="auto"/>
              <w:ind w:firstLine="480" w:firstLineChars="200"/>
              <w:jc w:val="left"/>
              <w:rPr>
                <w:kern w:val="0"/>
                <w:sz w:val="24"/>
                <w:szCs w:val="24"/>
              </w:rPr>
            </w:pPr>
            <w:r>
              <w:rPr>
                <w:rFonts w:hint="eastAsia"/>
                <w:bCs/>
                <w:sz w:val="24"/>
                <w:szCs w:val="28"/>
              </w:rPr>
              <w:t>①道路</w:t>
            </w:r>
            <w:r>
              <w:rPr>
                <w:rFonts w:hint="eastAsia"/>
                <w:kern w:val="0"/>
                <w:sz w:val="24"/>
                <w:szCs w:val="24"/>
              </w:rPr>
              <w:t>现状差，通畅性不够，路面扬尘较多。</w:t>
            </w:r>
          </w:p>
          <w:p>
            <w:pPr>
              <w:widowControl/>
              <w:spacing w:line="360" w:lineRule="auto"/>
              <w:ind w:firstLine="480" w:firstLineChars="200"/>
              <w:jc w:val="left"/>
              <w:rPr>
                <w:bCs/>
                <w:sz w:val="24"/>
                <w:szCs w:val="28"/>
              </w:rPr>
            </w:pPr>
            <w:r>
              <w:rPr>
                <w:rFonts w:hint="eastAsia"/>
                <w:kern w:val="0"/>
                <w:sz w:val="24"/>
                <w:szCs w:val="24"/>
              </w:rPr>
              <w:t>整改措施</w:t>
            </w:r>
            <w:r>
              <w:rPr>
                <w:rFonts w:hint="eastAsia"/>
                <w:bCs/>
                <w:sz w:val="24"/>
                <w:szCs w:val="28"/>
              </w:rPr>
              <w:t>：路面进行维护，拆除部分沥青混凝土路面和透水砖人行道，新建透水砖铺装2094.84m</w:t>
            </w:r>
            <w:r>
              <w:rPr>
                <w:rFonts w:hint="eastAsia"/>
                <w:bCs/>
                <w:sz w:val="24"/>
                <w:szCs w:val="28"/>
                <w:vertAlign w:val="superscript"/>
              </w:rPr>
              <w:t>2</w:t>
            </w:r>
            <w:r>
              <w:rPr>
                <w:rFonts w:hint="eastAsia"/>
                <w:bCs/>
                <w:sz w:val="24"/>
                <w:szCs w:val="28"/>
              </w:rPr>
              <w:t>，沥青混凝土道路2292.49 m</w:t>
            </w:r>
            <w:r>
              <w:rPr>
                <w:rFonts w:hint="eastAsia"/>
                <w:bCs/>
                <w:sz w:val="24"/>
                <w:szCs w:val="28"/>
                <w:vertAlign w:val="superscript"/>
              </w:rPr>
              <w:t>2</w:t>
            </w:r>
            <w:r>
              <w:rPr>
                <w:rFonts w:hint="eastAsia"/>
                <w:bCs/>
                <w:sz w:val="24"/>
                <w:szCs w:val="28"/>
              </w:rPr>
              <w:t>；定期清洁路面，配备</w:t>
            </w:r>
            <w:r>
              <w:rPr>
                <w:rFonts w:hint="eastAsia"/>
                <w:bCs/>
                <w:sz w:val="24"/>
                <w:szCs w:val="28"/>
                <w:highlight w:val="lightGray"/>
              </w:rPr>
              <w:t>洒水设施</w:t>
            </w:r>
            <w:r>
              <w:rPr>
                <w:rFonts w:hint="eastAsia"/>
                <w:bCs/>
                <w:sz w:val="24"/>
                <w:szCs w:val="28"/>
              </w:rPr>
              <w:t>路面洒水。</w:t>
            </w:r>
          </w:p>
          <w:p>
            <w:pPr>
              <w:widowControl/>
              <w:spacing w:line="360" w:lineRule="auto"/>
              <w:ind w:firstLine="480" w:firstLineChars="200"/>
              <w:jc w:val="left"/>
              <w:rPr>
                <w:kern w:val="0"/>
                <w:sz w:val="24"/>
                <w:szCs w:val="24"/>
              </w:rPr>
            </w:pPr>
            <w:r>
              <w:rPr>
                <w:rFonts w:hint="eastAsia"/>
                <w:kern w:val="0"/>
                <w:sz w:val="24"/>
                <w:szCs w:val="24"/>
              </w:rPr>
              <w:t>②雨水、污水管网合流，不符合环保要求。</w:t>
            </w:r>
          </w:p>
          <w:p>
            <w:pPr>
              <w:widowControl/>
              <w:spacing w:line="360" w:lineRule="auto"/>
              <w:ind w:firstLine="480" w:firstLineChars="200"/>
              <w:jc w:val="left"/>
              <w:rPr>
                <w:kern w:val="0"/>
                <w:sz w:val="24"/>
                <w:szCs w:val="24"/>
              </w:rPr>
            </w:pPr>
            <w:r>
              <w:rPr>
                <w:rFonts w:hint="eastAsia"/>
                <w:kern w:val="0"/>
                <w:sz w:val="24"/>
                <w:szCs w:val="24"/>
              </w:rPr>
              <w:t>整改措施：本项目新建896m雨水管网、1359m污水管，实行雨污分流制度。</w:t>
            </w:r>
          </w:p>
          <w:p>
            <w:pPr>
              <w:widowControl/>
              <w:spacing w:line="360" w:lineRule="auto"/>
              <w:ind w:firstLine="480" w:firstLineChars="200"/>
              <w:jc w:val="left"/>
              <w:rPr>
                <w:kern w:val="0"/>
                <w:sz w:val="24"/>
                <w:szCs w:val="24"/>
              </w:rPr>
            </w:pPr>
            <w:r>
              <w:rPr>
                <w:rFonts w:hint="eastAsia"/>
                <w:kern w:val="0"/>
                <w:sz w:val="24"/>
                <w:szCs w:val="24"/>
              </w:rPr>
              <w:t>③污水未经过处理直排入老虎沟，污染地表水体，不符合环保要求。</w:t>
            </w:r>
          </w:p>
          <w:p>
            <w:pPr>
              <w:widowControl/>
              <w:spacing w:line="360" w:lineRule="auto"/>
              <w:ind w:firstLine="480" w:firstLineChars="200"/>
              <w:jc w:val="left"/>
              <w:rPr>
                <w:kern w:val="0"/>
                <w:sz w:val="24"/>
                <w:szCs w:val="24"/>
              </w:rPr>
            </w:pPr>
            <w:r>
              <w:rPr>
                <w:rFonts w:hint="eastAsia"/>
                <w:kern w:val="0"/>
                <w:sz w:val="24"/>
                <w:szCs w:val="24"/>
              </w:rPr>
              <w:t>整改措施：本项目新建100m</w:t>
            </w:r>
            <w:r>
              <w:rPr>
                <w:rFonts w:hint="eastAsia"/>
                <w:kern w:val="0"/>
                <w:sz w:val="24"/>
                <w:szCs w:val="24"/>
                <w:vertAlign w:val="superscript"/>
              </w:rPr>
              <w:t>3</w:t>
            </w:r>
            <w:r>
              <w:rPr>
                <w:rFonts w:hint="eastAsia"/>
                <w:kern w:val="0"/>
                <w:sz w:val="24"/>
                <w:szCs w:val="24"/>
              </w:rPr>
              <w:t>/d污水处理站，采用多级生物接触氧化处理工艺，对街区生活污水进行处理，达到</w:t>
            </w:r>
            <w:r>
              <w:rPr>
                <w:kern w:val="0"/>
                <w:sz w:val="24"/>
                <w:szCs w:val="24"/>
              </w:rPr>
              <w:t>《城镇污水处理厂污染物排放标准》（GB18918-2002）中一级</w:t>
            </w:r>
            <w:r>
              <w:rPr>
                <w:rFonts w:hint="eastAsia"/>
                <w:kern w:val="0"/>
                <w:sz w:val="24"/>
                <w:szCs w:val="24"/>
              </w:rPr>
              <w:t>A</w:t>
            </w:r>
            <w:r>
              <w:rPr>
                <w:kern w:val="0"/>
                <w:sz w:val="24"/>
                <w:szCs w:val="24"/>
              </w:rPr>
              <w:t>排放标准</w:t>
            </w:r>
            <w:r>
              <w:rPr>
                <w:rFonts w:hint="eastAsia"/>
                <w:kern w:val="0"/>
                <w:sz w:val="24"/>
                <w:szCs w:val="24"/>
              </w:rPr>
              <w:t>后经管道排入老虎沟。</w:t>
            </w:r>
          </w:p>
          <w:p>
            <w:pPr>
              <w:spacing w:beforeLines="50"/>
              <w:ind w:firstLine="422" w:firstLineChars="200"/>
              <w:jc w:val="center"/>
              <w:rPr>
                <w:b/>
                <w:bCs/>
                <w:szCs w:val="21"/>
              </w:rPr>
            </w:pPr>
            <w:r>
              <w:rPr>
                <w:rFonts w:hint="eastAsia"/>
                <w:b/>
                <w:bCs/>
                <w:szCs w:val="21"/>
              </w:rPr>
              <w:t>表12  项目现存在的污染问题及整改措施一览表</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98"/>
              <w:gridCol w:w="3270"/>
              <w:gridCol w:w="493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PrEx>
              <w:trPr>
                <w:jc w:val="center"/>
              </w:trPr>
              <w:tc>
                <w:tcPr>
                  <w:tcW w:w="698" w:type="dxa"/>
                  <w:vAlign w:val="center"/>
                </w:tcPr>
                <w:p>
                  <w:pPr>
                    <w:pStyle w:val="28"/>
                    <w:jc w:val="center"/>
                    <w:rPr>
                      <w:b/>
                      <w:sz w:val="21"/>
                      <w:szCs w:val="21"/>
                    </w:rPr>
                  </w:pPr>
                  <w:r>
                    <w:rPr>
                      <w:rFonts w:hint="eastAsia"/>
                      <w:b/>
                      <w:sz w:val="21"/>
                      <w:szCs w:val="21"/>
                    </w:rPr>
                    <w:t>序号</w:t>
                  </w:r>
                </w:p>
              </w:tc>
              <w:tc>
                <w:tcPr>
                  <w:tcW w:w="3270" w:type="dxa"/>
                  <w:vAlign w:val="center"/>
                </w:tcPr>
                <w:p>
                  <w:pPr>
                    <w:pStyle w:val="28"/>
                    <w:jc w:val="center"/>
                    <w:rPr>
                      <w:b/>
                      <w:sz w:val="21"/>
                      <w:szCs w:val="21"/>
                    </w:rPr>
                  </w:pPr>
                  <w:r>
                    <w:rPr>
                      <w:rFonts w:hint="eastAsia"/>
                      <w:b/>
                      <w:sz w:val="21"/>
                      <w:szCs w:val="21"/>
                    </w:rPr>
                    <w:t>污染问题</w:t>
                  </w:r>
                </w:p>
              </w:tc>
              <w:tc>
                <w:tcPr>
                  <w:tcW w:w="4933" w:type="dxa"/>
                  <w:vAlign w:val="center"/>
                </w:tcPr>
                <w:p>
                  <w:pPr>
                    <w:pStyle w:val="28"/>
                    <w:jc w:val="center"/>
                    <w:rPr>
                      <w:b/>
                      <w:sz w:val="21"/>
                      <w:szCs w:val="21"/>
                    </w:rPr>
                  </w:pPr>
                  <w:r>
                    <w:rPr>
                      <w:rFonts w:hint="eastAsia"/>
                      <w:b/>
                      <w:sz w:val="21"/>
                      <w:szCs w:val="21"/>
                    </w:rPr>
                    <w:t>整改措施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PrEx>
              <w:trPr>
                <w:trHeight w:val="80" w:hRule="atLeast"/>
                <w:jc w:val="center"/>
              </w:trPr>
              <w:tc>
                <w:tcPr>
                  <w:tcW w:w="698" w:type="dxa"/>
                  <w:vAlign w:val="center"/>
                </w:tcPr>
                <w:p>
                  <w:pPr>
                    <w:pStyle w:val="28"/>
                    <w:jc w:val="center"/>
                    <w:rPr>
                      <w:sz w:val="21"/>
                      <w:szCs w:val="21"/>
                    </w:rPr>
                  </w:pPr>
                  <w:r>
                    <w:rPr>
                      <w:rFonts w:hint="eastAsia"/>
                      <w:sz w:val="21"/>
                      <w:szCs w:val="21"/>
                    </w:rPr>
                    <w:t>1</w:t>
                  </w:r>
                </w:p>
              </w:tc>
              <w:tc>
                <w:tcPr>
                  <w:tcW w:w="3270" w:type="dxa"/>
                  <w:vAlign w:val="center"/>
                </w:tcPr>
                <w:p>
                  <w:pPr>
                    <w:pStyle w:val="28"/>
                    <w:jc w:val="center"/>
                    <w:rPr>
                      <w:sz w:val="21"/>
                      <w:szCs w:val="21"/>
                    </w:rPr>
                  </w:pPr>
                  <w:r>
                    <w:rPr>
                      <w:rFonts w:hint="eastAsia"/>
                      <w:bCs/>
                      <w:sz w:val="21"/>
                      <w:szCs w:val="21"/>
                    </w:rPr>
                    <w:t>道路</w:t>
                  </w:r>
                  <w:r>
                    <w:rPr>
                      <w:rFonts w:hint="eastAsia"/>
                      <w:sz w:val="21"/>
                      <w:szCs w:val="21"/>
                    </w:rPr>
                    <w:t>现状差，通畅性不够，路面扬尘较多</w:t>
                  </w:r>
                </w:p>
              </w:tc>
              <w:tc>
                <w:tcPr>
                  <w:tcW w:w="4933" w:type="dxa"/>
                  <w:vAlign w:val="center"/>
                </w:tcPr>
                <w:p>
                  <w:pPr>
                    <w:pStyle w:val="28"/>
                    <w:jc w:val="center"/>
                    <w:rPr>
                      <w:sz w:val="21"/>
                      <w:szCs w:val="21"/>
                    </w:rPr>
                  </w:pPr>
                  <w:r>
                    <w:rPr>
                      <w:rFonts w:hint="eastAsia"/>
                      <w:bCs/>
                      <w:sz w:val="21"/>
                      <w:szCs w:val="21"/>
                    </w:rPr>
                    <w:t>路面进行维护，拆除部分沥青混凝土路面和透水砖人行道，新建透水砖铺装2094.84m</w:t>
                  </w:r>
                  <w:r>
                    <w:rPr>
                      <w:rFonts w:hint="eastAsia"/>
                      <w:bCs/>
                      <w:sz w:val="21"/>
                      <w:szCs w:val="21"/>
                      <w:vertAlign w:val="superscript"/>
                    </w:rPr>
                    <w:t>2</w:t>
                  </w:r>
                  <w:r>
                    <w:rPr>
                      <w:rFonts w:hint="eastAsia"/>
                      <w:bCs/>
                      <w:sz w:val="21"/>
                      <w:szCs w:val="21"/>
                    </w:rPr>
                    <w:t>，沥青混凝土道路2292.49 m</w:t>
                  </w:r>
                  <w:r>
                    <w:rPr>
                      <w:rFonts w:hint="eastAsia"/>
                      <w:bCs/>
                      <w:sz w:val="21"/>
                      <w:szCs w:val="21"/>
                      <w:vertAlign w:val="superscript"/>
                    </w:rPr>
                    <w:t>2</w:t>
                  </w:r>
                  <w:r>
                    <w:rPr>
                      <w:rFonts w:hint="eastAsia"/>
                      <w:bCs/>
                      <w:sz w:val="21"/>
                      <w:szCs w:val="21"/>
                    </w:rPr>
                    <w:t>；定期清洁路面，配备</w:t>
                  </w:r>
                  <w:r>
                    <w:rPr>
                      <w:rFonts w:hint="eastAsia"/>
                      <w:bCs/>
                      <w:sz w:val="21"/>
                      <w:szCs w:val="21"/>
                      <w:highlight w:val="lightGray"/>
                    </w:rPr>
                    <w:t>洒水设施</w:t>
                  </w:r>
                  <w:r>
                    <w:rPr>
                      <w:rFonts w:hint="eastAsia"/>
                      <w:bCs/>
                      <w:sz w:val="21"/>
                      <w:szCs w:val="21"/>
                    </w:rPr>
                    <w:t>路面洒水。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698" w:type="dxa"/>
                  <w:vAlign w:val="center"/>
                </w:tcPr>
                <w:p>
                  <w:pPr>
                    <w:pStyle w:val="28"/>
                    <w:jc w:val="center"/>
                    <w:rPr>
                      <w:sz w:val="21"/>
                      <w:szCs w:val="21"/>
                    </w:rPr>
                  </w:pPr>
                  <w:r>
                    <w:rPr>
                      <w:rFonts w:hint="eastAsia"/>
                      <w:sz w:val="21"/>
                      <w:szCs w:val="21"/>
                    </w:rPr>
                    <w:t>2</w:t>
                  </w:r>
                </w:p>
              </w:tc>
              <w:tc>
                <w:tcPr>
                  <w:tcW w:w="3270" w:type="dxa"/>
                  <w:vAlign w:val="center"/>
                </w:tcPr>
                <w:p>
                  <w:pPr>
                    <w:pStyle w:val="28"/>
                    <w:jc w:val="center"/>
                    <w:rPr>
                      <w:sz w:val="21"/>
                      <w:szCs w:val="21"/>
                    </w:rPr>
                  </w:pPr>
                  <w:r>
                    <w:rPr>
                      <w:rFonts w:hint="eastAsia"/>
                      <w:sz w:val="21"/>
                      <w:szCs w:val="21"/>
                    </w:rPr>
                    <w:t>雨水、污水管网合流，不符合环保要求</w:t>
                  </w:r>
                </w:p>
              </w:tc>
              <w:tc>
                <w:tcPr>
                  <w:tcW w:w="4933" w:type="dxa"/>
                  <w:vAlign w:val="center"/>
                </w:tcPr>
                <w:p>
                  <w:pPr>
                    <w:pStyle w:val="28"/>
                    <w:jc w:val="center"/>
                    <w:rPr>
                      <w:sz w:val="21"/>
                      <w:szCs w:val="21"/>
                    </w:rPr>
                  </w:pPr>
                  <w:r>
                    <w:rPr>
                      <w:rFonts w:hint="eastAsia"/>
                      <w:sz w:val="21"/>
                      <w:szCs w:val="21"/>
                    </w:rPr>
                    <w:t>本项目新建896m雨水管网、1359m污水管，实行雨污分流制度。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698" w:type="dxa"/>
                  <w:vAlign w:val="center"/>
                </w:tcPr>
                <w:p>
                  <w:pPr>
                    <w:pStyle w:val="28"/>
                    <w:jc w:val="center"/>
                    <w:rPr>
                      <w:sz w:val="21"/>
                      <w:szCs w:val="21"/>
                    </w:rPr>
                  </w:pPr>
                  <w:r>
                    <w:rPr>
                      <w:rFonts w:hint="eastAsia"/>
                      <w:sz w:val="21"/>
                      <w:szCs w:val="21"/>
                    </w:rPr>
                    <w:t>3</w:t>
                  </w:r>
                </w:p>
              </w:tc>
              <w:tc>
                <w:tcPr>
                  <w:tcW w:w="3270" w:type="dxa"/>
                  <w:vAlign w:val="center"/>
                </w:tcPr>
                <w:p>
                  <w:pPr>
                    <w:pStyle w:val="28"/>
                    <w:jc w:val="center"/>
                    <w:rPr>
                      <w:sz w:val="21"/>
                      <w:szCs w:val="21"/>
                    </w:rPr>
                  </w:pPr>
                  <w:r>
                    <w:rPr>
                      <w:rFonts w:hint="eastAsia"/>
                      <w:sz w:val="21"/>
                      <w:szCs w:val="21"/>
                    </w:rPr>
                    <w:t>污水未经过处理直排入老虎沟，污染地表水体，不符合环保要求</w:t>
                  </w:r>
                </w:p>
              </w:tc>
              <w:tc>
                <w:tcPr>
                  <w:tcW w:w="4933" w:type="dxa"/>
                  <w:vAlign w:val="center"/>
                </w:tcPr>
                <w:p>
                  <w:pPr>
                    <w:pStyle w:val="28"/>
                    <w:jc w:val="center"/>
                    <w:rPr>
                      <w:sz w:val="21"/>
                      <w:szCs w:val="21"/>
                    </w:rPr>
                  </w:pPr>
                  <w:r>
                    <w:rPr>
                      <w:rFonts w:hint="eastAsia"/>
                      <w:sz w:val="21"/>
                      <w:szCs w:val="21"/>
                    </w:rPr>
                    <w:t>本项目新建100m</w:t>
                  </w:r>
                  <w:r>
                    <w:rPr>
                      <w:rFonts w:hint="eastAsia"/>
                      <w:sz w:val="21"/>
                      <w:szCs w:val="21"/>
                      <w:vertAlign w:val="superscript"/>
                    </w:rPr>
                    <w:t>3</w:t>
                  </w:r>
                  <w:r>
                    <w:rPr>
                      <w:rFonts w:hint="eastAsia"/>
                      <w:sz w:val="21"/>
                      <w:szCs w:val="21"/>
                    </w:rPr>
                    <w:t>/d污水处理站，采用多级生物接触氧化处理工艺，对街区生活污水进行处理，达到</w:t>
                  </w:r>
                  <w:r>
                    <w:rPr>
                      <w:sz w:val="21"/>
                      <w:szCs w:val="21"/>
                    </w:rPr>
                    <w:t>《城镇污水处理厂污染物排放标准》（GB18918-2002）中一级</w:t>
                  </w:r>
                  <w:r>
                    <w:rPr>
                      <w:rFonts w:hint="eastAsia"/>
                      <w:sz w:val="21"/>
                      <w:szCs w:val="21"/>
                    </w:rPr>
                    <w:t>A</w:t>
                  </w:r>
                  <w:r>
                    <w:rPr>
                      <w:sz w:val="21"/>
                      <w:szCs w:val="21"/>
                    </w:rPr>
                    <w:t>排放标准</w:t>
                  </w:r>
                  <w:r>
                    <w:rPr>
                      <w:rFonts w:hint="eastAsia"/>
                      <w:sz w:val="21"/>
                      <w:szCs w:val="21"/>
                    </w:rPr>
                    <w:t>后经管道排入老虎沟。</w:t>
                  </w:r>
                </w:p>
              </w:tc>
            </w:tr>
          </w:tbl>
          <w:p>
            <w:pPr>
              <w:spacing w:beforeLines="50" w:line="360" w:lineRule="auto"/>
              <w:ind w:firstLine="480" w:firstLineChars="200"/>
              <w:rPr>
                <w:bCs/>
                <w:sz w:val="24"/>
              </w:rPr>
            </w:pPr>
            <w:r>
              <w:rPr>
                <w:rFonts w:hint="eastAsia"/>
                <w:bCs/>
                <w:sz w:val="24"/>
              </w:rPr>
              <w:t>建议太昌乡镇排污单位建设化粪池预处理，再接入太昌镇生活污水处理站。</w:t>
            </w:r>
          </w:p>
          <w:p>
            <w:pPr>
              <w:spacing w:beforeLines="50" w:line="360" w:lineRule="auto"/>
              <w:ind w:firstLine="480" w:firstLineChars="200"/>
              <w:rPr>
                <w:bCs/>
                <w:sz w:val="24"/>
                <w:szCs w:val="24"/>
              </w:rPr>
            </w:pPr>
          </w:p>
        </w:tc>
      </w:tr>
    </w:tbl>
    <w:p>
      <w:pPr>
        <w:outlineLvl w:val="0"/>
        <w:rPr>
          <w:b/>
          <w:sz w:val="32"/>
        </w:rPr>
      </w:pPr>
    </w:p>
    <w:p>
      <w:pPr>
        <w:outlineLvl w:val="0"/>
        <w:rPr>
          <w:b/>
          <w:sz w:val="32"/>
        </w:rPr>
      </w:pPr>
      <w:r>
        <w:rPr>
          <w:rFonts w:hint="eastAsia"/>
          <w:b/>
          <w:sz w:val="32"/>
        </w:rPr>
        <w:t>建设项目所在地自然环境简况</w:t>
      </w:r>
      <w:r>
        <w:rPr>
          <w:b/>
          <w:sz w:val="32"/>
        </w:rPr>
        <w:t xml:space="preserve">  </w:t>
      </w:r>
    </w:p>
    <w:tbl>
      <w:tblPr>
        <w:tblStyle w:val="35"/>
        <w:tblW w:w="9117" w:type="dxa"/>
        <w:jc w:val="center"/>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11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12580" w:hRule="atLeast"/>
          <w:jc w:val="center"/>
        </w:trPr>
        <w:tc>
          <w:tcPr>
            <w:tcW w:w="9117" w:type="dxa"/>
          </w:tcPr>
          <w:p>
            <w:pPr>
              <w:spacing w:line="360" w:lineRule="auto"/>
              <w:rPr>
                <w:sz w:val="28"/>
                <w:szCs w:val="28"/>
              </w:rPr>
            </w:pPr>
            <w:r>
              <w:rPr>
                <w:rFonts w:hint="eastAsia"/>
                <w:b/>
                <w:bCs/>
                <w:sz w:val="28"/>
                <w:szCs w:val="28"/>
              </w:rPr>
              <w:t>自然环境简况</w:t>
            </w:r>
            <w:r>
              <w:rPr>
                <w:rFonts w:hint="eastAsia"/>
                <w:sz w:val="28"/>
                <w:szCs w:val="28"/>
              </w:rPr>
              <w:t>（地形、地貌、地质、气候、气象、水文、植被、生物多样性等）：</w:t>
            </w:r>
          </w:p>
          <w:p>
            <w:pPr>
              <w:spacing w:line="360" w:lineRule="auto"/>
              <w:ind w:firstLine="482" w:firstLineChars="200"/>
              <w:rPr>
                <w:b/>
                <w:sz w:val="24"/>
              </w:rPr>
            </w:pPr>
            <w:r>
              <w:rPr>
                <w:b/>
                <w:sz w:val="24"/>
              </w:rPr>
              <w:t>1</w:t>
            </w:r>
            <w:r>
              <w:rPr>
                <w:rFonts w:hint="eastAsia"/>
                <w:b/>
                <w:sz w:val="24"/>
              </w:rPr>
              <w:t>、地理位置</w:t>
            </w:r>
          </w:p>
          <w:p>
            <w:pPr>
              <w:spacing w:line="360" w:lineRule="auto"/>
              <w:ind w:firstLine="480" w:firstLineChars="200"/>
              <w:rPr>
                <w:bCs/>
                <w:sz w:val="24"/>
              </w:rPr>
            </w:pPr>
            <w:bookmarkStart w:id="0" w:name="_Toc479615860"/>
            <w:bookmarkStart w:id="1" w:name="_Toc479149068"/>
            <w:bookmarkStart w:id="2" w:name="_Toc484138764"/>
            <w:bookmarkStart w:id="3" w:name="_Toc474831589"/>
            <w:r>
              <w:rPr>
                <w:bCs/>
                <w:sz w:val="24"/>
              </w:rPr>
              <w:t>宁县位于庆阳市东南部，是甘肃省东南边境县份之一。介于东经107°41′至108°34′，北纬35°15′至35°52′，东依子午岭，南接陕西，北靠宁夏，西临泾、蒲二河，距黄陵160km，西安200km，兰州510km。</w:t>
            </w:r>
          </w:p>
          <w:p>
            <w:pPr>
              <w:spacing w:line="360" w:lineRule="auto"/>
              <w:ind w:firstLine="480" w:firstLineChars="200"/>
              <w:rPr>
                <w:bCs/>
                <w:sz w:val="24"/>
              </w:rPr>
            </w:pPr>
            <w:r>
              <w:rPr>
                <w:rFonts w:hint="eastAsia"/>
                <w:bCs/>
                <w:sz w:val="24"/>
              </w:rPr>
              <w:t>太昌镇位于庆阳市南端，宁县西部，吴凤公路（省道S202）和西长风高速公路（G22）穿境而过，东北与和盛镇（和盛工业集中区）相接，东南与新庄镇接壤，南于长庆桥镇（长庆桥经济示范园区）相邻，距县城36km，庆阳市45km，交通十分便利。</w:t>
            </w:r>
          </w:p>
          <w:p>
            <w:pPr>
              <w:spacing w:line="360" w:lineRule="auto"/>
              <w:ind w:firstLine="480" w:firstLineChars="200"/>
              <w:rPr>
                <w:sz w:val="24"/>
              </w:rPr>
            </w:pPr>
            <w:r>
              <w:rPr>
                <w:rFonts w:hint="eastAsia"/>
                <w:sz w:val="24"/>
              </w:rPr>
              <w:t>本项目位于太昌镇东风村，地理位置图见附图2。</w:t>
            </w:r>
          </w:p>
          <w:bookmarkEnd w:id="0"/>
          <w:bookmarkEnd w:id="1"/>
          <w:bookmarkEnd w:id="2"/>
          <w:bookmarkEnd w:id="3"/>
          <w:p>
            <w:pPr>
              <w:spacing w:line="360" w:lineRule="auto"/>
              <w:ind w:firstLine="482" w:firstLineChars="200"/>
              <w:rPr>
                <w:b/>
                <w:sz w:val="24"/>
              </w:rPr>
            </w:pPr>
            <w:r>
              <w:rPr>
                <w:b/>
                <w:sz w:val="24"/>
              </w:rPr>
              <w:t>2</w:t>
            </w:r>
            <w:r>
              <w:rPr>
                <w:rFonts w:hint="eastAsia"/>
                <w:b/>
                <w:sz w:val="24"/>
              </w:rPr>
              <w:t>、地形、地貌及地质</w:t>
            </w:r>
          </w:p>
          <w:p>
            <w:pPr>
              <w:spacing w:line="360" w:lineRule="auto"/>
              <w:ind w:firstLine="480" w:firstLineChars="200"/>
              <w:rPr>
                <w:sz w:val="24"/>
              </w:rPr>
            </w:pPr>
            <w:r>
              <w:rPr>
                <w:sz w:val="24"/>
              </w:rPr>
              <w:t>宁县位于陕甘宁盆地（即鄂尔多斯盆地）西南部，属于祁吕贺兰山字型构造体系东部的伊陕盾地，是我国新华夏系第三沉降带控制的大型内陆盆地之一。盆地的雏型形成于二叠纪中晚期到早三叠纪。中三叠纪到早白垩纪为大型内陆拗陷盆地的发展阶段，地壳运动以沉降为主，形成一个大型萁状拗陷，即铜川-庆阳拗陷。三叠纪末拗陷急剧上升隆起，三叠纪大型盆地解体，随即产生侏罗纪大型拗陷盆地，形成现今构造盆地轮廓。燕山运动使侏罗纪盆地解体，东部上升形成斜坡；西部于宁夏天池至环县一线形成南北向较大幅度拗陷一天环向斜。形成厚达4000m以上的沉积，其中下白垩统沉积厚度达1000m。</w:t>
            </w:r>
          </w:p>
          <w:p>
            <w:pPr>
              <w:spacing w:line="360" w:lineRule="auto"/>
              <w:ind w:firstLine="480" w:firstLineChars="200"/>
              <w:rPr>
                <w:sz w:val="24"/>
              </w:rPr>
            </w:pPr>
            <w:r>
              <w:rPr>
                <w:rFonts w:hint="eastAsia"/>
                <w:sz w:val="24"/>
              </w:rPr>
              <w:t>太昌镇呈东西狭长分布，塬面宽阔、平坦，资源丰富，交通便利。</w:t>
            </w:r>
          </w:p>
          <w:p>
            <w:pPr>
              <w:spacing w:line="360" w:lineRule="auto"/>
              <w:ind w:firstLine="480" w:firstLineChars="200"/>
              <w:rPr>
                <w:sz w:val="24"/>
              </w:rPr>
            </w:pPr>
            <w:r>
              <w:rPr>
                <w:rFonts w:hint="eastAsia"/>
                <w:sz w:val="24"/>
              </w:rPr>
              <w:t>本项目位于太昌镇街道，根据《宁县太昌镇东风村易地扶贫搬迁附属工程建设项目岩土工程勘察报告》（兰州理工大学建筑勘察设计院），项目所在地地质勘察结论如下：</w:t>
            </w:r>
          </w:p>
          <w:p>
            <w:pPr>
              <w:spacing w:line="360" w:lineRule="auto"/>
              <w:ind w:firstLine="480" w:firstLineChars="200"/>
              <w:rPr>
                <w:sz w:val="24"/>
              </w:rPr>
            </w:pPr>
            <w:r>
              <w:rPr>
                <w:rFonts w:hint="eastAsia"/>
                <w:sz w:val="24"/>
              </w:rPr>
              <w:t>①场地内不良地质现象不发育，地质环境基本未受破坏，岩土种类较简单，岩性变化不大，无断裂构造，场地稳定，适宜工程建设。</w:t>
            </w:r>
          </w:p>
          <w:p>
            <w:pPr>
              <w:spacing w:line="360" w:lineRule="auto"/>
              <w:ind w:firstLine="480" w:firstLineChars="200"/>
              <w:rPr>
                <w:sz w:val="24"/>
              </w:rPr>
            </w:pPr>
            <w:r>
              <w:rPr>
                <w:rFonts w:hint="eastAsia"/>
                <w:sz w:val="24"/>
              </w:rPr>
              <w:t>②该场地，在勘探深度范围内的地层，自上而下依次由人工填土、粉质粘土1及粉质粘土2构成，地层分布连续、稳定，在现有地质环境条件下，场地稳定。适宜进行该工程建设。</w:t>
            </w:r>
            <w:r>
              <w:rPr>
                <w:sz w:val="24"/>
              </w:rPr>
              <w:t xml:space="preserve">  </w:t>
            </w:r>
            <w:r>
              <w:rPr>
                <w:rFonts w:hint="eastAsia"/>
                <w:sz w:val="24"/>
              </w:rPr>
              <w:t xml:space="preserve">  </w:t>
            </w:r>
          </w:p>
          <w:p>
            <w:pPr>
              <w:spacing w:line="360" w:lineRule="auto"/>
              <w:ind w:firstLine="480" w:firstLineChars="200"/>
              <w:rPr>
                <w:sz w:val="24"/>
              </w:rPr>
            </w:pPr>
            <w:r>
              <w:rPr>
                <w:rFonts w:hint="eastAsia"/>
                <w:sz w:val="24"/>
              </w:rPr>
              <w:t>③依据《湿陷性黄土地区建筑规范》（</w:t>
            </w:r>
            <w:r>
              <w:rPr>
                <w:sz w:val="24"/>
              </w:rPr>
              <w:t>GB</w:t>
            </w:r>
            <w:r>
              <w:rPr>
                <w:rFonts w:hint="eastAsia"/>
                <w:sz w:val="24"/>
              </w:rPr>
              <w:t>50025</w:t>
            </w:r>
            <w:r>
              <w:rPr>
                <w:sz w:val="24"/>
              </w:rPr>
              <w:t>-</w:t>
            </w:r>
            <w:r>
              <w:rPr>
                <w:rFonts w:hint="eastAsia"/>
                <w:sz w:val="24"/>
              </w:rPr>
              <w:t>2004），该拟建范围为自重湿陷性黄土场地，湿陷性等级为Ⅱ级（中等）。湿陷性土层下限最大深度为16.00</w:t>
            </w:r>
            <w:r>
              <w:rPr>
                <w:sz w:val="24"/>
              </w:rPr>
              <w:t>m</w:t>
            </w:r>
            <w:r>
              <w:rPr>
                <w:rFonts w:hint="eastAsia"/>
                <w:sz w:val="24"/>
              </w:rPr>
              <w:t>，湿陷性土层累计厚度最大值为12.00</w:t>
            </w:r>
            <w:r>
              <w:rPr>
                <w:sz w:val="24"/>
              </w:rPr>
              <w:t>m</w:t>
            </w:r>
            <w:r>
              <w:rPr>
                <w:rFonts w:hint="eastAsia"/>
                <w:sz w:val="24"/>
              </w:rPr>
              <w:t>。</w:t>
            </w:r>
          </w:p>
          <w:p>
            <w:pPr>
              <w:spacing w:line="360" w:lineRule="auto"/>
              <w:ind w:firstLine="480" w:firstLineChars="200"/>
              <w:rPr>
                <w:sz w:val="24"/>
              </w:rPr>
            </w:pPr>
            <w:r>
              <w:rPr>
                <w:rFonts w:hint="eastAsia"/>
                <w:sz w:val="24"/>
              </w:rPr>
              <w:t>④该建筑抗震设防类别为丙类（标准设防），场地土类型主要为软弱土、中软土及中软土，场地类别为Ⅲ类，抗震设防烈度按Ⅶ度设防，设计基本地震加速度按0.065g，设计特征周期为0.65s。</w:t>
            </w:r>
          </w:p>
          <w:p>
            <w:pPr>
              <w:spacing w:line="360" w:lineRule="auto"/>
              <w:ind w:firstLine="480" w:firstLineChars="200"/>
              <w:rPr>
                <w:sz w:val="24"/>
              </w:rPr>
            </w:pPr>
            <w:r>
              <w:rPr>
                <w:rFonts w:hint="eastAsia"/>
                <w:sz w:val="24"/>
              </w:rPr>
              <w:t>⑤该工程无论采用何种地基基础方案，均应加强场地排水和地下管网的防渗、防漏措施。</w:t>
            </w:r>
          </w:p>
          <w:p>
            <w:pPr>
              <w:spacing w:line="360" w:lineRule="auto"/>
              <w:ind w:firstLine="480" w:firstLineChars="200"/>
              <w:rPr>
                <w:sz w:val="24"/>
              </w:rPr>
            </w:pPr>
            <w:r>
              <w:rPr>
                <w:rFonts w:hint="eastAsia"/>
                <w:sz w:val="24"/>
              </w:rPr>
              <w:t>⑥该场地标准冻深为82cm。</w:t>
            </w:r>
          </w:p>
          <w:p>
            <w:pPr>
              <w:spacing w:line="360" w:lineRule="auto"/>
              <w:ind w:firstLine="480" w:firstLineChars="200"/>
              <w:rPr>
                <w:sz w:val="24"/>
              </w:rPr>
            </w:pPr>
            <w:r>
              <w:rPr>
                <w:rFonts w:hint="eastAsia"/>
                <w:sz w:val="24"/>
              </w:rPr>
              <w:t>⑦本次勘察未见地下水，故可不考虑地下水对工程的影响。</w:t>
            </w:r>
          </w:p>
          <w:p>
            <w:pPr>
              <w:spacing w:line="360" w:lineRule="auto"/>
              <w:ind w:firstLine="480" w:firstLineChars="200"/>
              <w:rPr>
                <w:sz w:val="24"/>
              </w:rPr>
            </w:pPr>
            <w:r>
              <w:rPr>
                <w:rFonts w:hint="eastAsia"/>
                <w:sz w:val="24"/>
              </w:rPr>
              <w:t>⑧场地环境类型按Ⅲ类考虑，场地土对混凝土结构和钢筋混凝土结构中的钢筋均具微腐蚀性。</w:t>
            </w:r>
          </w:p>
          <w:p>
            <w:pPr>
              <w:spacing w:line="360" w:lineRule="auto"/>
              <w:ind w:firstLine="482" w:firstLineChars="200"/>
              <w:rPr>
                <w:b/>
                <w:sz w:val="24"/>
              </w:rPr>
            </w:pPr>
            <w:r>
              <w:rPr>
                <w:rFonts w:hint="eastAsia"/>
                <w:b/>
                <w:sz w:val="24"/>
              </w:rPr>
              <w:t>3、气候特征</w:t>
            </w:r>
          </w:p>
          <w:p>
            <w:pPr>
              <w:spacing w:line="360" w:lineRule="auto"/>
              <w:ind w:firstLine="480" w:firstLineChars="200"/>
              <w:rPr>
                <w:sz w:val="24"/>
              </w:rPr>
            </w:pPr>
            <w:r>
              <w:rPr>
                <w:sz w:val="24"/>
              </w:rPr>
              <w:t>宁县属温带大陆性干旱和半干旱气候，冬季雨雪少，寒冷时间长；春季升温快，冷暖变化大；夏季气温高，时间短，降雨集中；秋季降温快，阴雨多，初霜来得早。冬季常吹西北风，夏季多行东南风，冬冷常晴，夏热丰雨。气温南部高于北部，年平均气温8.9</w:t>
            </w:r>
            <w:r>
              <w:rPr>
                <w:rFonts w:hint="eastAsia" w:ascii="宋体" w:hAnsi="宋体" w:cs="宋体"/>
                <w:sz w:val="24"/>
              </w:rPr>
              <w:t>℃</w:t>
            </w:r>
            <w:r>
              <w:rPr>
                <w:sz w:val="24"/>
              </w:rPr>
              <w:t>，年平均降水量567mm，年平均蒸发量1210mm，年平均日照时数2423.1h，最多年2812.0h，最少年2032.0h，多年最大冻土深度80cm，多年最大积雪深度24cm，无霜期140-180天，冬季盛行西北风，夏季多为东南风，历年平均风速2.1m/s，极限风速26m/s。</w:t>
            </w:r>
          </w:p>
          <w:p>
            <w:pPr>
              <w:spacing w:line="360" w:lineRule="auto"/>
              <w:ind w:firstLine="602" w:firstLineChars="250"/>
              <w:rPr>
                <w:b/>
                <w:sz w:val="24"/>
              </w:rPr>
            </w:pPr>
            <w:r>
              <w:rPr>
                <w:rFonts w:hint="eastAsia"/>
                <w:b/>
                <w:sz w:val="24"/>
              </w:rPr>
              <w:t>4、水文特征</w:t>
            </w:r>
          </w:p>
          <w:p>
            <w:pPr>
              <w:spacing w:line="360" w:lineRule="auto"/>
              <w:ind w:firstLine="480" w:firstLineChars="200"/>
              <w:rPr>
                <w:sz w:val="24"/>
              </w:rPr>
            </w:pPr>
            <w:r>
              <w:rPr>
                <w:rFonts w:hint="eastAsia"/>
                <w:sz w:val="24"/>
              </w:rPr>
              <w:t>流经宁县的河流有泾河、马莲河两条河流，</w:t>
            </w:r>
            <w:r>
              <w:rPr>
                <w:sz w:val="24"/>
              </w:rPr>
              <w:t>其中马莲河年平均流量为14.9m</w:t>
            </w:r>
            <w:r>
              <w:rPr>
                <w:sz w:val="24"/>
                <w:vertAlign w:val="superscript"/>
              </w:rPr>
              <w:t>3</w:t>
            </w:r>
            <w:r>
              <w:rPr>
                <w:sz w:val="24"/>
              </w:rPr>
              <w:t>/s。泾河发源于六盘山东麓的宁夏回族自治区泾源县泾河源乡老龙潭以上的山坡，河源处海拔高程2850m左右，河流由西南流向东北，经崆峒区、泾川县，在长庆桥以下4km处进入陕西省，干流全长455km流域总面积45421km</w:t>
            </w:r>
            <w:r>
              <w:rPr>
                <w:sz w:val="24"/>
                <w:vertAlign w:val="superscript"/>
              </w:rPr>
              <w:t>2</w:t>
            </w:r>
            <w:r>
              <w:rPr>
                <w:sz w:val="24"/>
              </w:rPr>
              <w:t>，总落差1517m。在甘肃境内干流全长179.3km，在平凉市境内干流长132km，杨家坪断面控制流域面积14124km</w:t>
            </w:r>
            <w:r>
              <w:rPr>
                <w:sz w:val="24"/>
                <w:vertAlign w:val="superscript"/>
              </w:rPr>
              <w:t>2</w:t>
            </w:r>
            <w:r>
              <w:rPr>
                <w:sz w:val="24"/>
              </w:rPr>
              <w:t>，河流平均比降1.86%。多年平均径流量7.319亿m³，多年平均输沙量8850万t。</w:t>
            </w:r>
          </w:p>
          <w:p>
            <w:pPr>
              <w:spacing w:line="360" w:lineRule="auto"/>
              <w:ind w:firstLine="480" w:firstLineChars="200"/>
              <w:rPr>
                <w:sz w:val="24"/>
              </w:rPr>
            </w:pPr>
            <w:r>
              <w:rPr>
                <w:sz w:val="24"/>
              </w:rPr>
              <w:t>地下浅层水主要为第四系河谷砂砾石潜水和白垩系环河组风化裂隙潜水。</w:t>
            </w:r>
          </w:p>
          <w:p>
            <w:pPr>
              <w:spacing w:line="360" w:lineRule="auto"/>
              <w:ind w:firstLine="480" w:firstLineChars="200"/>
              <w:rPr>
                <w:sz w:val="24"/>
              </w:rPr>
            </w:pPr>
            <w:r>
              <w:rPr>
                <w:rFonts w:hint="eastAsia"/>
                <w:sz w:val="24"/>
              </w:rPr>
              <w:t>本项目污水站出水经老虎沟最终汇入马莲河。</w:t>
            </w:r>
          </w:p>
          <w:p>
            <w:pPr>
              <w:spacing w:line="360" w:lineRule="auto"/>
              <w:ind w:firstLine="482" w:firstLineChars="200"/>
              <w:rPr>
                <w:b/>
                <w:sz w:val="24"/>
              </w:rPr>
            </w:pPr>
            <w:r>
              <w:rPr>
                <w:rFonts w:hint="eastAsia"/>
                <w:b/>
                <w:sz w:val="24"/>
              </w:rPr>
              <w:t>5、土壤</w:t>
            </w:r>
          </w:p>
          <w:p>
            <w:pPr>
              <w:spacing w:line="360" w:lineRule="auto"/>
              <w:ind w:firstLine="480" w:firstLineChars="200"/>
              <w:rPr>
                <w:sz w:val="24"/>
              </w:rPr>
            </w:pPr>
            <w:r>
              <w:rPr>
                <w:sz w:val="24"/>
              </w:rPr>
              <w:t>土壤受地形、母质、气候、植物和耕作条件的影响，形成不同的土壤类型，即：黄绵土、黑垆土、淤积土、潮土、红粘土和灰褐土。全县土地资源比较丰富，有耕地69030公顷。</w:t>
            </w:r>
            <w:r>
              <w:rPr>
                <w:rFonts w:hint="eastAsia"/>
                <w:sz w:val="24"/>
              </w:rPr>
              <w:t>项目区内地基土由黄土状土、砾石层组成，场地土为自重湿陷类型；地基湿陷等级为Ⅱ级；地基土的最大冻土深度为0.82m。场地土属中软场地土，建筑物场地类型为Ⅱ级。部分活载标准值：不上人层面</w:t>
            </w:r>
            <w:r>
              <w:rPr>
                <w:sz w:val="24"/>
              </w:rPr>
              <w:t>—</w:t>
            </w:r>
            <w:r>
              <w:rPr>
                <w:rFonts w:hint="eastAsia"/>
                <w:sz w:val="24"/>
              </w:rPr>
              <w:t>0.5KN/m</w:t>
            </w:r>
            <w:r>
              <w:rPr>
                <w:rFonts w:hint="eastAsia"/>
                <w:sz w:val="24"/>
                <w:vertAlign w:val="superscript"/>
              </w:rPr>
              <w:t>3</w:t>
            </w:r>
            <w:r>
              <w:rPr>
                <w:rFonts w:hint="eastAsia"/>
                <w:sz w:val="24"/>
              </w:rPr>
              <w:t>；基本雪压--0.4KN/m</w:t>
            </w:r>
            <w:r>
              <w:rPr>
                <w:rFonts w:hint="eastAsia"/>
                <w:sz w:val="24"/>
                <w:vertAlign w:val="superscript"/>
              </w:rPr>
              <w:t>3</w:t>
            </w:r>
            <w:r>
              <w:rPr>
                <w:rFonts w:hint="eastAsia"/>
                <w:sz w:val="24"/>
              </w:rPr>
              <w:t>；基本风压--0.3KN/m</w:t>
            </w:r>
            <w:r>
              <w:rPr>
                <w:rFonts w:hint="eastAsia"/>
                <w:sz w:val="24"/>
                <w:vertAlign w:val="superscript"/>
              </w:rPr>
              <w:t>3</w:t>
            </w:r>
            <w:r>
              <w:rPr>
                <w:rFonts w:hint="eastAsia"/>
                <w:sz w:val="24"/>
              </w:rPr>
              <w:t>。</w:t>
            </w:r>
          </w:p>
          <w:p>
            <w:pPr>
              <w:spacing w:line="360" w:lineRule="auto"/>
              <w:ind w:firstLine="482" w:firstLineChars="200"/>
              <w:rPr>
                <w:b/>
                <w:sz w:val="24"/>
              </w:rPr>
            </w:pPr>
            <w:r>
              <w:rPr>
                <w:rFonts w:hint="eastAsia"/>
                <w:b/>
                <w:sz w:val="24"/>
              </w:rPr>
              <w:t>6、自然资源</w:t>
            </w:r>
          </w:p>
          <w:p>
            <w:pPr>
              <w:spacing w:line="360" w:lineRule="auto"/>
              <w:ind w:firstLine="480" w:firstLineChars="200"/>
              <w:rPr>
                <w:sz w:val="24"/>
              </w:rPr>
            </w:pPr>
            <w:r>
              <w:rPr>
                <w:rFonts w:hint="eastAsia"/>
                <w:sz w:val="24"/>
              </w:rPr>
              <w:t>（1）动物资源</w:t>
            </w:r>
          </w:p>
          <w:p>
            <w:pPr>
              <w:spacing w:line="360" w:lineRule="auto"/>
              <w:ind w:firstLine="480" w:firstLineChars="200"/>
              <w:rPr>
                <w:sz w:val="24"/>
              </w:rPr>
            </w:pPr>
            <w:r>
              <w:rPr>
                <w:sz w:val="24"/>
              </w:rPr>
              <w:t>本项目所在区域动物主要为一些鸟类及小型啮齿类动物等，无大型野生动物，且在现场踏勘及走访过程中，项目所在区域没有发现珍稀、濒危或国家及自治区级保护动物的栖息地和繁殖地。</w:t>
            </w:r>
          </w:p>
          <w:p>
            <w:pPr>
              <w:spacing w:line="360" w:lineRule="auto"/>
              <w:ind w:firstLine="480" w:firstLineChars="200"/>
              <w:rPr>
                <w:sz w:val="24"/>
              </w:rPr>
            </w:pPr>
            <w:r>
              <w:rPr>
                <w:rFonts w:hint="eastAsia"/>
                <w:sz w:val="24"/>
              </w:rPr>
              <w:t>（2）植物资源</w:t>
            </w:r>
          </w:p>
          <w:p>
            <w:pPr>
              <w:spacing w:line="360" w:lineRule="auto"/>
              <w:ind w:firstLine="480" w:firstLineChars="200"/>
              <w:rPr>
                <w:sz w:val="24"/>
              </w:rPr>
            </w:pPr>
            <w:r>
              <w:rPr>
                <w:sz w:val="24"/>
              </w:rPr>
              <w:t>宁县温和较湿润的气候条件，适宜多种阔叶林和草本植被的生长发育，植物种类较多。据不完全调查，全县木本植物和草本植物类型约有40多科200种，农作物品种资源也很丰富。按照不同的地形条件和植被状况，大致可分为三个植被区：一是次生林植被区，主要分布于子午岭中段西侧与大弯、龙池、绣花楼、北桂花、九里沟、胡家岔、前崾岘、徐阳沟一线以东的中山丘陵地带。自然植被以落叶阔林为主，植被覆盖度90%以上。地表枯枝落叶层达2~4cm，林下土壤向灰褐土发育；二是荒坡疏林草原植被区，即为林区以外未开垦的梁、茆、丘陵、沟谷、坡地。该区地形条件复杂，植物群落和长势差异很大。一般阳山覆盖度为20~70%，阴山40~80%。河谷川台地植被生长较好，覆盖度为50~90%。植被条件较好的土壤则为薄腐殖灰绵土和薄腐殖灰培土及荒坡红土；三是农作物种植区，宁县是以种植业为主的农业县，农作物种植物遍布全县各地，农作物主要有粮食作物、经济作物、绿肥及饲料作物，田间杂草主要有冰草、偃麦草、米蒿、荠荠菜、苦菜、毛不留行、蒺藜等。</w:t>
            </w:r>
          </w:p>
          <w:p>
            <w:pPr>
              <w:spacing w:line="360" w:lineRule="auto"/>
              <w:ind w:firstLine="480" w:firstLineChars="200"/>
              <w:rPr>
                <w:sz w:val="24"/>
              </w:rPr>
            </w:pPr>
            <w:r>
              <w:rPr>
                <w:sz w:val="24"/>
              </w:rPr>
              <w:t>宁县代表性树种有山杏、刺槐、杨柳、松、楸、桐、椿、柏、白桦、国槐等二十多种。主要经济树种有苹果、梨、杏、核桃、枣、李、桑等。</w:t>
            </w:r>
          </w:p>
          <w:p>
            <w:pPr>
              <w:spacing w:line="360" w:lineRule="auto"/>
              <w:ind w:firstLine="480" w:firstLineChars="200"/>
              <w:rPr>
                <w:sz w:val="24"/>
              </w:rPr>
            </w:pPr>
            <w:r>
              <w:rPr>
                <w:rFonts w:hint="eastAsia"/>
                <w:sz w:val="24"/>
              </w:rPr>
              <w:t>（3）</w:t>
            </w:r>
            <w:r>
              <w:rPr>
                <w:sz w:val="24"/>
              </w:rPr>
              <w:t>矿产资源</w:t>
            </w:r>
          </w:p>
          <w:p>
            <w:pPr>
              <w:spacing w:line="360" w:lineRule="auto"/>
              <w:ind w:firstLine="480" w:firstLineChars="200"/>
              <w:rPr>
                <w:sz w:val="24"/>
              </w:rPr>
            </w:pPr>
            <w:r>
              <w:rPr>
                <w:rFonts w:hint="eastAsia"/>
                <w:sz w:val="24"/>
              </w:rPr>
              <w:t>宁县矿产资源地面主要有石灰石，分布于泾河北岸，石层厚2~10m，长达20km。皮硝、火硝多处出产。另有细砂，可做建筑材料。地下有低灰低硫长焰煤，煤层厚薄不一，南部地区厚层11~18m，还有1~5m的地区。铜矿基本出露于政平北山岩层，但含量甚少。</w:t>
            </w:r>
          </w:p>
          <w:p>
            <w:pPr>
              <w:spacing w:line="360" w:lineRule="auto"/>
              <w:ind w:firstLine="482" w:firstLineChars="200"/>
              <w:rPr>
                <w:sz w:val="24"/>
              </w:rPr>
            </w:pPr>
            <w:r>
              <w:rPr>
                <w:rFonts w:hint="eastAsia"/>
                <w:b/>
                <w:sz w:val="24"/>
              </w:rPr>
              <w:t>7、项目依托的环保设施</w:t>
            </w:r>
          </w:p>
          <w:p>
            <w:pPr>
              <w:spacing w:line="360" w:lineRule="auto"/>
              <w:ind w:firstLine="480" w:firstLineChars="200"/>
              <w:rPr>
                <w:sz w:val="24"/>
              </w:rPr>
            </w:pPr>
            <w:r>
              <w:rPr>
                <w:rFonts w:hint="eastAsia"/>
                <w:sz w:val="24"/>
              </w:rPr>
              <w:t>宁县和盛镇生活垃圾填埋场距离本项目约4.8km。</w:t>
            </w:r>
          </w:p>
          <w:p>
            <w:pPr>
              <w:spacing w:line="360" w:lineRule="auto"/>
              <w:ind w:firstLine="480" w:firstLineChars="200"/>
              <w:rPr>
                <w:sz w:val="24"/>
              </w:rPr>
            </w:pPr>
            <w:r>
              <w:rPr>
                <w:rFonts w:hint="eastAsia"/>
                <w:sz w:val="24"/>
              </w:rPr>
              <w:t>宁县和盛镇生活垃圾处理工程位于和盛镇西南方向4.0km处的青木沟天然沟谷，公路距离4.5km。库区为一条天然沟道，占地面积79.9亩。日均处理城镇生活垃圾30t，垃圾填埋场总容积40万m</w:t>
            </w:r>
            <w:r>
              <w:rPr>
                <w:rFonts w:hint="eastAsia"/>
                <w:sz w:val="24"/>
                <w:vertAlign w:val="superscript"/>
              </w:rPr>
              <w:t>3</w:t>
            </w:r>
            <w:r>
              <w:rPr>
                <w:rFonts w:hint="eastAsia"/>
                <w:sz w:val="24"/>
              </w:rPr>
              <w:t>，扣除覆盖土层及排液导气设施的容积，实际有效容积34万m</w:t>
            </w:r>
            <w:r>
              <w:rPr>
                <w:rFonts w:hint="eastAsia"/>
                <w:sz w:val="24"/>
                <w:vertAlign w:val="superscript"/>
              </w:rPr>
              <w:t>3</w:t>
            </w:r>
            <w:r>
              <w:rPr>
                <w:rFonts w:hint="eastAsia"/>
                <w:sz w:val="24"/>
              </w:rPr>
              <w:t>，设计使用年限10年，日处理能力分级为Ⅱ级。</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tc>
      </w:tr>
    </w:tbl>
    <w:p>
      <w:pPr>
        <w:outlineLvl w:val="0"/>
        <w:rPr>
          <w:b/>
          <w:sz w:val="32"/>
        </w:rPr>
      </w:pPr>
    </w:p>
    <w:p>
      <w:pPr>
        <w:outlineLvl w:val="0"/>
        <w:rPr>
          <w:b/>
          <w:sz w:val="32"/>
        </w:rPr>
      </w:pPr>
      <w:r>
        <w:rPr>
          <w:rFonts w:hint="eastAsia"/>
          <w:b/>
          <w:sz w:val="32"/>
        </w:rPr>
        <w:t>环境质量状况</w:t>
      </w:r>
    </w:p>
    <w:tbl>
      <w:tblPr>
        <w:tblStyle w:val="35"/>
        <w:tblW w:w="911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289" w:hRule="atLeast"/>
        </w:trPr>
        <w:tc>
          <w:tcPr>
            <w:tcW w:w="9117" w:type="dxa"/>
            <w:tcBorders>
              <w:top w:val="single" w:color="auto" w:sz="12" w:space="0"/>
              <w:bottom w:val="single" w:color="auto" w:sz="12" w:space="0"/>
            </w:tcBorders>
          </w:tcPr>
          <w:p>
            <w:pPr>
              <w:spacing w:beforeLines="50" w:line="360" w:lineRule="auto"/>
              <w:rPr>
                <w:b/>
                <w:sz w:val="24"/>
                <w:szCs w:val="24"/>
              </w:rPr>
            </w:pPr>
            <w:r>
              <w:rPr>
                <w:rFonts w:hint="eastAsia"/>
                <w:b/>
                <w:sz w:val="28"/>
              </w:rPr>
              <w:t>建设项目所在地区域环境质量现状及主要环境问题</w:t>
            </w:r>
            <w:r>
              <w:rPr>
                <w:rFonts w:hint="eastAsia"/>
                <w:b/>
                <w:sz w:val="24"/>
                <w:szCs w:val="24"/>
              </w:rPr>
              <w:t>（环境空气、地表水、地下水、声环境、生态环境等）</w:t>
            </w:r>
          </w:p>
          <w:p>
            <w:pPr>
              <w:spacing w:line="360" w:lineRule="auto"/>
              <w:ind w:firstLine="482" w:firstLineChars="200"/>
              <w:contextualSpacing/>
              <w:rPr>
                <w:rFonts w:hAnsi="宋体"/>
                <w:b/>
                <w:sz w:val="24"/>
              </w:rPr>
            </w:pPr>
            <w:r>
              <w:rPr>
                <w:rFonts w:hint="eastAsia" w:hAnsi="宋体"/>
                <w:b/>
                <w:sz w:val="24"/>
              </w:rPr>
              <w:t>1、环境功能区划分</w:t>
            </w:r>
          </w:p>
          <w:p>
            <w:pPr>
              <w:spacing w:line="360" w:lineRule="auto"/>
              <w:ind w:firstLine="480" w:firstLineChars="200"/>
              <w:contextualSpacing/>
              <w:rPr>
                <w:sz w:val="24"/>
                <w:szCs w:val="24"/>
              </w:rPr>
            </w:pPr>
            <w:r>
              <w:rPr>
                <w:rFonts w:hint="eastAsia"/>
                <w:sz w:val="24"/>
                <w:szCs w:val="24"/>
              </w:rPr>
              <w:t>大气环境—根据《关于印发</w:t>
            </w:r>
            <w:r>
              <w:rPr>
                <w:sz w:val="24"/>
                <w:szCs w:val="24"/>
              </w:rPr>
              <w:t>&lt;</w:t>
            </w:r>
            <w:r>
              <w:rPr>
                <w:rFonts w:hint="eastAsia"/>
                <w:sz w:val="24"/>
                <w:szCs w:val="24"/>
              </w:rPr>
              <w:t>庆阳地区环境空气质量功能区划分方案</w:t>
            </w:r>
            <w:r>
              <w:rPr>
                <w:sz w:val="24"/>
                <w:szCs w:val="24"/>
              </w:rPr>
              <w:t>&gt;</w:t>
            </w:r>
            <w:r>
              <w:rPr>
                <w:rFonts w:hint="eastAsia"/>
                <w:sz w:val="24"/>
                <w:szCs w:val="24"/>
              </w:rPr>
              <w:t>的通知》（庆行署发</w:t>
            </w:r>
            <w:r>
              <w:rPr>
                <w:sz w:val="24"/>
                <w:szCs w:val="24"/>
              </w:rPr>
              <w:t>[1999]20</w:t>
            </w:r>
            <w:r>
              <w:rPr>
                <w:rFonts w:hint="eastAsia"/>
                <w:sz w:val="24"/>
                <w:szCs w:val="24"/>
              </w:rPr>
              <w:t>号），方案划分庆阳市除子午岭林区为环境空气功能一类区外，其余均为二类区。根据划分结果，项目地环境空气质量评价执行《环境空气质量标准》（</w:t>
            </w:r>
            <w:r>
              <w:rPr>
                <w:sz w:val="24"/>
                <w:szCs w:val="24"/>
              </w:rPr>
              <w:t>GB3095-2012</w:t>
            </w:r>
            <w:r>
              <w:rPr>
                <w:rFonts w:hint="eastAsia"/>
                <w:sz w:val="24"/>
                <w:szCs w:val="24"/>
              </w:rPr>
              <w:t>）二类区标准。</w:t>
            </w:r>
          </w:p>
          <w:p>
            <w:pPr>
              <w:spacing w:line="360" w:lineRule="auto"/>
              <w:ind w:firstLine="470" w:firstLineChars="196"/>
              <w:rPr>
                <w:sz w:val="24"/>
                <w:szCs w:val="24"/>
              </w:rPr>
            </w:pPr>
            <w:r>
              <w:rPr>
                <w:rFonts w:hint="eastAsia"/>
                <w:sz w:val="24"/>
                <w:szCs w:val="24"/>
              </w:rPr>
              <w:t>地表水环境—</w:t>
            </w:r>
            <w:r>
              <w:rPr>
                <w:sz w:val="24"/>
                <w:szCs w:val="24"/>
              </w:rPr>
              <w:t>本项目</w:t>
            </w:r>
            <w:r>
              <w:rPr>
                <w:rFonts w:hint="eastAsia"/>
                <w:sz w:val="24"/>
                <w:szCs w:val="24"/>
              </w:rPr>
              <w:t>所在区域周边地表水为老虎沟，为马莲河支流，</w:t>
            </w:r>
            <w:r>
              <w:rPr>
                <w:sz w:val="24"/>
                <w:szCs w:val="24"/>
              </w:rPr>
              <w:t>根据《甘肃省地表水功能区划》（2012~2030）中内容，</w:t>
            </w:r>
            <w:r>
              <w:rPr>
                <w:rFonts w:hint="eastAsia"/>
                <w:sz w:val="24"/>
                <w:szCs w:val="24"/>
              </w:rPr>
              <w:t>老虎沟</w:t>
            </w:r>
            <w:r>
              <w:rPr>
                <w:sz w:val="24"/>
                <w:szCs w:val="24"/>
              </w:rPr>
              <w:t>地表水水质</w:t>
            </w:r>
            <w:r>
              <w:rPr>
                <w:rFonts w:hint="eastAsia"/>
                <w:sz w:val="24"/>
                <w:szCs w:val="24"/>
              </w:rPr>
              <w:t>功能区</w:t>
            </w:r>
            <w:r>
              <w:rPr>
                <w:sz w:val="24"/>
                <w:szCs w:val="24"/>
              </w:rPr>
              <w:t>为</w:t>
            </w:r>
            <w:r>
              <w:rPr>
                <w:rFonts w:hint="eastAsia"/>
                <w:bCs/>
                <w:sz w:val="24"/>
                <w:szCs w:val="24"/>
              </w:rPr>
              <w:t>Ⅳ</w:t>
            </w:r>
            <w:r>
              <w:rPr>
                <w:sz w:val="24"/>
                <w:szCs w:val="24"/>
              </w:rPr>
              <w:t>类，因此执行地表水环境质量</w:t>
            </w:r>
            <w:r>
              <w:rPr>
                <w:rFonts w:hint="eastAsia"/>
                <w:bCs/>
                <w:sz w:val="24"/>
                <w:szCs w:val="24"/>
              </w:rPr>
              <w:t>Ⅳ</w:t>
            </w:r>
            <w:r>
              <w:rPr>
                <w:sz w:val="24"/>
                <w:szCs w:val="24"/>
              </w:rPr>
              <w:t>类标准。</w:t>
            </w:r>
          </w:p>
          <w:p>
            <w:pPr>
              <w:autoSpaceDE w:val="0"/>
              <w:autoSpaceDN w:val="0"/>
              <w:adjustRightInd w:val="0"/>
              <w:spacing w:line="360" w:lineRule="auto"/>
              <w:ind w:firstLine="480" w:firstLineChars="200"/>
              <w:rPr>
                <w:bCs/>
                <w:sz w:val="24"/>
                <w:szCs w:val="28"/>
              </w:rPr>
            </w:pPr>
            <w:r>
              <w:rPr>
                <w:rFonts w:hint="eastAsia"/>
                <w:bCs/>
                <w:sz w:val="24"/>
                <w:szCs w:val="28"/>
              </w:rPr>
              <w:t>地下水环境—根据《地下水质量标准》（</w:t>
            </w:r>
            <w:r>
              <w:rPr>
                <w:bCs/>
                <w:sz w:val="24"/>
                <w:szCs w:val="28"/>
              </w:rPr>
              <w:t>GB/T14848-</w:t>
            </w:r>
            <w:r>
              <w:rPr>
                <w:rFonts w:hint="eastAsia"/>
                <w:bCs/>
                <w:sz w:val="24"/>
                <w:szCs w:val="28"/>
              </w:rPr>
              <w:t>2017）及项目地实际情况，项目所在地地下水执行《地下水质量标准》（</w:t>
            </w:r>
            <w:r>
              <w:rPr>
                <w:bCs/>
                <w:sz w:val="24"/>
                <w:szCs w:val="28"/>
              </w:rPr>
              <w:t>GB/T14848-</w:t>
            </w:r>
            <w:r>
              <w:rPr>
                <w:rFonts w:hint="eastAsia"/>
                <w:bCs/>
                <w:sz w:val="24"/>
                <w:szCs w:val="28"/>
              </w:rPr>
              <w:t>2017）中Ⅲ类标准。</w:t>
            </w:r>
          </w:p>
          <w:p>
            <w:pPr>
              <w:autoSpaceDE w:val="0"/>
              <w:autoSpaceDN w:val="0"/>
              <w:adjustRightInd w:val="0"/>
              <w:spacing w:line="360" w:lineRule="auto"/>
              <w:ind w:firstLine="480" w:firstLineChars="200"/>
              <w:rPr>
                <w:bCs/>
                <w:sz w:val="24"/>
                <w:szCs w:val="28"/>
              </w:rPr>
            </w:pPr>
            <w:r>
              <w:rPr>
                <w:rFonts w:hint="eastAsia"/>
                <w:bCs/>
                <w:sz w:val="24"/>
                <w:szCs w:val="28"/>
              </w:rPr>
              <w:t>声环境—根据《声环境质量标准》</w:t>
            </w:r>
            <w:r>
              <w:rPr>
                <w:bCs/>
                <w:sz w:val="24"/>
                <w:szCs w:val="28"/>
              </w:rPr>
              <w:t>(GB3096-2008)</w:t>
            </w:r>
            <w:r>
              <w:rPr>
                <w:rFonts w:hint="eastAsia"/>
                <w:bCs/>
                <w:sz w:val="24"/>
                <w:szCs w:val="28"/>
              </w:rPr>
              <w:t>中声环境功能区的划分方法，项目所在地属于《声环境质量标准》</w:t>
            </w:r>
            <w:r>
              <w:rPr>
                <w:bCs/>
                <w:sz w:val="24"/>
                <w:szCs w:val="28"/>
              </w:rPr>
              <w:t>(GB3096-2008)</w:t>
            </w:r>
            <w:r>
              <w:rPr>
                <w:rFonts w:hint="eastAsia"/>
                <w:bCs/>
                <w:sz w:val="24"/>
                <w:szCs w:val="28"/>
              </w:rPr>
              <w:t>中的2类和4a类功能区。</w:t>
            </w:r>
          </w:p>
          <w:p>
            <w:pPr>
              <w:spacing w:beforeLines="50" w:line="360" w:lineRule="auto"/>
              <w:ind w:firstLine="482" w:firstLineChars="200"/>
              <w:rPr>
                <w:rFonts w:ascii="宋体"/>
                <w:b/>
                <w:sz w:val="24"/>
              </w:rPr>
            </w:pPr>
            <w:r>
              <w:rPr>
                <w:b/>
                <w:sz w:val="24"/>
              </w:rPr>
              <w:t>2</w:t>
            </w:r>
            <w:r>
              <w:rPr>
                <w:rFonts w:hAnsi="宋体"/>
                <w:b/>
                <w:sz w:val="24"/>
              </w:rPr>
              <w:t>、环境空</w:t>
            </w:r>
            <w:r>
              <w:rPr>
                <w:rFonts w:hint="eastAsia" w:ascii="宋体" w:hAnsi="宋体"/>
                <w:b/>
                <w:sz w:val="24"/>
              </w:rPr>
              <w:t>气质量现状</w:t>
            </w:r>
          </w:p>
          <w:p>
            <w:pPr>
              <w:spacing w:line="360" w:lineRule="auto"/>
              <w:ind w:firstLine="480" w:firstLineChars="200"/>
              <w:contextualSpacing/>
              <w:rPr>
                <w:sz w:val="24"/>
              </w:rPr>
            </w:pPr>
            <w:r>
              <w:rPr>
                <w:rFonts w:hAnsi="宋体"/>
                <w:sz w:val="24"/>
              </w:rPr>
              <w:t>本次大气环境现状评价监测委托甘肃海慧安全科技有限公司现场监测。监测报告见附件</w:t>
            </w:r>
            <w:r>
              <w:rPr>
                <w:rFonts w:hint="eastAsia"/>
                <w:sz w:val="24"/>
              </w:rPr>
              <w:t>6，监测点位图见附图8</w:t>
            </w:r>
            <w:r>
              <w:rPr>
                <w:rFonts w:hAnsi="宋体"/>
                <w:sz w:val="24"/>
              </w:rPr>
              <w:t>。</w:t>
            </w:r>
          </w:p>
          <w:p>
            <w:pPr>
              <w:spacing w:line="360" w:lineRule="auto"/>
              <w:ind w:firstLine="480" w:firstLineChars="200"/>
              <w:contextualSpacing/>
              <w:rPr>
                <w:sz w:val="24"/>
                <w:szCs w:val="24"/>
              </w:rPr>
            </w:pPr>
            <w:r>
              <w:rPr>
                <w:rFonts w:hint="eastAsia"/>
                <w:sz w:val="24"/>
                <w:szCs w:val="24"/>
              </w:rPr>
              <w:t>（1）监测点位布设</w:t>
            </w:r>
          </w:p>
          <w:p>
            <w:pPr>
              <w:spacing w:line="360" w:lineRule="auto"/>
              <w:ind w:firstLine="480" w:firstLineChars="200"/>
              <w:contextualSpacing/>
              <w:rPr>
                <w:sz w:val="24"/>
                <w:szCs w:val="24"/>
              </w:rPr>
            </w:pPr>
            <w:r>
              <w:rPr>
                <w:rFonts w:hint="eastAsia"/>
                <w:sz w:val="24"/>
                <w:szCs w:val="24"/>
              </w:rPr>
              <w:t>环境空气现状监测点位共布设3个监测点位：1#污水站区、2#太昌镇政府、3#东风村居民，其中，对1#和2#监测点位进行常规因子监测，对1#和3#监测点位进行特征因子监测。详见表13。</w:t>
            </w:r>
          </w:p>
          <w:p>
            <w:pPr>
              <w:autoSpaceDE w:val="0"/>
              <w:autoSpaceDN w:val="0"/>
              <w:adjustRightInd w:val="0"/>
              <w:spacing w:line="440" w:lineRule="exact"/>
              <w:jc w:val="center"/>
              <w:rPr>
                <w:b/>
                <w:bCs/>
                <w:szCs w:val="21"/>
              </w:rPr>
            </w:pPr>
            <w:r>
              <w:rPr>
                <w:rFonts w:hint="eastAsia"/>
                <w:b/>
                <w:bCs/>
                <w:szCs w:val="21"/>
              </w:rPr>
              <w:t>表13</w:t>
            </w:r>
            <w:r>
              <w:rPr>
                <w:b/>
                <w:bCs/>
                <w:szCs w:val="21"/>
              </w:rPr>
              <w:t xml:space="preserve"> </w:t>
            </w:r>
            <w:r>
              <w:rPr>
                <w:rFonts w:hint="eastAsia"/>
                <w:b/>
                <w:bCs/>
                <w:szCs w:val="21"/>
              </w:rPr>
              <w:t xml:space="preserve"> </w:t>
            </w:r>
            <w:r>
              <w:rPr>
                <w:b/>
                <w:bCs/>
                <w:szCs w:val="21"/>
              </w:rPr>
              <w:t xml:space="preserve"> </w:t>
            </w:r>
            <w:r>
              <w:rPr>
                <w:rFonts w:hint="eastAsia"/>
                <w:b/>
                <w:bCs/>
                <w:szCs w:val="21"/>
              </w:rPr>
              <w:t>环境空气质量现状监测点位布设</w:t>
            </w:r>
          </w:p>
          <w:tbl>
            <w:tblPr>
              <w:tblStyle w:val="35"/>
              <w:tblpPr w:leftFromText="180" w:rightFromText="180" w:vertAnchor="text" w:tblpXSpec="center" w:tblpY="1"/>
              <w:tblOverlap w:val="never"/>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2"/>
              <w:gridCol w:w="1703"/>
              <w:gridCol w:w="2266"/>
              <w:gridCol w:w="40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852" w:type="dxa"/>
                  <w:vAlign w:val="center"/>
                </w:tcPr>
                <w:p>
                  <w:pPr>
                    <w:spacing w:beforeLines="50"/>
                    <w:jc w:val="center"/>
                    <w:rPr>
                      <w:b/>
                      <w:szCs w:val="21"/>
                    </w:rPr>
                  </w:pPr>
                  <w:r>
                    <w:rPr>
                      <w:rFonts w:hint="eastAsia" w:hAnsi="宋体"/>
                      <w:b/>
                      <w:szCs w:val="21"/>
                    </w:rPr>
                    <w:t>编号</w:t>
                  </w:r>
                </w:p>
              </w:tc>
              <w:tc>
                <w:tcPr>
                  <w:tcW w:w="1703" w:type="dxa"/>
                  <w:vAlign w:val="center"/>
                </w:tcPr>
                <w:p>
                  <w:pPr>
                    <w:spacing w:beforeLines="50"/>
                    <w:jc w:val="center"/>
                    <w:rPr>
                      <w:rFonts w:hAnsi="宋体"/>
                      <w:b/>
                      <w:szCs w:val="21"/>
                    </w:rPr>
                  </w:pPr>
                  <w:r>
                    <w:rPr>
                      <w:rFonts w:hint="eastAsia" w:hAnsi="宋体"/>
                      <w:b/>
                      <w:szCs w:val="21"/>
                    </w:rPr>
                    <w:t>点位</w:t>
                  </w:r>
                </w:p>
              </w:tc>
              <w:tc>
                <w:tcPr>
                  <w:tcW w:w="2266" w:type="dxa"/>
                  <w:vAlign w:val="center"/>
                </w:tcPr>
                <w:p>
                  <w:pPr>
                    <w:spacing w:beforeLines="50"/>
                    <w:jc w:val="center"/>
                    <w:rPr>
                      <w:b/>
                      <w:szCs w:val="21"/>
                    </w:rPr>
                  </w:pPr>
                  <w:r>
                    <w:rPr>
                      <w:rFonts w:hint="eastAsia" w:hAnsi="宋体"/>
                      <w:b/>
                      <w:bCs/>
                      <w:szCs w:val="21"/>
                    </w:rPr>
                    <w:t>距离本项目方位</w:t>
                  </w:r>
                  <w:r>
                    <w:rPr>
                      <w:rFonts w:hAnsi="宋体"/>
                      <w:b/>
                      <w:bCs/>
                      <w:szCs w:val="21"/>
                    </w:rPr>
                    <w:t>/</w:t>
                  </w:r>
                  <w:r>
                    <w:rPr>
                      <w:rFonts w:hint="eastAsia" w:hAnsi="宋体"/>
                      <w:b/>
                      <w:bCs/>
                      <w:szCs w:val="21"/>
                    </w:rPr>
                    <w:t>距离</w:t>
                  </w:r>
                </w:p>
              </w:tc>
              <w:tc>
                <w:tcPr>
                  <w:tcW w:w="4080" w:type="dxa"/>
                  <w:vAlign w:val="center"/>
                </w:tcPr>
                <w:p>
                  <w:pPr>
                    <w:spacing w:beforeLines="50"/>
                    <w:jc w:val="center"/>
                    <w:rPr>
                      <w:b/>
                      <w:szCs w:val="21"/>
                    </w:rPr>
                  </w:pPr>
                  <w:r>
                    <w:rPr>
                      <w:rFonts w:hint="eastAsia" w:hAnsi="宋体"/>
                      <w:b/>
                      <w:szCs w:val="21"/>
                    </w:rPr>
                    <w:t>监测因子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852" w:type="dxa"/>
                  <w:vAlign w:val="center"/>
                </w:tcPr>
                <w:p>
                  <w:pPr>
                    <w:spacing w:beforeLines="50"/>
                    <w:jc w:val="center"/>
                    <w:rPr>
                      <w:szCs w:val="21"/>
                    </w:rPr>
                  </w:pPr>
                  <w:r>
                    <w:rPr>
                      <w:szCs w:val="21"/>
                    </w:rPr>
                    <w:t>1#</w:t>
                  </w:r>
                </w:p>
              </w:tc>
              <w:tc>
                <w:tcPr>
                  <w:tcW w:w="1703" w:type="dxa"/>
                  <w:vAlign w:val="center"/>
                </w:tcPr>
                <w:p>
                  <w:pPr>
                    <w:spacing w:beforeLines="50"/>
                    <w:jc w:val="center"/>
                    <w:rPr>
                      <w:rFonts w:hAnsi="宋体"/>
                      <w:szCs w:val="21"/>
                    </w:rPr>
                  </w:pPr>
                  <w:r>
                    <w:rPr>
                      <w:rFonts w:hint="eastAsia" w:hAnsi="宋体"/>
                      <w:szCs w:val="21"/>
                    </w:rPr>
                    <w:t>污水站区</w:t>
                  </w:r>
                </w:p>
              </w:tc>
              <w:tc>
                <w:tcPr>
                  <w:tcW w:w="2266" w:type="dxa"/>
                  <w:vAlign w:val="center"/>
                </w:tcPr>
                <w:p>
                  <w:pPr>
                    <w:spacing w:beforeLines="50"/>
                    <w:jc w:val="center"/>
                    <w:rPr>
                      <w:rFonts w:hAnsi="宋体"/>
                      <w:szCs w:val="21"/>
                    </w:rPr>
                  </w:pPr>
                  <w:r>
                    <w:rPr>
                      <w:rFonts w:hint="eastAsia" w:hAnsi="宋体"/>
                      <w:szCs w:val="21"/>
                    </w:rPr>
                    <w:t>/</w:t>
                  </w:r>
                </w:p>
              </w:tc>
              <w:tc>
                <w:tcPr>
                  <w:tcW w:w="4080" w:type="dxa"/>
                  <w:vAlign w:val="center"/>
                </w:tcPr>
                <w:p>
                  <w:pPr>
                    <w:spacing w:beforeLines="50"/>
                    <w:jc w:val="center"/>
                    <w:rPr>
                      <w:szCs w:val="21"/>
                    </w:rPr>
                  </w:pPr>
                  <w:r>
                    <w:rPr>
                      <w:szCs w:val="21"/>
                    </w:rPr>
                    <w:t>SO</w:t>
                  </w:r>
                  <w:r>
                    <w:rPr>
                      <w:szCs w:val="21"/>
                      <w:vertAlign w:val="subscript"/>
                    </w:rPr>
                    <w:t>2</w:t>
                  </w:r>
                  <w:r>
                    <w:rPr>
                      <w:rFonts w:hint="eastAsia" w:hAnsi="宋体"/>
                      <w:szCs w:val="21"/>
                    </w:rPr>
                    <w:t>、</w:t>
                  </w:r>
                  <w:r>
                    <w:rPr>
                      <w:szCs w:val="21"/>
                    </w:rPr>
                    <w:t>NO</w:t>
                  </w:r>
                  <w:r>
                    <w:rPr>
                      <w:szCs w:val="21"/>
                      <w:vertAlign w:val="subscript"/>
                    </w:rPr>
                    <w:t>2</w:t>
                  </w:r>
                  <w:r>
                    <w:rPr>
                      <w:rFonts w:hint="eastAsia" w:hAnsi="宋体"/>
                      <w:szCs w:val="21"/>
                    </w:rPr>
                    <w:t>、TSP、</w:t>
                  </w:r>
                  <w:r>
                    <w:rPr>
                      <w:rFonts w:hAnsi="宋体"/>
                      <w:szCs w:val="21"/>
                    </w:rPr>
                    <w:t>PM</w:t>
                  </w:r>
                  <w:r>
                    <w:rPr>
                      <w:rFonts w:hAnsi="宋体"/>
                      <w:szCs w:val="21"/>
                      <w:vertAlign w:val="subscript"/>
                    </w:rPr>
                    <w:t>10</w:t>
                  </w:r>
                  <w:r>
                    <w:rPr>
                      <w:rFonts w:hint="eastAsia" w:hAnsi="宋体"/>
                      <w:szCs w:val="21"/>
                    </w:rPr>
                    <w:t>、CO、</w:t>
                  </w:r>
                  <w:r>
                    <w:rPr>
                      <w:rFonts w:hint="eastAsia"/>
                      <w:szCs w:val="21"/>
                    </w:rPr>
                    <w:t>H</w:t>
                  </w:r>
                  <w:r>
                    <w:rPr>
                      <w:rFonts w:hint="eastAsia"/>
                      <w:szCs w:val="21"/>
                      <w:vertAlign w:val="subscript"/>
                    </w:rPr>
                    <w:t>2</w:t>
                  </w:r>
                  <w:r>
                    <w:rPr>
                      <w:rFonts w:hint="eastAsia"/>
                      <w:szCs w:val="21"/>
                    </w:rPr>
                    <w:t>S、NH</w:t>
                  </w:r>
                  <w:r>
                    <w:rPr>
                      <w:rFonts w:hint="eastAsia"/>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852" w:type="dxa"/>
                  <w:vAlign w:val="center"/>
                </w:tcPr>
                <w:p>
                  <w:pPr>
                    <w:spacing w:beforeLines="50"/>
                    <w:jc w:val="center"/>
                    <w:rPr>
                      <w:szCs w:val="21"/>
                    </w:rPr>
                  </w:pPr>
                  <w:r>
                    <w:rPr>
                      <w:szCs w:val="21"/>
                    </w:rPr>
                    <w:t>2#</w:t>
                  </w:r>
                </w:p>
              </w:tc>
              <w:tc>
                <w:tcPr>
                  <w:tcW w:w="1703" w:type="dxa"/>
                  <w:vAlign w:val="center"/>
                </w:tcPr>
                <w:p>
                  <w:pPr>
                    <w:spacing w:beforeLines="50"/>
                    <w:jc w:val="center"/>
                    <w:rPr>
                      <w:rFonts w:hAnsi="宋体"/>
                      <w:szCs w:val="21"/>
                    </w:rPr>
                  </w:pPr>
                  <w:r>
                    <w:rPr>
                      <w:rFonts w:hint="eastAsia" w:hAnsi="宋体"/>
                      <w:szCs w:val="21"/>
                    </w:rPr>
                    <w:t>太昌镇政府</w:t>
                  </w:r>
                </w:p>
              </w:tc>
              <w:tc>
                <w:tcPr>
                  <w:tcW w:w="2266" w:type="dxa"/>
                  <w:vAlign w:val="center"/>
                </w:tcPr>
                <w:p>
                  <w:pPr>
                    <w:spacing w:beforeLines="50"/>
                    <w:jc w:val="center"/>
                    <w:rPr>
                      <w:szCs w:val="21"/>
                    </w:rPr>
                  </w:pPr>
                  <w:r>
                    <w:rPr>
                      <w:rFonts w:hint="eastAsia" w:hAnsi="宋体"/>
                      <w:szCs w:val="21"/>
                    </w:rPr>
                    <w:t>/</w:t>
                  </w:r>
                </w:p>
              </w:tc>
              <w:tc>
                <w:tcPr>
                  <w:tcW w:w="4080" w:type="dxa"/>
                  <w:vAlign w:val="center"/>
                </w:tcPr>
                <w:p>
                  <w:pPr>
                    <w:spacing w:beforeLines="50"/>
                    <w:jc w:val="center"/>
                    <w:rPr>
                      <w:szCs w:val="21"/>
                    </w:rPr>
                  </w:pPr>
                  <w:r>
                    <w:rPr>
                      <w:szCs w:val="21"/>
                    </w:rPr>
                    <w:t>SO</w:t>
                  </w:r>
                  <w:r>
                    <w:rPr>
                      <w:szCs w:val="21"/>
                      <w:vertAlign w:val="subscript"/>
                    </w:rPr>
                    <w:t>2</w:t>
                  </w:r>
                  <w:r>
                    <w:rPr>
                      <w:rFonts w:hint="eastAsia" w:hAnsi="宋体"/>
                      <w:szCs w:val="21"/>
                    </w:rPr>
                    <w:t>、</w:t>
                  </w:r>
                  <w:r>
                    <w:rPr>
                      <w:szCs w:val="21"/>
                    </w:rPr>
                    <w:t>NO</w:t>
                  </w:r>
                  <w:r>
                    <w:rPr>
                      <w:szCs w:val="21"/>
                      <w:vertAlign w:val="subscript"/>
                    </w:rPr>
                    <w:t>2</w:t>
                  </w:r>
                  <w:r>
                    <w:rPr>
                      <w:rFonts w:hint="eastAsia" w:hAnsi="宋体"/>
                      <w:szCs w:val="21"/>
                    </w:rPr>
                    <w:t>、TSP、</w:t>
                  </w:r>
                  <w:r>
                    <w:rPr>
                      <w:rFonts w:hAnsi="宋体"/>
                      <w:szCs w:val="21"/>
                    </w:rPr>
                    <w:t>PM</w:t>
                  </w:r>
                  <w:r>
                    <w:rPr>
                      <w:rFonts w:hAnsi="宋体"/>
                      <w:szCs w:val="21"/>
                      <w:vertAlign w:val="subscript"/>
                    </w:rPr>
                    <w:t>10</w:t>
                  </w:r>
                  <w:r>
                    <w:rPr>
                      <w:rFonts w:hint="eastAsia" w:hAnsi="宋体"/>
                      <w:szCs w:val="21"/>
                    </w:rPr>
                    <w:t>、CO</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92" w:hRule="atLeast"/>
              </w:trPr>
              <w:tc>
                <w:tcPr>
                  <w:tcW w:w="852" w:type="dxa"/>
                  <w:vAlign w:val="center"/>
                </w:tcPr>
                <w:p>
                  <w:pPr>
                    <w:spacing w:beforeLines="50"/>
                    <w:jc w:val="center"/>
                    <w:rPr>
                      <w:szCs w:val="21"/>
                    </w:rPr>
                  </w:pPr>
                  <w:r>
                    <w:rPr>
                      <w:rFonts w:hint="eastAsia"/>
                      <w:szCs w:val="21"/>
                    </w:rPr>
                    <w:t>3#</w:t>
                  </w:r>
                </w:p>
              </w:tc>
              <w:tc>
                <w:tcPr>
                  <w:tcW w:w="1703" w:type="dxa"/>
                  <w:vAlign w:val="center"/>
                </w:tcPr>
                <w:p>
                  <w:pPr>
                    <w:spacing w:beforeLines="50"/>
                    <w:jc w:val="center"/>
                    <w:rPr>
                      <w:rFonts w:hAnsi="宋体"/>
                      <w:szCs w:val="21"/>
                    </w:rPr>
                  </w:pPr>
                  <w:r>
                    <w:rPr>
                      <w:rFonts w:hint="eastAsia" w:hAnsi="宋体"/>
                      <w:szCs w:val="21"/>
                    </w:rPr>
                    <w:t>东风村居民</w:t>
                  </w:r>
                </w:p>
              </w:tc>
              <w:tc>
                <w:tcPr>
                  <w:tcW w:w="2266" w:type="dxa"/>
                  <w:vAlign w:val="center"/>
                </w:tcPr>
                <w:p>
                  <w:pPr>
                    <w:spacing w:beforeLines="50"/>
                    <w:jc w:val="center"/>
                    <w:rPr>
                      <w:szCs w:val="21"/>
                    </w:rPr>
                  </w:pPr>
                  <w:r>
                    <w:rPr>
                      <w:rFonts w:hint="eastAsia"/>
                      <w:szCs w:val="21"/>
                    </w:rPr>
                    <w:t>SE/110m</w:t>
                  </w:r>
                </w:p>
              </w:tc>
              <w:tc>
                <w:tcPr>
                  <w:tcW w:w="4080" w:type="dxa"/>
                  <w:vAlign w:val="center"/>
                </w:tcPr>
                <w:p>
                  <w:pPr>
                    <w:spacing w:beforeLines="50"/>
                    <w:jc w:val="center"/>
                    <w:rPr>
                      <w:szCs w:val="21"/>
                    </w:rPr>
                  </w:pPr>
                  <w:r>
                    <w:rPr>
                      <w:rFonts w:hint="eastAsia"/>
                      <w:szCs w:val="21"/>
                    </w:rPr>
                    <w:t>H</w:t>
                  </w:r>
                  <w:r>
                    <w:rPr>
                      <w:rFonts w:hint="eastAsia"/>
                      <w:szCs w:val="21"/>
                      <w:vertAlign w:val="subscript"/>
                    </w:rPr>
                    <w:t>2</w:t>
                  </w:r>
                  <w:r>
                    <w:rPr>
                      <w:rFonts w:hint="eastAsia"/>
                      <w:szCs w:val="21"/>
                    </w:rPr>
                    <w:t>S、NH</w:t>
                  </w:r>
                  <w:r>
                    <w:rPr>
                      <w:rFonts w:hint="eastAsia"/>
                      <w:szCs w:val="21"/>
                      <w:vertAlign w:val="subscript"/>
                    </w:rPr>
                    <w:t>3</w:t>
                  </w:r>
                </w:p>
              </w:tc>
            </w:tr>
          </w:tbl>
          <w:p>
            <w:pPr>
              <w:spacing w:line="360" w:lineRule="auto"/>
              <w:ind w:firstLine="480" w:firstLineChars="200"/>
              <w:contextualSpacing/>
              <w:rPr>
                <w:sz w:val="24"/>
                <w:szCs w:val="24"/>
              </w:rPr>
            </w:pPr>
            <w:r>
              <w:rPr>
                <w:rFonts w:hint="eastAsia"/>
                <w:sz w:val="24"/>
                <w:szCs w:val="24"/>
              </w:rPr>
              <w:t>（2）评价标准</w:t>
            </w:r>
          </w:p>
          <w:p>
            <w:pPr>
              <w:spacing w:line="360" w:lineRule="auto"/>
              <w:ind w:firstLine="480" w:firstLineChars="200"/>
              <w:contextualSpacing/>
              <w:rPr>
                <w:sz w:val="24"/>
                <w:szCs w:val="24"/>
              </w:rPr>
            </w:pPr>
            <w:r>
              <w:rPr>
                <w:rFonts w:hint="eastAsia"/>
                <w:sz w:val="24"/>
                <w:szCs w:val="24"/>
              </w:rPr>
              <w:t>执行《环境空气质量标准》（</w:t>
            </w:r>
            <w:r>
              <w:rPr>
                <w:sz w:val="24"/>
                <w:szCs w:val="24"/>
              </w:rPr>
              <w:t>GB3095-2012</w:t>
            </w:r>
            <w:r>
              <w:rPr>
                <w:rFonts w:hint="eastAsia"/>
                <w:sz w:val="24"/>
                <w:szCs w:val="24"/>
              </w:rPr>
              <w:t>）二级标准，其中，NH</w:t>
            </w:r>
            <w:r>
              <w:rPr>
                <w:rFonts w:hint="eastAsia"/>
                <w:sz w:val="24"/>
                <w:szCs w:val="24"/>
                <w:vertAlign w:val="subscript"/>
              </w:rPr>
              <w:t>3</w:t>
            </w:r>
            <w:r>
              <w:rPr>
                <w:rFonts w:hint="eastAsia"/>
                <w:sz w:val="24"/>
                <w:szCs w:val="24"/>
              </w:rPr>
              <w:t>和H</w:t>
            </w:r>
            <w:r>
              <w:rPr>
                <w:rFonts w:hint="eastAsia"/>
                <w:sz w:val="24"/>
                <w:szCs w:val="24"/>
                <w:vertAlign w:val="subscript"/>
              </w:rPr>
              <w:t>2</w:t>
            </w:r>
            <w:r>
              <w:rPr>
                <w:rFonts w:hint="eastAsia"/>
                <w:sz w:val="24"/>
                <w:szCs w:val="24"/>
              </w:rPr>
              <w:t>S执行《工业企业设计卫生标准》（TJ36-1979）。</w:t>
            </w:r>
          </w:p>
          <w:p>
            <w:pPr>
              <w:spacing w:line="360" w:lineRule="auto"/>
              <w:ind w:firstLine="480" w:firstLineChars="200"/>
              <w:contextualSpacing/>
              <w:rPr>
                <w:sz w:val="24"/>
                <w:szCs w:val="24"/>
              </w:rPr>
            </w:pPr>
            <w:r>
              <w:rPr>
                <w:rFonts w:hint="eastAsia"/>
                <w:sz w:val="24"/>
                <w:szCs w:val="24"/>
              </w:rPr>
              <w:t>（3）监测方法</w:t>
            </w:r>
          </w:p>
          <w:p>
            <w:pPr>
              <w:spacing w:line="360" w:lineRule="auto"/>
              <w:ind w:firstLine="480" w:firstLineChars="200"/>
              <w:contextualSpacing/>
              <w:rPr>
                <w:sz w:val="24"/>
                <w:szCs w:val="24"/>
              </w:rPr>
            </w:pPr>
            <w:r>
              <w:rPr>
                <w:rFonts w:hint="eastAsia"/>
                <w:sz w:val="24"/>
                <w:szCs w:val="24"/>
              </w:rPr>
              <w:t>监测分析方法见表14。</w:t>
            </w:r>
          </w:p>
          <w:p>
            <w:pPr>
              <w:autoSpaceDE w:val="0"/>
              <w:autoSpaceDN w:val="0"/>
              <w:adjustRightInd w:val="0"/>
              <w:spacing w:line="440" w:lineRule="exact"/>
              <w:jc w:val="center"/>
              <w:rPr>
                <w:b/>
                <w:bCs/>
                <w:szCs w:val="21"/>
              </w:rPr>
            </w:pPr>
            <w:r>
              <w:rPr>
                <w:rFonts w:hint="eastAsia"/>
                <w:b/>
                <w:bCs/>
                <w:szCs w:val="21"/>
              </w:rPr>
              <w:t>表14</w:t>
            </w:r>
            <w:r>
              <w:rPr>
                <w:b/>
                <w:bCs/>
                <w:szCs w:val="21"/>
              </w:rPr>
              <w:t xml:space="preserve">  </w:t>
            </w:r>
            <w:r>
              <w:rPr>
                <w:rFonts w:hint="eastAsia"/>
                <w:b/>
                <w:bCs/>
                <w:szCs w:val="21"/>
              </w:rPr>
              <w:t>监测分析方法及评价标准一览表</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5"/>
              <w:gridCol w:w="1090"/>
              <w:gridCol w:w="2944"/>
              <w:gridCol w:w="1771"/>
              <w:gridCol w:w="1205"/>
              <w:gridCol w:w="12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47" w:hRule="atLeast"/>
                <w:jc w:val="center"/>
              </w:trPr>
              <w:tc>
                <w:tcPr>
                  <w:tcW w:w="645" w:type="dxa"/>
                  <w:vMerge w:val="restart"/>
                  <w:vAlign w:val="center"/>
                </w:tcPr>
                <w:p>
                  <w:pPr>
                    <w:spacing w:line="240" w:lineRule="atLeast"/>
                    <w:jc w:val="center"/>
                    <w:rPr>
                      <w:b/>
                      <w:szCs w:val="21"/>
                    </w:rPr>
                  </w:pPr>
                  <w:r>
                    <w:rPr>
                      <w:rFonts w:hAnsi="宋体"/>
                      <w:b/>
                      <w:szCs w:val="21"/>
                    </w:rPr>
                    <w:t>序号</w:t>
                  </w:r>
                </w:p>
              </w:tc>
              <w:tc>
                <w:tcPr>
                  <w:tcW w:w="1090" w:type="dxa"/>
                  <w:vMerge w:val="restart"/>
                  <w:vAlign w:val="center"/>
                </w:tcPr>
                <w:p>
                  <w:pPr>
                    <w:spacing w:line="240" w:lineRule="atLeast"/>
                    <w:jc w:val="center"/>
                    <w:rPr>
                      <w:b/>
                      <w:szCs w:val="21"/>
                    </w:rPr>
                  </w:pPr>
                  <w:r>
                    <w:rPr>
                      <w:rFonts w:hAnsi="宋体"/>
                      <w:b/>
                      <w:szCs w:val="21"/>
                    </w:rPr>
                    <w:t>检测项目</w:t>
                  </w:r>
                </w:p>
              </w:tc>
              <w:tc>
                <w:tcPr>
                  <w:tcW w:w="2944" w:type="dxa"/>
                  <w:vMerge w:val="restart"/>
                  <w:vAlign w:val="center"/>
                </w:tcPr>
                <w:p>
                  <w:pPr>
                    <w:spacing w:line="240" w:lineRule="atLeast"/>
                    <w:jc w:val="center"/>
                    <w:rPr>
                      <w:b/>
                      <w:szCs w:val="21"/>
                    </w:rPr>
                  </w:pPr>
                  <w:r>
                    <w:rPr>
                      <w:rFonts w:hAnsi="宋体"/>
                      <w:b/>
                      <w:szCs w:val="21"/>
                    </w:rPr>
                    <w:t>分析方法</w:t>
                  </w:r>
                </w:p>
              </w:tc>
              <w:tc>
                <w:tcPr>
                  <w:tcW w:w="1771" w:type="dxa"/>
                  <w:vMerge w:val="restart"/>
                  <w:vAlign w:val="center"/>
                </w:tcPr>
                <w:p>
                  <w:pPr>
                    <w:spacing w:line="240" w:lineRule="atLeast"/>
                    <w:jc w:val="center"/>
                    <w:rPr>
                      <w:b/>
                      <w:szCs w:val="21"/>
                    </w:rPr>
                  </w:pPr>
                  <w:r>
                    <w:rPr>
                      <w:rFonts w:hAnsi="宋体"/>
                      <w:b/>
                      <w:szCs w:val="21"/>
                    </w:rPr>
                    <w:t>方法依据</w:t>
                  </w:r>
                </w:p>
              </w:tc>
              <w:tc>
                <w:tcPr>
                  <w:tcW w:w="2451" w:type="dxa"/>
                  <w:gridSpan w:val="2"/>
                  <w:vAlign w:val="center"/>
                </w:tcPr>
                <w:p>
                  <w:pPr>
                    <w:spacing w:line="240" w:lineRule="atLeast"/>
                    <w:jc w:val="center"/>
                    <w:rPr>
                      <w:b/>
                      <w:szCs w:val="21"/>
                    </w:rPr>
                  </w:pPr>
                  <w:r>
                    <w:rPr>
                      <w:rFonts w:hAnsi="宋体"/>
                      <w:b/>
                      <w:szCs w:val="21"/>
                    </w:rPr>
                    <w:t>标准限值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34" w:hRule="atLeast"/>
                <w:jc w:val="center"/>
              </w:trPr>
              <w:tc>
                <w:tcPr>
                  <w:tcW w:w="645" w:type="dxa"/>
                  <w:vMerge w:val="continue"/>
                  <w:vAlign w:val="center"/>
                </w:tcPr>
                <w:p>
                  <w:pPr>
                    <w:spacing w:line="240" w:lineRule="atLeast"/>
                    <w:jc w:val="center"/>
                    <w:rPr>
                      <w:szCs w:val="21"/>
                    </w:rPr>
                  </w:pPr>
                </w:p>
              </w:tc>
              <w:tc>
                <w:tcPr>
                  <w:tcW w:w="1090" w:type="dxa"/>
                  <w:vMerge w:val="continue"/>
                  <w:vAlign w:val="center"/>
                </w:tcPr>
                <w:p>
                  <w:pPr>
                    <w:spacing w:line="240" w:lineRule="atLeast"/>
                    <w:jc w:val="center"/>
                    <w:rPr>
                      <w:szCs w:val="21"/>
                    </w:rPr>
                  </w:pPr>
                </w:p>
              </w:tc>
              <w:tc>
                <w:tcPr>
                  <w:tcW w:w="2944" w:type="dxa"/>
                  <w:vMerge w:val="continue"/>
                  <w:vAlign w:val="center"/>
                </w:tcPr>
                <w:p>
                  <w:pPr>
                    <w:spacing w:line="240" w:lineRule="atLeast"/>
                    <w:jc w:val="center"/>
                    <w:rPr>
                      <w:szCs w:val="21"/>
                    </w:rPr>
                  </w:pPr>
                </w:p>
              </w:tc>
              <w:tc>
                <w:tcPr>
                  <w:tcW w:w="1771" w:type="dxa"/>
                  <w:vMerge w:val="continue"/>
                  <w:vAlign w:val="center"/>
                </w:tcPr>
                <w:p>
                  <w:pPr>
                    <w:spacing w:line="240" w:lineRule="atLeast"/>
                    <w:jc w:val="center"/>
                    <w:rPr>
                      <w:szCs w:val="21"/>
                    </w:rPr>
                  </w:pPr>
                </w:p>
              </w:tc>
              <w:tc>
                <w:tcPr>
                  <w:tcW w:w="1205" w:type="dxa"/>
                  <w:vAlign w:val="center"/>
                </w:tcPr>
                <w:p>
                  <w:pPr>
                    <w:tabs>
                      <w:tab w:val="left" w:pos="239"/>
                    </w:tabs>
                    <w:spacing w:line="240" w:lineRule="atLeast"/>
                    <w:ind w:firstLine="102" w:firstLineChars="49"/>
                    <w:jc w:val="left"/>
                    <w:rPr>
                      <w:szCs w:val="21"/>
                    </w:rPr>
                  </w:pPr>
                  <w:r>
                    <w:rPr>
                      <w:szCs w:val="21"/>
                    </w:rPr>
                    <w:t>24h</w:t>
                  </w:r>
                  <w:r>
                    <w:rPr>
                      <w:rFonts w:hAnsi="宋体"/>
                      <w:szCs w:val="21"/>
                    </w:rPr>
                    <w:t>均值</w:t>
                  </w:r>
                </w:p>
              </w:tc>
              <w:tc>
                <w:tcPr>
                  <w:tcW w:w="1246" w:type="dxa"/>
                  <w:vAlign w:val="center"/>
                </w:tcPr>
                <w:p>
                  <w:pPr>
                    <w:spacing w:line="240" w:lineRule="atLeast"/>
                    <w:jc w:val="center"/>
                    <w:rPr>
                      <w:szCs w:val="21"/>
                    </w:rPr>
                  </w:pPr>
                  <w:r>
                    <w:rPr>
                      <w:szCs w:val="21"/>
                    </w:rPr>
                    <w:t>1h</w:t>
                  </w:r>
                  <w:r>
                    <w:rPr>
                      <w:rFonts w:hAnsi="宋体"/>
                      <w:szCs w:val="21"/>
                    </w:rPr>
                    <w:t>均值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2" w:hRule="atLeast"/>
                <w:jc w:val="center"/>
              </w:trPr>
              <w:tc>
                <w:tcPr>
                  <w:tcW w:w="645" w:type="dxa"/>
                  <w:vAlign w:val="center"/>
                </w:tcPr>
                <w:p>
                  <w:pPr>
                    <w:jc w:val="center"/>
                    <w:rPr>
                      <w:szCs w:val="21"/>
                    </w:rPr>
                  </w:pPr>
                  <w:r>
                    <w:rPr>
                      <w:szCs w:val="21"/>
                    </w:rPr>
                    <w:t>1</w:t>
                  </w:r>
                </w:p>
              </w:tc>
              <w:tc>
                <w:tcPr>
                  <w:tcW w:w="1090" w:type="dxa"/>
                  <w:vAlign w:val="center"/>
                </w:tcPr>
                <w:p>
                  <w:pPr>
                    <w:spacing w:line="240" w:lineRule="atLeast"/>
                    <w:jc w:val="center"/>
                    <w:rPr>
                      <w:szCs w:val="21"/>
                    </w:rPr>
                  </w:pPr>
                  <w:r>
                    <w:rPr>
                      <w:szCs w:val="21"/>
                    </w:rPr>
                    <w:t>SO</w:t>
                  </w:r>
                  <w:r>
                    <w:rPr>
                      <w:szCs w:val="21"/>
                      <w:vertAlign w:val="subscript"/>
                    </w:rPr>
                    <w:t>2</w:t>
                  </w:r>
                </w:p>
              </w:tc>
              <w:tc>
                <w:tcPr>
                  <w:tcW w:w="2944" w:type="dxa"/>
                  <w:vAlign w:val="center"/>
                </w:tcPr>
                <w:p>
                  <w:pPr>
                    <w:spacing w:line="240" w:lineRule="atLeast"/>
                    <w:jc w:val="center"/>
                    <w:rPr>
                      <w:szCs w:val="21"/>
                    </w:rPr>
                  </w:pPr>
                  <w:r>
                    <w:rPr>
                      <w:rFonts w:hAnsi="宋体"/>
                      <w:szCs w:val="21"/>
                    </w:rPr>
                    <w:t>甲醛吸收</w:t>
                  </w:r>
                  <w:r>
                    <w:rPr>
                      <w:szCs w:val="21"/>
                    </w:rPr>
                    <w:t>-</w:t>
                  </w:r>
                  <w:r>
                    <w:rPr>
                      <w:rFonts w:hAnsi="宋体"/>
                      <w:szCs w:val="21"/>
                    </w:rPr>
                    <w:t>副玫瑰苯胺分光光度法</w:t>
                  </w:r>
                </w:p>
              </w:tc>
              <w:tc>
                <w:tcPr>
                  <w:tcW w:w="1771" w:type="dxa"/>
                  <w:vAlign w:val="center"/>
                </w:tcPr>
                <w:p>
                  <w:pPr>
                    <w:jc w:val="center"/>
                    <w:rPr>
                      <w:szCs w:val="21"/>
                    </w:rPr>
                  </w:pPr>
                  <w:r>
                    <w:rPr>
                      <w:szCs w:val="21"/>
                    </w:rPr>
                    <w:t>HJ482-2009</w:t>
                  </w:r>
                </w:p>
              </w:tc>
              <w:tc>
                <w:tcPr>
                  <w:tcW w:w="1205" w:type="dxa"/>
                  <w:vAlign w:val="center"/>
                </w:tcPr>
                <w:p>
                  <w:pPr>
                    <w:rPr>
                      <w:szCs w:val="21"/>
                    </w:rPr>
                  </w:pPr>
                  <w:r>
                    <w:rPr>
                      <w:szCs w:val="21"/>
                    </w:rPr>
                    <w:t>0.15mg/m³</w:t>
                  </w:r>
                </w:p>
              </w:tc>
              <w:tc>
                <w:tcPr>
                  <w:tcW w:w="1246" w:type="dxa"/>
                  <w:vAlign w:val="center"/>
                </w:tcPr>
                <w:p>
                  <w:pPr>
                    <w:jc w:val="center"/>
                    <w:rPr>
                      <w:szCs w:val="21"/>
                    </w:rPr>
                  </w:pPr>
                  <w:r>
                    <w:rPr>
                      <w:szCs w:val="21"/>
                    </w:rPr>
                    <w:t>0.5mg/m³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4" w:hRule="atLeast"/>
                <w:jc w:val="center"/>
              </w:trPr>
              <w:tc>
                <w:tcPr>
                  <w:tcW w:w="645" w:type="dxa"/>
                  <w:vAlign w:val="center"/>
                </w:tcPr>
                <w:p>
                  <w:pPr>
                    <w:jc w:val="center"/>
                    <w:rPr>
                      <w:szCs w:val="21"/>
                    </w:rPr>
                  </w:pPr>
                  <w:r>
                    <w:rPr>
                      <w:szCs w:val="21"/>
                    </w:rPr>
                    <w:t>2</w:t>
                  </w:r>
                </w:p>
              </w:tc>
              <w:tc>
                <w:tcPr>
                  <w:tcW w:w="1090" w:type="dxa"/>
                  <w:vAlign w:val="center"/>
                </w:tcPr>
                <w:p>
                  <w:pPr>
                    <w:jc w:val="center"/>
                    <w:rPr>
                      <w:szCs w:val="21"/>
                    </w:rPr>
                  </w:pPr>
                  <w:r>
                    <w:rPr>
                      <w:szCs w:val="21"/>
                    </w:rPr>
                    <w:t>NO</w:t>
                  </w:r>
                  <w:r>
                    <w:rPr>
                      <w:szCs w:val="21"/>
                      <w:vertAlign w:val="subscript"/>
                    </w:rPr>
                    <w:t>2</w:t>
                  </w:r>
                </w:p>
              </w:tc>
              <w:tc>
                <w:tcPr>
                  <w:tcW w:w="2944" w:type="dxa"/>
                  <w:vAlign w:val="center"/>
                </w:tcPr>
                <w:p>
                  <w:pPr>
                    <w:jc w:val="center"/>
                    <w:rPr>
                      <w:szCs w:val="21"/>
                    </w:rPr>
                  </w:pPr>
                  <w:r>
                    <w:rPr>
                      <w:rFonts w:hAnsi="宋体"/>
                      <w:szCs w:val="21"/>
                    </w:rPr>
                    <w:t>盐酸萘乙二胺分光光度法</w:t>
                  </w:r>
                </w:p>
              </w:tc>
              <w:tc>
                <w:tcPr>
                  <w:tcW w:w="1771" w:type="dxa"/>
                  <w:vAlign w:val="center"/>
                </w:tcPr>
                <w:p>
                  <w:pPr>
                    <w:jc w:val="center"/>
                    <w:rPr>
                      <w:szCs w:val="21"/>
                    </w:rPr>
                  </w:pPr>
                  <w:r>
                    <w:rPr>
                      <w:szCs w:val="21"/>
                    </w:rPr>
                    <w:t>HJ479-2009</w:t>
                  </w:r>
                </w:p>
              </w:tc>
              <w:tc>
                <w:tcPr>
                  <w:tcW w:w="1205" w:type="dxa"/>
                  <w:vAlign w:val="center"/>
                </w:tcPr>
                <w:p>
                  <w:pPr>
                    <w:jc w:val="center"/>
                    <w:rPr>
                      <w:szCs w:val="21"/>
                    </w:rPr>
                  </w:pPr>
                  <w:r>
                    <w:rPr>
                      <w:szCs w:val="21"/>
                    </w:rPr>
                    <w:t>0.08mg/m³</w:t>
                  </w:r>
                </w:p>
              </w:tc>
              <w:tc>
                <w:tcPr>
                  <w:tcW w:w="1246" w:type="dxa"/>
                  <w:vAlign w:val="center"/>
                </w:tcPr>
                <w:p>
                  <w:pPr>
                    <w:jc w:val="center"/>
                    <w:rPr>
                      <w:szCs w:val="21"/>
                    </w:rPr>
                  </w:pPr>
                  <w:r>
                    <w:rPr>
                      <w:szCs w:val="21"/>
                    </w:rPr>
                    <w:t>0.2mg/m³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24" w:hRule="atLeast"/>
                <w:jc w:val="center"/>
              </w:trPr>
              <w:tc>
                <w:tcPr>
                  <w:tcW w:w="645" w:type="dxa"/>
                  <w:vAlign w:val="center"/>
                </w:tcPr>
                <w:p>
                  <w:pPr>
                    <w:jc w:val="center"/>
                    <w:rPr>
                      <w:szCs w:val="21"/>
                    </w:rPr>
                  </w:pPr>
                  <w:r>
                    <w:rPr>
                      <w:rFonts w:hint="eastAsia"/>
                      <w:szCs w:val="21"/>
                    </w:rPr>
                    <w:t>3</w:t>
                  </w:r>
                </w:p>
              </w:tc>
              <w:tc>
                <w:tcPr>
                  <w:tcW w:w="1090" w:type="dxa"/>
                  <w:vAlign w:val="center"/>
                </w:tcPr>
                <w:p>
                  <w:pPr>
                    <w:jc w:val="center"/>
                    <w:rPr>
                      <w:szCs w:val="21"/>
                    </w:rPr>
                  </w:pPr>
                  <w:r>
                    <w:rPr>
                      <w:rFonts w:hint="eastAsia"/>
                      <w:szCs w:val="21"/>
                    </w:rPr>
                    <w:t>TSP</w:t>
                  </w:r>
                </w:p>
              </w:tc>
              <w:tc>
                <w:tcPr>
                  <w:tcW w:w="2944" w:type="dxa"/>
                  <w:vAlign w:val="center"/>
                </w:tcPr>
                <w:p>
                  <w:pPr>
                    <w:jc w:val="center"/>
                    <w:rPr>
                      <w:szCs w:val="21"/>
                    </w:rPr>
                  </w:pPr>
                  <w:r>
                    <w:rPr>
                      <w:rFonts w:hAnsi="宋体"/>
                      <w:szCs w:val="21"/>
                    </w:rPr>
                    <w:t>重量法</w:t>
                  </w:r>
                </w:p>
              </w:tc>
              <w:tc>
                <w:tcPr>
                  <w:tcW w:w="1771" w:type="dxa"/>
                  <w:vAlign w:val="center"/>
                </w:tcPr>
                <w:p>
                  <w:pPr>
                    <w:jc w:val="center"/>
                    <w:rPr>
                      <w:szCs w:val="21"/>
                    </w:rPr>
                  </w:pPr>
                  <w:r>
                    <w:rPr>
                      <w:szCs w:val="21"/>
                    </w:rPr>
                    <w:t>HJ618-2011</w:t>
                  </w:r>
                </w:p>
              </w:tc>
              <w:tc>
                <w:tcPr>
                  <w:tcW w:w="1205" w:type="dxa"/>
                  <w:vAlign w:val="center"/>
                </w:tcPr>
                <w:p>
                  <w:pPr>
                    <w:jc w:val="center"/>
                    <w:rPr>
                      <w:szCs w:val="21"/>
                    </w:rPr>
                  </w:pPr>
                  <w:r>
                    <w:rPr>
                      <w:szCs w:val="21"/>
                    </w:rPr>
                    <w:t>0.</w:t>
                  </w:r>
                  <w:r>
                    <w:rPr>
                      <w:rFonts w:hint="eastAsia"/>
                      <w:szCs w:val="21"/>
                    </w:rPr>
                    <w:t>3</w:t>
                  </w:r>
                  <w:r>
                    <w:rPr>
                      <w:szCs w:val="21"/>
                    </w:rPr>
                    <w:t>mg/m³</w:t>
                  </w:r>
                </w:p>
              </w:tc>
              <w:tc>
                <w:tcPr>
                  <w:tcW w:w="1246" w:type="dxa"/>
                  <w:vAlign w:val="center"/>
                </w:tcPr>
                <w:p>
                  <w:pPr>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80" w:hRule="atLeast"/>
                <w:jc w:val="center"/>
              </w:trPr>
              <w:tc>
                <w:tcPr>
                  <w:tcW w:w="645" w:type="dxa"/>
                  <w:vAlign w:val="center"/>
                </w:tcPr>
                <w:p>
                  <w:pPr>
                    <w:jc w:val="center"/>
                    <w:rPr>
                      <w:szCs w:val="21"/>
                    </w:rPr>
                  </w:pPr>
                  <w:r>
                    <w:rPr>
                      <w:rFonts w:hint="eastAsia"/>
                      <w:szCs w:val="21"/>
                    </w:rPr>
                    <w:t>4</w:t>
                  </w:r>
                </w:p>
              </w:tc>
              <w:tc>
                <w:tcPr>
                  <w:tcW w:w="1090" w:type="dxa"/>
                  <w:vAlign w:val="center"/>
                </w:tcPr>
                <w:p>
                  <w:pPr>
                    <w:jc w:val="center"/>
                    <w:rPr>
                      <w:szCs w:val="21"/>
                    </w:rPr>
                  </w:pPr>
                  <w:r>
                    <w:rPr>
                      <w:szCs w:val="21"/>
                    </w:rPr>
                    <w:t>PM</w:t>
                  </w:r>
                  <w:r>
                    <w:rPr>
                      <w:szCs w:val="21"/>
                      <w:vertAlign w:val="subscript"/>
                    </w:rPr>
                    <w:t>10</w:t>
                  </w:r>
                </w:p>
              </w:tc>
              <w:tc>
                <w:tcPr>
                  <w:tcW w:w="2944" w:type="dxa"/>
                  <w:vAlign w:val="center"/>
                </w:tcPr>
                <w:p>
                  <w:pPr>
                    <w:jc w:val="center"/>
                    <w:rPr>
                      <w:szCs w:val="21"/>
                    </w:rPr>
                  </w:pPr>
                  <w:r>
                    <w:rPr>
                      <w:rFonts w:hAnsi="宋体"/>
                      <w:szCs w:val="21"/>
                    </w:rPr>
                    <w:t>重量法</w:t>
                  </w:r>
                </w:p>
              </w:tc>
              <w:tc>
                <w:tcPr>
                  <w:tcW w:w="1771" w:type="dxa"/>
                  <w:vAlign w:val="center"/>
                </w:tcPr>
                <w:p>
                  <w:pPr>
                    <w:jc w:val="center"/>
                    <w:rPr>
                      <w:szCs w:val="21"/>
                    </w:rPr>
                  </w:pPr>
                  <w:r>
                    <w:rPr>
                      <w:szCs w:val="21"/>
                    </w:rPr>
                    <w:t>HJ618-2011</w:t>
                  </w:r>
                </w:p>
              </w:tc>
              <w:tc>
                <w:tcPr>
                  <w:tcW w:w="1205" w:type="dxa"/>
                  <w:vAlign w:val="center"/>
                </w:tcPr>
                <w:p>
                  <w:pPr>
                    <w:jc w:val="center"/>
                    <w:rPr>
                      <w:szCs w:val="21"/>
                    </w:rPr>
                  </w:pPr>
                  <w:r>
                    <w:rPr>
                      <w:szCs w:val="21"/>
                    </w:rPr>
                    <w:t>0.15mg/m³</w:t>
                  </w:r>
                </w:p>
              </w:tc>
              <w:tc>
                <w:tcPr>
                  <w:tcW w:w="1246" w:type="dxa"/>
                  <w:vAlign w:val="center"/>
                </w:tcPr>
                <w:p>
                  <w:pPr>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80" w:hRule="atLeast"/>
                <w:jc w:val="center"/>
              </w:trPr>
              <w:tc>
                <w:tcPr>
                  <w:tcW w:w="645" w:type="dxa"/>
                  <w:vAlign w:val="center"/>
                </w:tcPr>
                <w:p>
                  <w:pPr>
                    <w:jc w:val="center"/>
                    <w:rPr>
                      <w:szCs w:val="21"/>
                    </w:rPr>
                  </w:pPr>
                  <w:r>
                    <w:rPr>
                      <w:rFonts w:hint="eastAsia"/>
                      <w:szCs w:val="21"/>
                    </w:rPr>
                    <w:t>5</w:t>
                  </w:r>
                </w:p>
              </w:tc>
              <w:tc>
                <w:tcPr>
                  <w:tcW w:w="1090" w:type="dxa"/>
                  <w:vAlign w:val="center"/>
                </w:tcPr>
                <w:p>
                  <w:pPr>
                    <w:jc w:val="center"/>
                    <w:rPr>
                      <w:szCs w:val="21"/>
                    </w:rPr>
                  </w:pPr>
                  <w:r>
                    <w:rPr>
                      <w:rFonts w:hint="eastAsia"/>
                      <w:szCs w:val="21"/>
                    </w:rPr>
                    <w:t>CO</w:t>
                  </w:r>
                </w:p>
              </w:tc>
              <w:tc>
                <w:tcPr>
                  <w:tcW w:w="2944" w:type="dxa"/>
                  <w:vAlign w:val="center"/>
                </w:tcPr>
                <w:p>
                  <w:pPr>
                    <w:jc w:val="center"/>
                    <w:rPr>
                      <w:rFonts w:hAnsi="宋体"/>
                      <w:szCs w:val="21"/>
                    </w:rPr>
                  </w:pPr>
                  <w:r>
                    <w:rPr>
                      <w:rFonts w:hint="eastAsia" w:hAnsi="宋体"/>
                      <w:szCs w:val="21"/>
                    </w:rPr>
                    <w:t>非分散红外法</w:t>
                  </w:r>
                </w:p>
              </w:tc>
              <w:tc>
                <w:tcPr>
                  <w:tcW w:w="1771" w:type="dxa"/>
                  <w:vAlign w:val="center"/>
                </w:tcPr>
                <w:p>
                  <w:pPr>
                    <w:jc w:val="center"/>
                    <w:rPr>
                      <w:szCs w:val="21"/>
                    </w:rPr>
                  </w:pPr>
                  <w:r>
                    <w:rPr>
                      <w:rFonts w:hint="eastAsia"/>
                      <w:szCs w:val="21"/>
                    </w:rPr>
                    <w:t>GB/T9801-1988</w:t>
                  </w:r>
                </w:p>
              </w:tc>
              <w:tc>
                <w:tcPr>
                  <w:tcW w:w="1205" w:type="dxa"/>
                  <w:vAlign w:val="center"/>
                </w:tcPr>
                <w:p>
                  <w:pPr>
                    <w:jc w:val="center"/>
                    <w:rPr>
                      <w:szCs w:val="21"/>
                    </w:rPr>
                  </w:pPr>
                  <w:r>
                    <w:rPr>
                      <w:rFonts w:hint="eastAsia"/>
                      <w:szCs w:val="21"/>
                    </w:rPr>
                    <w:t>4</w:t>
                  </w:r>
                  <w:r>
                    <w:rPr>
                      <w:szCs w:val="21"/>
                    </w:rPr>
                    <w:t xml:space="preserve"> mg/m³</w:t>
                  </w:r>
                </w:p>
              </w:tc>
              <w:tc>
                <w:tcPr>
                  <w:tcW w:w="1246" w:type="dxa"/>
                  <w:vAlign w:val="center"/>
                </w:tcPr>
                <w:p>
                  <w:pPr>
                    <w:jc w:val="center"/>
                    <w:rPr>
                      <w:szCs w:val="21"/>
                    </w:rPr>
                  </w:pPr>
                  <w:r>
                    <w:rPr>
                      <w:rFonts w:hint="eastAsia"/>
                      <w:szCs w:val="21"/>
                    </w:rPr>
                    <w:t>10</w:t>
                  </w:r>
                  <w:r>
                    <w:rPr>
                      <w:szCs w:val="21"/>
                    </w:rPr>
                    <w:t xml:space="preserve"> mg/m³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80" w:hRule="atLeast"/>
                <w:jc w:val="center"/>
              </w:trPr>
              <w:tc>
                <w:tcPr>
                  <w:tcW w:w="645" w:type="dxa"/>
                  <w:vAlign w:val="center"/>
                </w:tcPr>
                <w:p>
                  <w:pPr>
                    <w:jc w:val="center"/>
                    <w:rPr>
                      <w:szCs w:val="21"/>
                    </w:rPr>
                  </w:pPr>
                  <w:r>
                    <w:rPr>
                      <w:rFonts w:hint="eastAsia"/>
                      <w:szCs w:val="21"/>
                    </w:rPr>
                    <w:t>6</w:t>
                  </w:r>
                </w:p>
              </w:tc>
              <w:tc>
                <w:tcPr>
                  <w:tcW w:w="1090" w:type="dxa"/>
                  <w:vAlign w:val="center"/>
                </w:tcPr>
                <w:p>
                  <w:pPr>
                    <w:jc w:val="center"/>
                    <w:rPr>
                      <w:szCs w:val="21"/>
                    </w:rPr>
                  </w:pPr>
                  <w:r>
                    <w:rPr>
                      <w:rFonts w:hint="eastAsia"/>
                      <w:szCs w:val="21"/>
                    </w:rPr>
                    <w:t>NH</w:t>
                  </w:r>
                  <w:r>
                    <w:rPr>
                      <w:rFonts w:hint="eastAsia"/>
                      <w:szCs w:val="21"/>
                      <w:vertAlign w:val="subscript"/>
                    </w:rPr>
                    <w:t>3</w:t>
                  </w:r>
                </w:p>
              </w:tc>
              <w:tc>
                <w:tcPr>
                  <w:tcW w:w="2944" w:type="dxa"/>
                  <w:vAlign w:val="center"/>
                </w:tcPr>
                <w:p>
                  <w:pPr>
                    <w:jc w:val="center"/>
                    <w:rPr>
                      <w:rFonts w:hAnsi="宋体"/>
                      <w:szCs w:val="21"/>
                    </w:rPr>
                  </w:pPr>
                  <w:r>
                    <w:rPr>
                      <w:rFonts w:hint="eastAsia" w:hAnsi="宋体"/>
                      <w:szCs w:val="21"/>
                    </w:rPr>
                    <w:t>纳氏试剂分光光度法</w:t>
                  </w:r>
                </w:p>
              </w:tc>
              <w:tc>
                <w:tcPr>
                  <w:tcW w:w="1771" w:type="dxa"/>
                  <w:vAlign w:val="center"/>
                </w:tcPr>
                <w:p>
                  <w:pPr>
                    <w:jc w:val="center"/>
                    <w:rPr>
                      <w:szCs w:val="21"/>
                    </w:rPr>
                  </w:pPr>
                  <w:r>
                    <w:rPr>
                      <w:rFonts w:hint="eastAsia"/>
                      <w:szCs w:val="21"/>
                    </w:rPr>
                    <w:t>HJ533-2009</w:t>
                  </w:r>
                </w:p>
              </w:tc>
              <w:tc>
                <w:tcPr>
                  <w:tcW w:w="1205" w:type="dxa"/>
                  <w:vAlign w:val="center"/>
                </w:tcPr>
                <w:p>
                  <w:pPr>
                    <w:jc w:val="center"/>
                    <w:rPr>
                      <w:szCs w:val="21"/>
                    </w:rPr>
                  </w:pPr>
                  <w:r>
                    <w:rPr>
                      <w:rFonts w:hint="eastAsia"/>
                      <w:szCs w:val="21"/>
                    </w:rPr>
                    <w:t>/</w:t>
                  </w:r>
                </w:p>
              </w:tc>
              <w:tc>
                <w:tcPr>
                  <w:tcW w:w="1246" w:type="dxa"/>
                  <w:vAlign w:val="center"/>
                </w:tcPr>
                <w:p>
                  <w:pPr>
                    <w:jc w:val="center"/>
                    <w:rPr>
                      <w:szCs w:val="21"/>
                    </w:rPr>
                  </w:pPr>
                  <w:r>
                    <w:rPr>
                      <w:rFonts w:hint="eastAsia"/>
                      <w:szCs w:val="21"/>
                    </w:rPr>
                    <w:t>0.2</w:t>
                  </w:r>
                  <w:r>
                    <w:rPr>
                      <w:szCs w:val="21"/>
                    </w:rPr>
                    <w:t xml:space="preserve"> mg/m³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80" w:hRule="atLeast"/>
                <w:jc w:val="center"/>
              </w:trPr>
              <w:tc>
                <w:tcPr>
                  <w:tcW w:w="645" w:type="dxa"/>
                  <w:vAlign w:val="center"/>
                </w:tcPr>
                <w:p>
                  <w:pPr>
                    <w:jc w:val="center"/>
                    <w:rPr>
                      <w:szCs w:val="21"/>
                    </w:rPr>
                  </w:pPr>
                  <w:r>
                    <w:rPr>
                      <w:rFonts w:hint="eastAsia"/>
                      <w:szCs w:val="21"/>
                    </w:rPr>
                    <w:t>7</w:t>
                  </w:r>
                </w:p>
              </w:tc>
              <w:tc>
                <w:tcPr>
                  <w:tcW w:w="1090" w:type="dxa"/>
                  <w:vAlign w:val="center"/>
                </w:tcPr>
                <w:p>
                  <w:pPr>
                    <w:jc w:val="center"/>
                    <w:rPr>
                      <w:szCs w:val="21"/>
                    </w:rPr>
                  </w:pPr>
                  <w:r>
                    <w:rPr>
                      <w:rFonts w:hint="eastAsia"/>
                      <w:szCs w:val="21"/>
                    </w:rPr>
                    <w:t>H</w:t>
                  </w:r>
                  <w:r>
                    <w:rPr>
                      <w:rFonts w:hint="eastAsia"/>
                      <w:szCs w:val="21"/>
                      <w:vertAlign w:val="subscript"/>
                    </w:rPr>
                    <w:t>2</w:t>
                  </w:r>
                  <w:r>
                    <w:rPr>
                      <w:rFonts w:hint="eastAsia"/>
                      <w:szCs w:val="21"/>
                    </w:rPr>
                    <w:t>S</w:t>
                  </w:r>
                </w:p>
              </w:tc>
              <w:tc>
                <w:tcPr>
                  <w:tcW w:w="2944" w:type="dxa"/>
                  <w:vAlign w:val="center"/>
                </w:tcPr>
                <w:p>
                  <w:pPr>
                    <w:jc w:val="center"/>
                    <w:rPr>
                      <w:rFonts w:hAnsi="宋体"/>
                      <w:szCs w:val="21"/>
                    </w:rPr>
                  </w:pPr>
                  <w:r>
                    <w:rPr>
                      <w:rFonts w:hint="eastAsia" w:hAnsi="宋体"/>
                      <w:szCs w:val="21"/>
                    </w:rPr>
                    <w:t>亚甲基蓝分光光度法</w:t>
                  </w:r>
                </w:p>
              </w:tc>
              <w:tc>
                <w:tcPr>
                  <w:tcW w:w="1771" w:type="dxa"/>
                  <w:vAlign w:val="center"/>
                </w:tcPr>
                <w:p>
                  <w:pPr>
                    <w:jc w:val="center"/>
                    <w:rPr>
                      <w:szCs w:val="21"/>
                    </w:rPr>
                  </w:pPr>
                  <w:r>
                    <w:rPr>
                      <w:rFonts w:hint="eastAsia"/>
                      <w:szCs w:val="21"/>
                    </w:rPr>
                    <w:t>/</w:t>
                  </w:r>
                </w:p>
              </w:tc>
              <w:tc>
                <w:tcPr>
                  <w:tcW w:w="1205" w:type="dxa"/>
                  <w:vAlign w:val="center"/>
                </w:tcPr>
                <w:p>
                  <w:pPr>
                    <w:jc w:val="center"/>
                    <w:rPr>
                      <w:szCs w:val="21"/>
                    </w:rPr>
                  </w:pPr>
                  <w:r>
                    <w:rPr>
                      <w:rFonts w:hint="eastAsia"/>
                      <w:szCs w:val="21"/>
                    </w:rPr>
                    <w:t>/</w:t>
                  </w:r>
                </w:p>
              </w:tc>
              <w:tc>
                <w:tcPr>
                  <w:tcW w:w="1246" w:type="dxa"/>
                  <w:vAlign w:val="center"/>
                </w:tcPr>
                <w:p>
                  <w:pPr>
                    <w:jc w:val="center"/>
                    <w:rPr>
                      <w:szCs w:val="21"/>
                    </w:rPr>
                  </w:pPr>
                  <w:r>
                    <w:rPr>
                      <w:rFonts w:hint="eastAsia"/>
                      <w:szCs w:val="21"/>
                    </w:rPr>
                    <w:t>0.01</w:t>
                  </w:r>
                  <w:r>
                    <w:rPr>
                      <w:szCs w:val="21"/>
                    </w:rPr>
                    <w:t xml:space="preserve"> mg/m³</w:t>
                  </w:r>
                </w:p>
              </w:tc>
            </w:tr>
          </w:tbl>
          <w:p>
            <w:pPr>
              <w:spacing w:line="360" w:lineRule="auto"/>
              <w:ind w:firstLine="480" w:firstLineChars="200"/>
              <w:contextualSpacing/>
              <w:rPr>
                <w:sz w:val="24"/>
                <w:szCs w:val="24"/>
              </w:rPr>
            </w:pPr>
            <w:r>
              <w:rPr>
                <w:rFonts w:hint="eastAsia"/>
                <w:sz w:val="24"/>
                <w:szCs w:val="24"/>
              </w:rPr>
              <w:t>（4）监测时间和频次</w:t>
            </w:r>
          </w:p>
          <w:p>
            <w:pPr>
              <w:spacing w:line="360" w:lineRule="auto"/>
              <w:ind w:firstLine="480" w:firstLineChars="200"/>
              <w:contextualSpacing/>
              <w:rPr>
                <w:sz w:val="24"/>
                <w:szCs w:val="24"/>
              </w:rPr>
            </w:pPr>
            <w:r>
              <w:rPr>
                <w:rFonts w:hint="eastAsia"/>
                <w:sz w:val="24"/>
                <w:szCs w:val="24"/>
              </w:rPr>
              <w:t>本次监测常规因子取2018年11月20日至11月26日连续7天的有效数据，特征因子取2018年11月20日至22日连续3天的有效数据，监测频率、内容及要求见表15。</w:t>
            </w:r>
          </w:p>
          <w:p>
            <w:pPr>
              <w:jc w:val="center"/>
              <w:rPr>
                <w:rFonts w:eastAsiaTheme="minorEastAsia"/>
                <w:b/>
                <w:szCs w:val="21"/>
              </w:rPr>
            </w:pPr>
            <w:r>
              <w:rPr>
                <w:rFonts w:hAnsiTheme="minorEastAsia" w:eastAsiaTheme="minorEastAsia"/>
                <w:b/>
                <w:szCs w:val="21"/>
              </w:rPr>
              <w:t>表</w:t>
            </w:r>
            <w:r>
              <w:rPr>
                <w:rFonts w:eastAsiaTheme="minorEastAsia"/>
                <w:b/>
                <w:szCs w:val="21"/>
              </w:rPr>
              <w:t>1</w:t>
            </w:r>
            <w:r>
              <w:rPr>
                <w:rFonts w:hint="eastAsia" w:eastAsiaTheme="minorEastAsia"/>
                <w:b/>
                <w:szCs w:val="21"/>
              </w:rPr>
              <w:t>5</w:t>
            </w:r>
            <w:r>
              <w:rPr>
                <w:rFonts w:eastAsiaTheme="minorEastAsia"/>
                <w:b/>
                <w:szCs w:val="21"/>
              </w:rPr>
              <w:t xml:space="preserve">  </w:t>
            </w:r>
            <w:r>
              <w:rPr>
                <w:rFonts w:hAnsiTheme="minorEastAsia" w:eastAsiaTheme="minorEastAsia"/>
                <w:b/>
                <w:szCs w:val="21"/>
              </w:rPr>
              <w:t>监测频率、内容一览表</w:t>
            </w:r>
          </w:p>
          <w:tbl>
            <w:tblPr>
              <w:tblStyle w:val="35"/>
              <w:tblW w:w="8901" w:type="dxa"/>
              <w:jc w:val="center"/>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5"/>
              <w:gridCol w:w="988"/>
              <w:gridCol w:w="1697"/>
              <w:gridCol w:w="3393"/>
              <w:gridCol w:w="1838"/>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 w:type="dxa"/>
                  <w:vAlign w:val="center"/>
                </w:tcPr>
                <w:p>
                  <w:pPr>
                    <w:adjustRightInd w:val="0"/>
                    <w:snapToGrid w:val="0"/>
                    <w:spacing w:line="240" w:lineRule="exact"/>
                    <w:jc w:val="center"/>
                    <w:rPr>
                      <w:b/>
                      <w:szCs w:val="21"/>
                    </w:rPr>
                  </w:pPr>
                  <w:r>
                    <w:rPr>
                      <w:b/>
                      <w:szCs w:val="21"/>
                    </w:rPr>
                    <w:t>监测因子</w:t>
                  </w:r>
                </w:p>
              </w:tc>
              <w:tc>
                <w:tcPr>
                  <w:tcW w:w="988" w:type="dxa"/>
                  <w:vAlign w:val="center"/>
                </w:tcPr>
                <w:p>
                  <w:pPr>
                    <w:adjustRightInd w:val="0"/>
                    <w:snapToGrid w:val="0"/>
                    <w:spacing w:line="240" w:lineRule="exact"/>
                    <w:jc w:val="center"/>
                    <w:rPr>
                      <w:b/>
                      <w:szCs w:val="21"/>
                    </w:rPr>
                  </w:pPr>
                  <w:r>
                    <w:rPr>
                      <w:b/>
                      <w:szCs w:val="21"/>
                    </w:rPr>
                    <w:t>监测时段</w:t>
                  </w:r>
                </w:p>
              </w:tc>
              <w:tc>
                <w:tcPr>
                  <w:tcW w:w="1697" w:type="dxa"/>
                  <w:vAlign w:val="center"/>
                </w:tcPr>
                <w:p>
                  <w:pPr>
                    <w:adjustRightInd w:val="0"/>
                    <w:snapToGrid w:val="0"/>
                    <w:spacing w:line="240" w:lineRule="exact"/>
                    <w:jc w:val="center"/>
                    <w:rPr>
                      <w:b/>
                      <w:szCs w:val="21"/>
                    </w:rPr>
                  </w:pPr>
                  <w:r>
                    <w:rPr>
                      <w:b/>
                      <w:szCs w:val="21"/>
                    </w:rPr>
                    <w:t>监测内容</w:t>
                  </w:r>
                </w:p>
              </w:tc>
              <w:tc>
                <w:tcPr>
                  <w:tcW w:w="3393" w:type="dxa"/>
                  <w:vAlign w:val="center"/>
                </w:tcPr>
                <w:p>
                  <w:pPr>
                    <w:adjustRightInd w:val="0"/>
                    <w:snapToGrid w:val="0"/>
                    <w:spacing w:line="240" w:lineRule="exact"/>
                    <w:jc w:val="center"/>
                    <w:rPr>
                      <w:b/>
                      <w:szCs w:val="21"/>
                    </w:rPr>
                  </w:pPr>
                  <w:r>
                    <w:rPr>
                      <w:b/>
                      <w:szCs w:val="21"/>
                    </w:rPr>
                    <w:t>相关要求</w:t>
                  </w:r>
                </w:p>
              </w:tc>
              <w:tc>
                <w:tcPr>
                  <w:tcW w:w="1838" w:type="dxa"/>
                  <w:vAlign w:val="center"/>
                </w:tcPr>
                <w:p>
                  <w:pPr>
                    <w:adjustRightInd w:val="0"/>
                    <w:snapToGrid w:val="0"/>
                    <w:spacing w:line="240" w:lineRule="exact"/>
                    <w:jc w:val="center"/>
                    <w:rPr>
                      <w:b/>
                      <w:szCs w:val="21"/>
                    </w:rPr>
                  </w:pPr>
                  <w:r>
                    <w:rPr>
                      <w:b/>
                      <w:szCs w:val="21"/>
                    </w:rPr>
                    <w:t>执行标准</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 w:type="dxa"/>
                  <w:vMerge w:val="restart"/>
                  <w:vAlign w:val="center"/>
                </w:tcPr>
                <w:p>
                  <w:pPr>
                    <w:adjustRightInd w:val="0"/>
                    <w:snapToGrid w:val="0"/>
                    <w:spacing w:line="240" w:lineRule="exact"/>
                    <w:jc w:val="center"/>
                    <w:rPr>
                      <w:szCs w:val="21"/>
                    </w:rPr>
                  </w:pPr>
                  <w:r>
                    <w:rPr>
                      <w:szCs w:val="21"/>
                    </w:rPr>
                    <w:t>SO</w:t>
                  </w:r>
                  <w:r>
                    <w:rPr>
                      <w:szCs w:val="21"/>
                      <w:vertAlign w:val="subscript"/>
                    </w:rPr>
                    <w:t>2</w:t>
                  </w:r>
                </w:p>
                <w:p>
                  <w:pPr>
                    <w:adjustRightInd w:val="0"/>
                    <w:snapToGrid w:val="0"/>
                    <w:spacing w:line="240" w:lineRule="exact"/>
                    <w:jc w:val="center"/>
                    <w:rPr>
                      <w:szCs w:val="21"/>
                      <w:vertAlign w:val="subscript"/>
                    </w:rPr>
                  </w:pPr>
                  <w:r>
                    <w:rPr>
                      <w:szCs w:val="21"/>
                    </w:rPr>
                    <w:t>NO</w:t>
                  </w:r>
                  <w:r>
                    <w:rPr>
                      <w:szCs w:val="21"/>
                      <w:vertAlign w:val="subscript"/>
                    </w:rPr>
                    <w:t>2</w:t>
                  </w:r>
                </w:p>
              </w:tc>
              <w:tc>
                <w:tcPr>
                  <w:tcW w:w="988" w:type="dxa"/>
                  <w:vMerge w:val="restart"/>
                  <w:vAlign w:val="center"/>
                </w:tcPr>
                <w:p>
                  <w:pPr>
                    <w:adjustRightInd w:val="0"/>
                    <w:snapToGrid w:val="0"/>
                    <w:spacing w:line="240" w:lineRule="exact"/>
                    <w:jc w:val="center"/>
                    <w:rPr>
                      <w:szCs w:val="21"/>
                    </w:rPr>
                  </w:pPr>
                  <w:r>
                    <w:rPr>
                      <w:szCs w:val="21"/>
                    </w:rPr>
                    <w:t>连续7天</w:t>
                  </w:r>
                </w:p>
              </w:tc>
              <w:tc>
                <w:tcPr>
                  <w:tcW w:w="1697" w:type="dxa"/>
                  <w:vAlign w:val="center"/>
                </w:tcPr>
                <w:p>
                  <w:pPr>
                    <w:adjustRightInd w:val="0"/>
                    <w:snapToGrid w:val="0"/>
                    <w:spacing w:line="240" w:lineRule="exact"/>
                    <w:jc w:val="center"/>
                    <w:rPr>
                      <w:szCs w:val="21"/>
                    </w:rPr>
                  </w:pPr>
                  <w:r>
                    <w:rPr>
                      <w:szCs w:val="21"/>
                    </w:rPr>
                    <w:t>24小时平均浓度</w:t>
                  </w:r>
                </w:p>
              </w:tc>
              <w:tc>
                <w:tcPr>
                  <w:tcW w:w="3393" w:type="dxa"/>
                  <w:vAlign w:val="center"/>
                </w:tcPr>
                <w:p>
                  <w:pPr>
                    <w:adjustRightInd w:val="0"/>
                    <w:snapToGrid w:val="0"/>
                    <w:spacing w:line="240" w:lineRule="exact"/>
                    <w:jc w:val="center"/>
                    <w:rPr>
                      <w:szCs w:val="21"/>
                    </w:rPr>
                  </w:pPr>
                  <w:r>
                    <w:rPr>
                      <w:szCs w:val="21"/>
                    </w:rPr>
                    <w:t>每日至少有</w:t>
                  </w:r>
                  <w:r>
                    <w:rPr>
                      <w:rFonts w:hint="eastAsia"/>
                      <w:szCs w:val="21"/>
                    </w:rPr>
                    <w:t>20</w:t>
                  </w:r>
                  <w:r>
                    <w:rPr>
                      <w:szCs w:val="21"/>
                    </w:rPr>
                    <w:t>个小时采样时间</w:t>
                  </w:r>
                </w:p>
              </w:tc>
              <w:tc>
                <w:tcPr>
                  <w:tcW w:w="1838" w:type="dxa"/>
                  <w:vMerge w:val="restart"/>
                  <w:vAlign w:val="center"/>
                </w:tcPr>
                <w:p>
                  <w:pPr>
                    <w:adjustRightInd w:val="0"/>
                    <w:snapToGrid w:val="0"/>
                    <w:spacing w:line="240" w:lineRule="exact"/>
                    <w:jc w:val="center"/>
                    <w:rPr>
                      <w:szCs w:val="21"/>
                    </w:rPr>
                  </w:pPr>
                  <w:r>
                    <w:rPr>
                      <w:rFonts w:hint="eastAsia"/>
                      <w:szCs w:val="21"/>
                    </w:rPr>
                    <w:t>《环境空气质量标准》（</w:t>
                  </w:r>
                  <w:r>
                    <w:rPr>
                      <w:szCs w:val="21"/>
                    </w:rPr>
                    <w:t>GB3095-2012</w:t>
                  </w:r>
                  <w:r>
                    <w:rPr>
                      <w:rFonts w:hint="eastAsia"/>
                      <w:szCs w:val="21"/>
                    </w:rPr>
                    <w:t>）二级</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 w:type="dxa"/>
                  <w:vMerge w:val="continue"/>
                  <w:vAlign w:val="center"/>
                </w:tcPr>
                <w:p>
                  <w:pPr>
                    <w:adjustRightInd w:val="0"/>
                    <w:snapToGrid w:val="0"/>
                    <w:spacing w:line="240" w:lineRule="exact"/>
                    <w:jc w:val="center"/>
                    <w:rPr>
                      <w:szCs w:val="21"/>
                    </w:rPr>
                  </w:pPr>
                </w:p>
              </w:tc>
              <w:tc>
                <w:tcPr>
                  <w:tcW w:w="988" w:type="dxa"/>
                  <w:vMerge w:val="continue"/>
                  <w:vAlign w:val="center"/>
                </w:tcPr>
                <w:p>
                  <w:pPr>
                    <w:adjustRightInd w:val="0"/>
                    <w:snapToGrid w:val="0"/>
                    <w:spacing w:line="240" w:lineRule="exact"/>
                    <w:jc w:val="center"/>
                    <w:rPr>
                      <w:szCs w:val="21"/>
                    </w:rPr>
                  </w:pPr>
                </w:p>
              </w:tc>
              <w:tc>
                <w:tcPr>
                  <w:tcW w:w="1697" w:type="dxa"/>
                  <w:vMerge w:val="restart"/>
                  <w:vAlign w:val="center"/>
                </w:tcPr>
                <w:p>
                  <w:pPr>
                    <w:adjustRightInd w:val="0"/>
                    <w:snapToGrid w:val="0"/>
                    <w:spacing w:line="240" w:lineRule="exact"/>
                    <w:jc w:val="center"/>
                    <w:rPr>
                      <w:szCs w:val="21"/>
                    </w:rPr>
                  </w:pPr>
                  <w:r>
                    <w:rPr>
                      <w:szCs w:val="21"/>
                    </w:rPr>
                    <w:t>1小时平均浓度</w:t>
                  </w:r>
                </w:p>
              </w:tc>
              <w:tc>
                <w:tcPr>
                  <w:tcW w:w="3393" w:type="dxa"/>
                  <w:vAlign w:val="center"/>
                </w:tcPr>
                <w:p>
                  <w:pPr>
                    <w:adjustRightInd w:val="0"/>
                    <w:snapToGrid w:val="0"/>
                    <w:spacing w:line="240" w:lineRule="exact"/>
                    <w:jc w:val="center"/>
                    <w:rPr>
                      <w:szCs w:val="21"/>
                    </w:rPr>
                  </w:pPr>
                  <w:r>
                    <w:rPr>
                      <w:szCs w:val="21"/>
                    </w:rPr>
                    <w:t>采集</w:t>
                  </w:r>
                  <w:r>
                    <w:rPr>
                      <w:rFonts w:hint="eastAsia"/>
                      <w:szCs w:val="21"/>
                    </w:rPr>
                    <w:t>8</w:t>
                  </w:r>
                  <w:r>
                    <w:rPr>
                      <w:szCs w:val="21"/>
                    </w:rPr>
                    <w:t>、</w:t>
                  </w:r>
                  <w:r>
                    <w:rPr>
                      <w:rFonts w:hint="eastAsia"/>
                      <w:szCs w:val="21"/>
                    </w:rPr>
                    <w:t>12</w:t>
                  </w:r>
                  <w:r>
                    <w:rPr>
                      <w:szCs w:val="21"/>
                    </w:rPr>
                    <w:t>、</w:t>
                  </w:r>
                  <w:r>
                    <w:rPr>
                      <w:rFonts w:hint="eastAsia"/>
                      <w:szCs w:val="21"/>
                    </w:rPr>
                    <w:t>16</w:t>
                  </w:r>
                  <w:r>
                    <w:rPr>
                      <w:szCs w:val="21"/>
                    </w:rPr>
                    <w:t>、20时四个小时浓度</w:t>
                  </w:r>
                </w:p>
              </w:tc>
              <w:tc>
                <w:tcPr>
                  <w:tcW w:w="1838" w:type="dxa"/>
                  <w:vMerge w:val="continue"/>
                  <w:vAlign w:val="center"/>
                </w:tcPr>
                <w:p>
                  <w:pPr>
                    <w:adjustRightInd w:val="0"/>
                    <w:snapToGrid w:val="0"/>
                    <w:spacing w:line="240" w:lineRule="exact"/>
                    <w:jc w:val="center"/>
                    <w:rPr>
                      <w:szCs w:val="21"/>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 w:type="dxa"/>
                  <w:vMerge w:val="continue"/>
                  <w:vAlign w:val="center"/>
                </w:tcPr>
                <w:p>
                  <w:pPr>
                    <w:adjustRightInd w:val="0"/>
                    <w:snapToGrid w:val="0"/>
                    <w:spacing w:line="240" w:lineRule="exact"/>
                    <w:jc w:val="center"/>
                    <w:rPr>
                      <w:szCs w:val="21"/>
                    </w:rPr>
                  </w:pPr>
                </w:p>
              </w:tc>
              <w:tc>
                <w:tcPr>
                  <w:tcW w:w="988" w:type="dxa"/>
                  <w:vMerge w:val="continue"/>
                  <w:vAlign w:val="center"/>
                </w:tcPr>
                <w:p>
                  <w:pPr>
                    <w:adjustRightInd w:val="0"/>
                    <w:snapToGrid w:val="0"/>
                    <w:spacing w:line="240" w:lineRule="exact"/>
                    <w:jc w:val="center"/>
                    <w:rPr>
                      <w:szCs w:val="21"/>
                    </w:rPr>
                  </w:pPr>
                </w:p>
              </w:tc>
              <w:tc>
                <w:tcPr>
                  <w:tcW w:w="1697" w:type="dxa"/>
                  <w:vMerge w:val="continue"/>
                  <w:vAlign w:val="center"/>
                </w:tcPr>
                <w:p>
                  <w:pPr>
                    <w:adjustRightInd w:val="0"/>
                    <w:snapToGrid w:val="0"/>
                    <w:spacing w:line="240" w:lineRule="exact"/>
                    <w:jc w:val="center"/>
                    <w:rPr>
                      <w:szCs w:val="21"/>
                    </w:rPr>
                  </w:pPr>
                </w:p>
              </w:tc>
              <w:tc>
                <w:tcPr>
                  <w:tcW w:w="3393" w:type="dxa"/>
                  <w:vAlign w:val="center"/>
                </w:tcPr>
                <w:p>
                  <w:pPr>
                    <w:adjustRightInd w:val="0"/>
                    <w:snapToGrid w:val="0"/>
                    <w:spacing w:line="240" w:lineRule="exact"/>
                    <w:jc w:val="center"/>
                    <w:rPr>
                      <w:szCs w:val="21"/>
                    </w:rPr>
                  </w:pPr>
                  <w:r>
                    <w:rPr>
                      <w:szCs w:val="21"/>
                    </w:rPr>
                    <w:t>每小时至少有45min采样时间</w:t>
                  </w:r>
                </w:p>
              </w:tc>
              <w:tc>
                <w:tcPr>
                  <w:tcW w:w="1838" w:type="dxa"/>
                  <w:vMerge w:val="continue"/>
                  <w:vAlign w:val="center"/>
                </w:tcPr>
                <w:p>
                  <w:pPr>
                    <w:adjustRightInd w:val="0"/>
                    <w:snapToGrid w:val="0"/>
                    <w:spacing w:line="240" w:lineRule="exact"/>
                    <w:jc w:val="center"/>
                    <w:rPr>
                      <w:szCs w:val="21"/>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 w:type="dxa"/>
                  <w:vAlign w:val="center"/>
                </w:tcPr>
                <w:p>
                  <w:pPr>
                    <w:adjustRightInd w:val="0"/>
                    <w:snapToGrid w:val="0"/>
                    <w:spacing w:line="240" w:lineRule="exact"/>
                    <w:jc w:val="center"/>
                    <w:rPr>
                      <w:szCs w:val="21"/>
                      <w:vertAlign w:val="subscript"/>
                    </w:rPr>
                  </w:pPr>
                  <w:r>
                    <w:rPr>
                      <w:szCs w:val="21"/>
                    </w:rPr>
                    <w:t>PM</w:t>
                  </w:r>
                  <w:r>
                    <w:rPr>
                      <w:szCs w:val="21"/>
                      <w:vertAlign w:val="subscript"/>
                    </w:rPr>
                    <w:t>10</w:t>
                  </w:r>
                </w:p>
                <w:p>
                  <w:pPr>
                    <w:adjustRightInd w:val="0"/>
                    <w:snapToGrid w:val="0"/>
                    <w:spacing w:line="240" w:lineRule="exact"/>
                    <w:jc w:val="center"/>
                    <w:rPr>
                      <w:szCs w:val="21"/>
                    </w:rPr>
                  </w:pPr>
                  <w:r>
                    <w:rPr>
                      <w:rFonts w:hint="eastAsia"/>
                      <w:szCs w:val="21"/>
                    </w:rPr>
                    <w:t>TSP</w:t>
                  </w:r>
                </w:p>
              </w:tc>
              <w:tc>
                <w:tcPr>
                  <w:tcW w:w="988" w:type="dxa"/>
                  <w:vAlign w:val="center"/>
                </w:tcPr>
                <w:p>
                  <w:pPr>
                    <w:adjustRightInd w:val="0"/>
                    <w:snapToGrid w:val="0"/>
                    <w:spacing w:line="240" w:lineRule="exact"/>
                    <w:jc w:val="center"/>
                    <w:rPr>
                      <w:szCs w:val="21"/>
                    </w:rPr>
                  </w:pPr>
                  <w:r>
                    <w:rPr>
                      <w:szCs w:val="21"/>
                    </w:rPr>
                    <w:t>连续7天</w:t>
                  </w:r>
                </w:p>
              </w:tc>
              <w:tc>
                <w:tcPr>
                  <w:tcW w:w="1697" w:type="dxa"/>
                  <w:vAlign w:val="center"/>
                </w:tcPr>
                <w:p>
                  <w:pPr>
                    <w:adjustRightInd w:val="0"/>
                    <w:snapToGrid w:val="0"/>
                    <w:spacing w:line="240" w:lineRule="exact"/>
                    <w:jc w:val="center"/>
                    <w:rPr>
                      <w:szCs w:val="21"/>
                    </w:rPr>
                  </w:pPr>
                  <w:r>
                    <w:rPr>
                      <w:szCs w:val="21"/>
                    </w:rPr>
                    <w:t>24小时平均浓度</w:t>
                  </w:r>
                </w:p>
              </w:tc>
              <w:tc>
                <w:tcPr>
                  <w:tcW w:w="3393" w:type="dxa"/>
                  <w:vAlign w:val="center"/>
                </w:tcPr>
                <w:p>
                  <w:pPr>
                    <w:adjustRightInd w:val="0"/>
                    <w:snapToGrid w:val="0"/>
                    <w:spacing w:line="240" w:lineRule="exact"/>
                    <w:jc w:val="center"/>
                    <w:rPr>
                      <w:szCs w:val="21"/>
                    </w:rPr>
                  </w:pPr>
                  <w:r>
                    <w:rPr>
                      <w:szCs w:val="21"/>
                    </w:rPr>
                    <w:t>每日至少有20个小时采样时间</w:t>
                  </w:r>
                </w:p>
              </w:tc>
              <w:tc>
                <w:tcPr>
                  <w:tcW w:w="1838" w:type="dxa"/>
                  <w:vMerge w:val="continue"/>
                  <w:vAlign w:val="center"/>
                </w:tcPr>
                <w:p>
                  <w:pPr>
                    <w:adjustRightInd w:val="0"/>
                    <w:snapToGrid w:val="0"/>
                    <w:spacing w:line="240" w:lineRule="exact"/>
                    <w:jc w:val="center"/>
                    <w:rPr>
                      <w:szCs w:val="21"/>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 w:type="dxa"/>
                  <w:vAlign w:val="center"/>
                </w:tcPr>
                <w:p>
                  <w:pPr>
                    <w:adjustRightInd w:val="0"/>
                    <w:snapToGrid w:val="0"/>
                    <w:spacing w:line="240" w:lineRule="exact"/>
                    <w:jc w:val="center"/>
                    <w:rPr>
                      <w:szCs w:val="21"/>
                    </w:rPr>
                  </w:pPr>
                  <w:r>
                    <w:rPr>
                      <w:rFonts w:hint="eastAsia"/>
                      <w:szCs w:val="21"/>
                    </w:rPr>
                    <w:t>CO</w:t>
                  </w:r>
                </w:p>
              </w:tc>
              <w:tc>
                <w:tcPr>
                  <w:tcW w:w="988" w:type="dxa"/>
                  <w:vAlign w:val="center"/>
                </w:tcPr>
                <w:p>
                  <w:pPr>
                    <w:adjustRightInd w:val="0"/>
                    <w:snapToGrid w:val="0"/>
                    <w:spacing w:line="240" w:lineRule="exact"/>
                    <w:jc w:val="center"/>
                    <w:rPr>
                      <w:szCs w:val="21"/>
                    </w:rPr>
                  </w:pPr>
                  <w:r>
                    <w:rPr>
                      <w:rFonts w:hint="eastAsia"/>
                      <w:szCs w:val="21"/>
                    </w:rPr>
                    <w:t>连续7天</w:t>
                  </w:r>
                </w:p>
              </w:tc>
              <w:tc>
                <w:tcPr>
                  <w:tcW w:w="1697" w:type="dxa"/>
                  <w:vAlign w:val="center"/>
                </w:tcPr>
                <w:p>
                  <w:pPr>
                    <w:adjustRightInd w:val="0"/>
                    <w:snapToGrid w:val="0"/>
                    <w:spacing w:line="240" w:lineRule="exact"/>
                    <w:jc w:val="center"/>
                    <w:rPr>
                      <w:szCs w:val="21"/>
                    </w:rPr>
                  </w:pPr>
                  <w:r>
                    <w:rPr>
                      <w:rFonts w:hint="eastAsia"/>
                      <w:szCs w:val="21"/>
                    </w:rPr>
                    <w:t>一次浓度</w:t>
                  </w:r>
                </w:p>
              </w:tc>
              <w:tc>
                <w:tcPr>
                  <w:tcW w:w="3393" w:type="dxa"/>
                  <w:vAlign w:val="center"/>
                </w:tcPr>
                <w:p>
                  <w:pPr>
                    <w:adjustRightInd w:val="0"/>
                    <w:snapToGrid w:val="0"/>
                    <w:spacing w:line="240" w:lineRule="exact"/>
                    <w:jc w:val="center"/>
                    <w:rPr>
                      <w:szCs w:val="21"/>
                    </w:rPr>
                  </w:pPr>
                  <w:r>
                    <w:rPr>
                      <w:rFonts w:hint="eastAsia"/>
                      <w:szCs w:val="21"/>
                    </w:rPr>
                    <w:t>每天为</w:t>
                  </w:r>
                  <w:r>
                    <w:rPr>
                      <w:szCs w:val="21"/>
                    </w:rPr>
                    <w:t>4</w:t>
                  </w:r>
                  <w:r>
                    <w:rPr>
                      <w:rFonts w:hint="eastAsia"/>
                      <w:szCs w:val="21"/>
                    </w:rPr>
                    <w:t>次，具体时间为</w:t>
                  </w:r>
                  <w:r>
                    <w:rPr>
                      <w:szCs w:val="21"/>
                    </w:rPr>
                    <w:t>02:00</w:t>
                  </w:r>
                  <w:r>
                    <w:rPr>
                      <w:rFonts w:hint="eastAsia"/>
                      <w:szCs w:val="21"/>
                    </w:rPr>
                    <w:t>、</w:t>
                  </w:r>
                  <w:r>
                    <w:rPr>
                      <w:szCs w:val="21"/>
                    </w:rPr>
                    <w:t>08:00</w:t>
                  </w:r>
                  <w:r>
                    <w:rPr>
                      <w:rFonts w:hint="eastAsia"/>
                      <w:szCs w:val="21"/>
                    </w:rPr>
                    <w:t>、</w:t>
                  </w:r>
                  <w:r>
                    <w:rPr>
                      <w:szCs w:val="21"/>
                    </w:rPr>
                    <w:t>14:00</w:t>
                  </w:r>
                  <w:r>
                    <w:rPr>
                      <w:rFonts w:hint="eastAsia"/>
                      <w:szCs w:val="21"/>
                    </w:rPr>
                    <w:t>、</w:t>
                  </w:r>
                  <w:r>
                    <w:rPr>
                      <w:szCs w:val="21"/>
                    </w:rPr>
                    <w:t>20:00</w:t>
                  </w:r>
                </w:p>
              </w:tc>
              <w:tc>
                <w:tcPr>
                  <w:tcW w:w="1838" w:type="dxa"/>
                  <w:vMerge w:val="continue"/>
                  <w:vAlign w:val="center"/>
                </w:tcPr>
                <w:p>
                  <w:pPr>
                    <w:adjustRightInd w:val="0"/>
                    <w:snapToGrid w:val="0"/>
                    <w:spacing w:line="240" w:lineRule="exact"/>
                    <w:jc w:val="center"/>
                    <w:rPr>
                      <w:szCs w:val="21"/>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 w:type="dxa"/>
                  <w:vAlign w:val="center"/>
                </w:tcPr>
                <w:p>
                  <w:pPr>
                    <w:adjustRightInd w:val="0"/>
                    <w:snapToGrid w:val="0"/>
                    <w:spacing w:line="240" w:lineRule="exact"/>
                    <w:jc w:val="center"/>
                    <w:rPr>
                      <w:szCs w:val="21"/>
                    </w:rPr>
                  </w:pPr>
                  <w:r>
                    <w:rPr>
                      <w:rFonts w:hint="eastAsia"/>
                      <w:szCs w:val="21"/>
                    </w:rPr>
                    <w:t>NH</w:t>
                  </w:r>
                  <w:r>
                    <w:rPr>
                      <w:rFonts w:hint="eastAsia"/>
                      <w:szCs w:val="21"/>
                      <w:vertAlign w:val="subscript"/>
                    </w:rPr>
                    <w:t>3</w:t>
                  </w:r>
                </w:p>
                <w:p>
                  <w:pPr>
                    <w:adjustRightInd w:val="0"/>
                    <w:snapToGrid w:val="0"/>
                    <w:spacing w:line="240" w:lineRule="exact"/>
                    <w:jc w:val="center"/>
                    <w:rPr>
                      <w:szCs w:val="21"/>
                    </w:rPr>
                  </w:pPr>
                  <w:r>
                    <w:rPr>
                      <w:rFonts w:hint="eastAsia"/>
                      <w:szCs w:val="21"/>
                    </w:rPr>
                    <w:t>H</w:t>
                  </w:r>
                  <w:r>
                    <w:rPr>
                      <w:rFonts w:hint="eastAsia"/>
                      <w:szCs w:val="21"/>
                      <w:vertAlign w:val="subscript"/>
                    </w:rPr>
                    <w:t>2</w:t>
                  </w:r>
                  <w:r>
                    <w:rPr>
                      <w:rFonts w:hint="eastAsia"/>
                      <w:szCs w:val="21"/>
                    </w:rPr>
                    <w:t>S</w:t>
                  </w:r>
                </w:p>
              </w:tc>
              <w:tc>
                <w:tcPr>
                  <w:tcW w:w="988" w:type="dxa"/>
                  <w:vAlign w:val="center"/>
                </w:tcPr>
                <w:p>
                  <w:pPr>
                    <w:adjustRightInd w:val="0"/>
                    <w:snapToGrid w:val="0"/>
                    <w:spacing w:line="240" w:lineRule="exact"/>
                    <w:jc w:val="center"/>
                    <w:rPr>
                      <w:szCs w:val="21"/>
                    </w:rPr>
                  </w:pPr>
                  <w:r>
                    <w:rPr>
                      <w:szCs w:val="21"/>
                    </w:rPr>
                    <w:t>连续</w:t>
                  </w:r>
                  <w:r>
                    <w:rPr>
                      <w:rFonts w:hint="eastAsia"/>
                      <w:szCs w:val="21"/>
                    </w:rPr>
                    <w:t>3</w:t>
                  </w:r>
                  <w:r>
                    <w:rPr>
                      <w:szCs w:val="21"/>
                    </w:rPr>
                    <w:t>天</w:t>
                  </w:r>
                </w:p>
              </w:tc>
              <w:tc>
                <w:tcPr>
                  <w:tcW w:w="1697" w:type="dxa"/>
                  <w:vAlign w:val="center"/>
                </w:tcPr>
                <w:p>
                  <w:pPr>
                    <w:adjustRightInd w:val="0"/>
                    <w:snapToGrid w:val="0"/>
                    <w:spacing w:line="240" w:lineRule="exact"/>
                    <w:jc w:val="center"/>
                    <w:rPr>
                      <w:szCs w:val="21"/>
                    </w:rPr>
                  </w:pPr>
                  <w:r>
                    <w:rPr>
                      <w:rFonts w:hint="eastAsia"/>
                      <w:szCs w:val="21"/>
                    </w:rPr>
                    <w:t>一次浓度</w:t>
                  </w:r>
                </w:p>
              </w:tc>
              <w:tc>
                <w:tcPr>
                  <w:tcW w:w="3393" w:type="dxa"/>
                  <w:vAlign w:val="center"/>
                </w:tcPr>
                <w:p>
                  <w:pPr>
                    <w:adjustRightInd w:val="0"/>
                    <w:snapToGrid w:val="0"/>
                    <w:spacing w:line="240" w:lineRule="exact"/>
                    <w:jc w:val="center"/>
                    <w:rPr>
                      <w:szCs w:val="21"/>
                    </w:rPr>
                  </w:pPr>
                  <w:r>
                    <w:rPr>
                      <w:rFonts w:hint="eastAsia"/>
                      <w:szCs w:val="21"/>
                    </w:rPr>
                    <w:t>每天为</w:t>
                  </w:r>
                  <w:r>
                    <w:rPr>
                      <w:szCs w:val="21"/>
                    </w:rPr>
                    <w:t>4</w:t>
                  </w:r>
                  <w:r>
                    <w:rPr>
                      <w:rFonts w:hint="eastAsia"/>
                      <w:szCs w:val="21"/>
                    </w:rPr>
                    <w:t>次，具体时间为</w:t>
                  </w:r>
                  <w:r>
                    <w:rPr>
                      <w:szCs w:val="21"/>
                    </w:rPr>
                    <w:t>02:00</w:t>
                  </w:r>
                  <w:r>
                    <w:rPr>
                      <w:rFonts w:hint="eastAsia"/>
                      <w:szCs w:val="21"/>
                    </w:rPr>
                    <w:t>、</w:t>
                  </w:r>
                  <w:r>
                    <w:rPr>
                      <w:szCs w:val="21"/>
                    </w:rPr>
                    <w:t>08:00</w:t>
                  </w:r>
                  <w:r>
                    <w:rPr>
                      <w:rFonts w:hint="eastAsia"/>
                      <w:szCs w:val="21"/>
                    </w:rPr>
                    <w:t>、</w:t>
                  </w:r>
                  <w:r>
                    <w:rPr>
                      <w:szCs w:val="21"/>
                    </w:rPr>
                    <w:t>14:00</w:t>
                  </w:r>
                  <w:r>
                    <w:rPr>
                      <w:rFonts w:hint="eastAsia"/>
                      <w:szCs w:val="21"/>
                    </w:rPr>
                    <w:t>、</w:t>
                  </w:r>
                  <w:r>
                    <w:rPr>
                      <w:szCs w:val="21"/>
                    </w:rPr>
                    <w:t>20:00</w:t>
                  </w:r>
                </w:p>
              </w:tc>
              <w:tc>
                <w:tcPr>
                  <w:tcW w:w="1838" w:type="dxa"/>
                  <w:vAlign w:val="center"/>
                </w:tcPr>
                <w:p>
                  <w:pPr>
                    <w:adjustRightInd w:val="0"/>
                    <w:snapToGrid w:val="0"/>
                    <w:spacing w:line="240" w:lineRule="exact"/>
                    <w:jc w:val="center"/>
                    <w:rPr>
                      <w:szCs w:val="21"/>
                    </w:rPr>
                  </w:pPr>
                  <w:r>
                    <w:rPr>
                      <w:rFonts w:hint="eastAsia"/>
                      <w:szCs w:val="21"/>
                    </w:rPr>
                    <w:t>《工业企业设计卫生标准》（TJ36-1979）</w:t>
                  </w:r>
                </w:p>
              </w:tc>
            </w:tr>
          </w:tbl>
          <w:p>
            <w:pPr>
              <w:spacing w:line="360" w:lineRule="auto"/>
              <w:ind w:firstLine="480" w:firstLineChars="200"/>
              <w:contextualSpacing/>
              <w:rPr>
                <w:sz w:val="24"/>
                <w:szCs w:val="24"/>
              </w:rPr>
            </w:pPr>
            <w:r>
              <w:rPr>
                <w:rFonts w:hint="eastAsia"/>
                <w:sz w:val="24"/>
                <w:szCs w:val="24"/>
              </w:rPr>
              <w:t>（5）监测结果及分析</w:t>
            </w:r>
          </w:p>
          <w:p>
            <w:pPr>
              <w:spacing w:line="360" w:lineRule="auto"/>
              <w:ind w:firstLine="480" w:firstLineChars="200"/>
              <w:contextualSpacing/>
              <w:rPr>
                <w:sz w:val="24"/>
                <w:szCs w:val="24"/>
              </w:rPr>
            </w:pPr>
            <w:r>
              <w:rPr>
                <w:rFonts w:hint="eastAsia"/>
                <w:sz w:val="24"/>
                <w:szCs w:val="24"/>
              </w:rPr>
              <w:t>监测结果统计情况见表</w:t>
            </w:r>
            <w:r>
              <w:rPr>
                <w:sz w:val="24"/>
                <w:szCs w:val="24"/>
              </w:rPr>
              <w:t>1</w:t>
            </w:r>
            <w:r>
              <w:rPr>
                <w:rFonts w:hint="eastAsia"/>
                <w:sz w:val="24"/>
                <w:szCs w:val="24"/>
              </w:rPr>
              <w:t>6。</w:t>
            </w:r>
          </w:p>
          <w:p>
            <w:pPr>
              <w:spacing w:beforeLines="50"/>
              <w:jc w:val="center"/>
              <w:rPr>
                <w:b/>
                <w:bCs/>
                <w:szCs w:val="21"/>
                <w:vertAlign w:val="superscript"/>
              </w:rPr>
            </w:pPr>
            <w:r>
              <w:rPr>
                <w:rFonts w:hint="eastAsia"/>
                <w:b/>
                <w:bCs/>
                <w:szCs w:val="21"/>
              </w:rPr>
              <w:t>表</w:t>
            </w:r>
            <w:r>
              <w:rPr>
                <w:b/>
                <w:bCs/>
                <w:szCs w:val="21"/>
              </w:rPr>
              <w:t xml:space="preserve"> 1</w:t>
            </w:r>
            <w:r>
              <w:rPr>
                <w:rFonts w:hint="eastAsia"/>
                <w:b/>
                <w:bCs/>
                <w:szCs w:val="21"/>
              </w:rPr>
              <w:t>6-1</w:t>
            </w:r>
            <w:r>
              <w:rPr>
                <w:b/>
                <w:bCs/>
                <w:szCs w:val="21"/>
              </w:rPr>
              <w:t xml:space="preserve">  </w:t>
            </w:r>
            <w:r>
              <w:rPr>
                <w:rFonts w:hint="eastAsia"/>
                <w:b/>
                <w:bCs/>
                <w:szCs w:val="21"/>
              </w:rPr>
              <w:t>环境空气</w:t>
            </w:r>
            <w:r>
              <w:rPr>
                <w:b/>
                <w:bCs/>
                <w:szCs w:val="21"/>
              </w:rPr>
              <w:t>SO</w:t>
            </w:r>
            <w:r>
              <w:rPr>
                <w:b/>
                <w:bCs/>
                <w:szCs w:val="21"/>
                <w:vertAlign w:val="subscript"/>
              </w:rPr>
              <w:t>2</w:t>
            </w:r>
            <w:r>
              <w:rPr>
                <w:rFonts w:hint="eastAsia"/>
                <w:b/>
                <w:bCs/>
                <w:szCs w:val="21"/>
              </w:rPr>
              <w:t>、</w:t>
            </w:r>
            <w:r>
              <w:rPr>
                <w:b/>
                <w:szCs w:val="21"/>
              </w:rPr>
              <w:t>NO</w:t>
            </w:r>
            <w:r>
              <w:rPr>
                <w:b/>
                <w:szCs w:val="21"/>
                <w:vertAlign w:val="subscript"/>
              </w:rPr>
              <w:t>2</w:t>
            </w:r>
            <w:r>
              <w:rPr>
                <w:rFonts w:hint="eastAsia"/>
                <w:b/>
                <w:szCs w:val="21"/>
              </w:rPr>
              <w:t>、CO（一次） 1小时平均浓度</w:t>
            </w:r>
            <w:r>
              <w:rPr>
                <w:rFonts w:hint="eastAsia"/>
                <w:b/>
                <w:bCs/>
                <w:szCs w:val="21"/>
              </w:rPr>
              <w:t>现状监测结果</w:t>
            </w:r>
            <w:r>
              <w:rPr>
                <w:b/>
                <w:bCs/>
                <w:szCs w:val="21"/>
              </w:rPr>
              <w:t xml:space="preserve"> </w:t>
            </w:r>
            <w:r>
              <w:rPr>
                <w:rFonts w:hint="eastAsia"/>
                <w:b/>
                <w:bCs/>
                <w:szCs w:val="21"/>
              </w:rPr>
              <w:t xml:space="preserve"> </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759"/>
              <w:gridCol w:w="1814"/>
              <w:gridCol w:w="1526"/>
              <w:gridCol w:w="15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trPr>
              <w:tc>
                <w:tcPr>
                  <w:tcW w:w="1276" w:type="dxa"/>
                  <w:vAlign w:val="center"/>
                </w:tcPr>
                <w:p>
                  <w:pPr>
                    <w:jc w:val="center"/>
                    <w:rPr>
                      <w:b/>
                      <w:bCs/>
                      <w:kern w:val="0"/>
                      <w:szCs w:val="21"/>
                    </w:rPr>
                  </w:pPr>
                  <w:r>
                    <w:rPr>
                      <w:b/>
                      <w:spacing w:val="-2"/>
                    </w:rPr>
                    <w:t>监测点位</w:t>
                  </w:r>
                </w:p>
              </w:tc>
              <w:tc>
                <w:tcPr>
                  <w:tcW w:w="2759" w:type="dxa"/>
                  <w:vAlign w:val="center"/>
                </w:tcPr>
                <w:p>
                  <w:pPr>
                    <w:jc w:val="center"/>
                    <w:rPr>
                      <w:b/>
                      <w:bCs/>
                      <w:kern w:val="0"/>
                      <w:szCs w:val="21"/>
                    </w:rPr>
                  </w:pPr>
                  <w:r>
                    <w:rPr>
                      <w:rFonts w:hint="eastAsia"/>
                      <w:b/>
                      <w:spacing w:val="-2"/>
                    </w:rPr>
                    <w:t>项目</w:t>
                  </w:r>
                </w:p>
              </w:tc>
              <w:tc>
                <w:tcPr>
                  <w:tcW w:w="1814" w:type="dxa"/>
                  <w:vAlign w:val="center"/>
                </w:tcPr>
                <w:p>
                  <w:pPr>
                    <w:jc w:val="center"/>
                    <w:rPr>
                      <w:b/>
                      <w:bCs/>
                      <w:kern w:val="0"/>
                      <w:szCs w:val="21"/>
                    </w:rPr>
                  </w:pPr>
                  <w:r>
                    <w:rPr>
                      <w:rFonts w:hint="eastAsia"/>
                      <w:b/>
                      <w:spacing w:val="-2"/>
                    </w:rPr>
                    <w:t>SO</w:t>
                  </w:r>
                  <w:r>
                    <w:rPr>
                      <w:rFonts w:hint="eastAsia"/>
                      <w:b/>
                      <w:spacing w:val="-2"/>
                      <w:vertAlign w:val="subscript"/>
                    </w:rPr>
                    <w:t>2</w:t>
                  </w:r>
                  <w:r>
                    <w:rPr>
                      <w:rFonts w:hint="eastAsia"/>
                      <w:b/>
                      <w:spacing w:val="-2"/>
                    </w:rPr>
                    <w:t>（</w:t>
                  </w:r>
                  <w:r>
                    <w:rPr>
                      <w:rFonts w:hint="eastAsia"/>
                      <w:b/>
                      <w:szCs w:val="21"/>
                    </w:rPr>
                    <w:t>μ</w:t>
                  </w:r>
                  <w:r>
                    <w:rPr>
                      <w:b/>
                      <w:szCs w:val="21"/>
                    </w:rPr>
                    <w:t>g/m</w:t>
                  </w:r>
                  <w:r>
                    <w:rPr>
                      <w:b/>
                      <w:szCs w:val="21"/>
                      <w:vertAlign w:val="superscript"/>
                    </w:rPr>
                    <w:t>3</w:t>
                  </w:r>
                  <w:r>
                    <w:rPr>
                      <w:rFonts w:hint="eastAsia"/>
                      <w:b/>
                      <w:spacing w:val="-2"/>
                    </w:rPr>
                    <w:t>）</w:t>
                  </w:r>
                </w:p>
              </w:tc>
              <w:tc>
                <w:tcPr>
                  <w:tcW w:w="1526" w:type="dxa"/>
                  <w:vAlign w:val="center"/>
                </w:tcPr>
                <w:p>
                  <w:pPr>
                    <w:jc w:val="center"/>
                    <w:rPr>
                      <w:b/>
                      <w:bCs/>
                      <w:kern w:val="0"/>
                      <w:szCs w:val="21"/>
                    </w:rPr>
                  </w:pPr>
                  <w:r>
                    <w:rPr>
                      <w:rFonts w:hint="eastAsia"/>
                      <w:b/>
                      <w:spacing w:val="-2"/>
                    </w:rPr>
                    <w:t>NO</w:t>
                  </w:r>
                  <w:r>
                    <w:rPr>
                      <w:rFonts w:hint="eastAsia"/>
                      <w:b/>
                      <w:spacing w:val="-2"/>
                      <w:vertAlign w:val="subscript"/>
                    </w:rPr>
                    <w:t>2</w:t>
                  </w:r>
                  <w:r>
                    <w:rPr>
                      <w:rFonts w:hint="eastAsia"/>
                      <w:b/>
                      <w:spacing w:val="-2"/>
                    </w:rPr>
                    <w:t>（</w:t>
                  </w:r>
                  <w:r>
                    <w:rPr>
                      <w:rFonts w:hint="eastAsia"/>
                      <w:b/>
                      <w:szCs w:val="21"/>
                    </w:rPr>
                    <w:t>μ</w:t>
                  </w:r>
                  <w:r>
                    <w:rPr>
                      <w:b/>
                      <w:szCs w:val="21"/>
                    </w:rPr>
                    <w:t>g/m</w:t>
                  </w:r>
                  <w:r>
                    <w:rPr>
                      <w:b/>
                      <w:szCs w:val="21"/>
                      <w:vertAlign w:val="superscript"/>
                    </w:rPr>
                    <w:t>3</w:t>
                  </w:r>
                  <w:r>
                    <w:rPr>
                      <w:rFonts w:hint="eastAsia"/>
                      <w:b/>
                      <w:spacing w:val="-2"/>
                    </w:rPr>
                    <w:t>）</w:t>
                  </w:r>
                </w:p>
              </w:tc>
              <w:tc>
                <w:tcPr>
                  <w:tcW w:w="1526" w:type="dxa"/>
                  <w:vAlign w:val="center"/>
                </w:tcPr>
                <w:p>
                  <w:pPr>
                    <w:jc w:val="center"/>
                    <w:rPr>
                      <w:b/>
                      <w:spacing w:val="-2"/>
                    </w:rPr>
                  </w:pPr>
                  <w:r>
                    <w:rPr>
                      <w:rFonts w:hint="eastAsia"/>
                      <w:b/>
                      <w:spacing w:val="-2"/>
                    </w:rPr>
                    <w:t>CO（</w:t>
                  </w:r>
                  <w:r>
                    <w:rPr>
                      <w:b/>
                      <w:bCs/>
                      <w:szCs w:val="21"/>
                    </w:rPr>
                    <w:t>mg/m</w:t>
                  </w:r>
                  <w:r>
                    <w:rPr>
                      <w:b/>
                      <w:bCs/>
                      <w:szCs w:val="21"/>
                      <w:vertAlign w:val="superscript"/>
                    </w:rPr>
                    <w:t>3</w:t>
                  </w:r>
                  <w:r>
                    <w:rPr>
                      <w:rFonts w:hint="eastAsia"/>
                      <w:b/>
                      <w:spacing w:val="-2"/>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276" w:type="dxa"/>
                  <w:vMerge w:val="restart"/>
                  <w:vAlign w:val="center"/>
                </w:tcPr>
                <w:p>
                  <w:pPr>
                    <w:jc w:val="center"/>
                    <w:rPr>
                      <w:bCs/>
                      <w:kern w:val="0"/>
                      <w:szCs w:val="21"/>
                    </w:rPr>
                  </w:pPr>
                  <w:r>
                    <w:rPr>
                      <w:spacing w:val="-2"/>
                    </w:rPr>
                    <w:t>1#</w:t>
                  </w:r>
                  <w:r>
                    <w:rPr>
                      <w:rFonts w:hint="eastAsia"/>
                      <w:spacing w:val="-2"/>
                    </w:rPr>
                    <w:t>污水站区</w:t>
                  </w:r>
                </w:p>
              </w:tc>
              <w:tc>
                <w:tcPr>
                  <w:tcW w:w="2759" w:type="dxa"/>
                  <w:vAlign w:val="center"/>
                </w:tcPr>
                <w:p>
                  <w:pPr>
                    <w:jc w:val="center"/>
                    <w:rPr>
                      <w:bCs/>
                      <w:kern w:val="0"/>
                      <w:szCs w:val="21"/>
                    </w:rPr>
                  </w:pPr>
                  <w:r>
                    <w:rPr>
                      <w:rFonts w:hint="eastAsia"/>
                      <w:spacing w:val="-2"/>
                    </w:rPr>
                    <w:t>1小时平均浓度范围μg/m</w:t>
                  </w:r>
                  <w:r>
                    <w:rPr>
                      <w:rFonts w:hint="eastAsia"/>
                      <w:spacing w:val="-2"/>
                      <w:vertAlign w:val="superscript"/>
                    </w:rPr>
                    <w:t>3</w:t>
                  </w:r>
                </w:p>
              </w:tc>
              <w:tc>
                <w:tcPr>
                  <w:tcW w:w="1814" w:type="dxa"/>
                  <w:vAlign w:val="center"/>
                </w:tcPr>
                <w:p>
                  <w:pPr>
                    <w:jc w:val="center"/>
                    <w:rPr>
                      <w:bCs/>
                      <w:kern w:val="0"/>
                      <w:szCs w:val="21"/>
                    </w:rPr>
                  </w:pPr>
                  <w:r>
                    <w:rPr>
                      <w:rFonts w:hint="eastAsia"/>
                      <w:spacing w:val="-2"/>
                    </w:rPr>
                    <w:t>9~13</w:t>
                  </w:r>
                </w:p>
              </w:tc>
              <w:tc>
                <w:tcPr>
                  <w:tcW w:w="1526" w:type="dxa"/>
                  <w:vAlign w:val="center"/>
                </w:tcPr>
                <w:p>
                  <w:pPr>
                    <w:jc w:val="center"/>
                    <w:rPr>
                      <w:bCs/>
                      <w:kern w:val="0"/>
                      <w:szCs w:val="21"/>
                    </w:rPr>
                  </w:pPr>
                  <w:r>
                    <w:rPr>
                      <w:rFonts w:hint="eastAsia"/>
                      <w:spacing w:val="-2"/>
                    </w:rPr>
                    <w:t>11~13</w:t>
                  </w:r>
                </w:p>
              </w:tc>
              <w:tc>
                <w:tcPr>
                  <w:tcW w:w="1526" w:type="dxa"/>
                  <w:vAlign w:val="center"/>
                </w:tcPr>
                <w:p>
                  <w:pPr>
                    <w:jc w:val="center"/>
                    <w:rPr>
                      <w:spacing w:val="-2"/>
                    </w:rPr>
                  </w:pPr>
                  <w:r>
                    <w:rPr>
                      <w:rFonts w:hint="eastAsia"/>
                      <w:spacing w:val="-2"/>
                    </w:rPr>
                    <w:t>0.4~0.8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276" w:type="dxa"/>
                  <w:vMerge w:val="continue"/>
                  <w:vAlign w:val="center"/>
                </w:tcPr>
                <w:p>
                  <w:pPr>
                    <w:jc w:val="center"/>
                    <w:rPr>
                      <w:bCs/>
                      <w:kern w:val="0"/>
                      <w:szCs w:val="21"/>
                    </w:rPr>
                  </w:pPr>
                </w:p>
              </w:tc>
              <w:tc>
                <w:tcPr>
                  <w:tcW w:w="2759" w:type="dxa"/>
                  <w:vAlign w:val="center"/>
                </w:tcPr>
                <w:p>
                  <w:pPr>
                    <w:jc w:val="center"/>
                    <w:rPr>
                      <w:bCs/>
                      <w:kern w:val="0"/>
                      <w:szCs w:val="21"/>
                    </w:rPr>
                  </w:pPr>
                  <w:r>
                    <w:rPr>
                      <w:rFonts w:hint="eastAsia"/>
                      <w:spacing w:val="-2"/>
                    </w:rPr>
                    <w:t>超标率%</w:t>
                  </w:r>
                </w:p>
              </w:tc>
              <w:tc>
                <w:tcPr>
                  <w:tcW w:w="1814" w:type="dxa"/>
                  <w:vAlign w:val="center"/>
                </w:tcPr>
                <w:p>
                  <w:pPr>
                    <w:jc w:val="center"/>
                    <w:rPr>
                      <w:bCs/>
                      <w:kern w:val="0"/>
                      <w:szCs w:val="21"/>
                    </w:rPr>
                  </w:pPr>
                  <w:r>
                    <w:rPr>
                      <w:rFonts w:hint="eastAsia"/>
                      <w:bCs/>
                      <w:kern w:val="0"/>
                      <w:szCs w:val="21"/>
                    </w:rPr>
                    <w:t>0</w:t>
                  </w:r>
                </w:p>
              </w:tc>
              <w:tc>
                <w:tcPr>
                  <w:tcW w:w="1526" w:type="dxa"/>
                  <w:vAlign w:val="center"/>
                </w:tcPr>
                <w:p>
                  <w:pPr>
                    <w:jc w:val="center"/>
                    <w:rPr>
                      <w:bCs/>
                      <w:kern w:val="0"/>
                      <w:szCs w:val="21"/>
                    </w:rPr>
                  </w:pPr>
                  <w:r>
                    <w:rPr>
                      <w:spacing w:val="-2"/>
                    </w:rPr>
                    <w:t>0</w:t>
                  </w:r>
                </w:p>
              </w:tc>
              <w:tc>
                <w:tcPr>
                  <w:tcW w:w="1526" w:type="dxa"/>
                  <w:vAlign w:val="center"/>
                </w:tcPr>
                <w:p>
                  <w:pPr>
                    <w:jc w:val="center"/>
                    <w:rPr>
                      <w:spacing w:val="-2"/>
                    </w:rPr>
                  </w:pPr>
                  <w:r>
                    <w:rPr>
                      <w:rFonts w:hint="eastAsia"/>
                      <w:spacing w:val="-2"/>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trPr>
              <w:tc>
                <w:tcPr>
                  <w:tcW w:w="1276" w:type="dxa"/>
                  <w:vMerge w:val="continue"/>
                  <w:vAlign w:val="center"/>
                </w:tcPr>
                <w:p>
                  <w:pPr>
                    <w:jc w:val="center"/>
                    <w:rPr>
                      <w:bCs/>
                      <w:kern w:val="0"/>
                      <w:szCs w:val="21"/>
                    </w:rPr>
                  </w:pPr>
                </w:p>
              </w:tc>
              <w:tc>
                <w:tcPr>
                  <w:tcW w:w="2759" w:type="dxa"/>
                  <w:vAlign w:val="center"/>
                </w:tcPr>
                <w:p>
                  <w:pPr>
                    <w:jc w:val="center"/>
                    <w:rPr>
                      <w:bCs/>
                      <w:kern w:val="0"/>
                      <w:szCs w:val="21"/>
                    </w:rPr>
                  </w:pPr>
                  <w:r>
                    <w:rPr>
                      <w:rFonts w:hint="eastAsia"/>
                      <w:spacing w:val="-2"/>
                    </w:rPr>
                    <w:t>标准值μg/m</w:t>
                  </w:r>
                  <w:r>
                    <w:rPr>
                      <w:rFonts w:hint="eastAsia"/>
                      <w:spacing w:val="-2"/>
                      <w:vertAlign w:val="superscript"/>
                    </w:rPr>
                    <w:t>3</w:t>
                  </w:r>
                </w:p>
              </w:tc>
              <w:tc>
                <w:tcPr>
                  <w:tcW w:w="1814" w:type="dxa"/>
                  <w:vAlign w:val="center"/>
                </w:tcPr>
                <w:p>
                  <w:pPr>
                    <w:jc w:val="center"/>
                    <w:rPr>
                      <w:bCs/>
                      <w:kern w:val="0"/>
                      <w:szCs w:val="21"/>
                    </w:rPr>
                  </w:pPr>
                  <w:r>
                    <w:rPr>
                      <w:rFonts w:hint="eastAsia"/>
                      <w:spacing w:val="-2"/>
                    </w:rPr>
                    <w:t>500</w:t>
                  </w:r>
                </w:p>
              </w:tc>
              <w:tc>
                <w:tcPr>
                  <w:tcW w:w="1526" w:type="dxa"/>
                  <w:vAlign w:val="center"/>
                </w:tcPr>
                <w:p>
                  <w:pPr>
                    <w:jc w:val="center"/>
                    <w:rPr>
                      <w:bCs/>
                      <w:kern w:val="0"/>
                      <w:szCs w:val="21"/>
                    </w:rPr>
                  </w:pPr>
                  <w:r>
                    <w:rPr>
                      <w:rFonts w:hint="eastAsia"/>
                      <w:spacing w:val="-2"/>
                    </w:rPr>
                    <w:t>200</w:t>
                  </w:r>
                </w:p>
              </w:tc>
              <w:tc>
                <w:tcPr>
                  <w:tcW w:w="1526" w:type="dxa"/>
                  <w:vAlign w:val="center"/>
                </w:tcPr>
                <w:p>
                  <w:pPr>
                    <w:jc w:val="center"/>
                    <w:rPr>
                      <w:spacing w:val="-2"/>
                    </w:rPr>
                  </w:pPr>
                  <w:r>
                    <w:rPr>
                      <w:rFonts w:hint="eastAsia"/>
                      <w:spacing w:val="-2"/>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trPr>
              <w:tc>
                <w:tcPr>
                  <w:tcW w:w="1276" w:type="dxa"/>
                  <w:vMerge w:val="continue"/>
                  <w:vAlign w:val="center"/>
                </w:tcPr>
                <w:p>
                  <w:pPr>
                    <w:jc w:val="center"/>
                    <w:rPr>
                      <w:spacing w:val="-2"/>
                    </w:rPr>
                  </w:pPr>
                </w:p>
              </w:tc>
              <w:tc>
                <w:tcPr>
                  <w:tcW w:w="2759" w:type="dxa"/>
                  <w:vAlign w:val="center"/>
                </w:tcPr>
                <w:p>
                  <w:pPr>
                    <w:jc w:val="center"/>
                    <w:rPr>
                      <w:spacing w:val="-2"/>
                    </w:rPr>
                  </w:pPr>
                  <w:r>
                    <w:rPr>
                      <w:rFonts w:hint="eastAsia"/>
                      <w:spacing w:val="-2"/>
                    </w:rPr>
                    <w:t>标准指数范围</w:t>
                  </w:r>
                </w:p>
              </w:tc>
              <w:tc>
                <w:tcPr>
                  <w:tcW w:w="1814" w:type="dxa"/>
                  <w:vAlign w:val="center"/>
                </w:tcPr>
                <w:p>
                  <w:pPr>
                    <w:jc w:val="center"/>
                    <w:rPr>
                      <w:spacing w:val="-2"/>
                    </w:rPr>
                  </w:pPr>
                  <w:r>
                    <w:rPr>
                      <w:rFonts w:hint="eastAsia"/>
                      <w:spacing w:val="-2"/>
                    </w:rPr>
                    <w:t>0.018~0.026</w:t>
                  </w:r>
                </w:p>
              </w:tc>
              <w:tc>
                <w:tcPr>
                  <w:tcW w:w="1526" w:type="dxa"/>
                  <w:vAlign w:val="center"/>
                </w:tcPr>
                <w:p>
                  <w:pPr>
                    <w:jc w:val="center"/>
                    <w:rPr>
                      <w:spacing w:val="-2"/>
                    </w:rPr>
                  </w:pPr>
                  <w:r>
                    <w:rPr>
                      <w:rFonts w:hint="eastAsia"/>
                      <w:spacing w:val="-2"/>
                    </w:rPr>
                    <w:t>0.055~0.065</w:t>
                  </w:r>
                </w:p>
              </w:tc>
              <w:tc>
                <w:tcPr>
                  <w:tcW w:w="1526" w:type="dxa"/>
                  <w:vAlign w:val="center"/>
                </w:tcPr>
                <w:p>
                  <w:pPr>
                    <w:jc w:val="center"/>
                    <w:rPr>
                      <w:spacing w:val="-2"/>
                    </w:rPr>
                  </w:pPr>
                  <w:r>
                    <w:rPr>
                      <w:rFonts w:hint="eastAsia"/>
                      <w:spacing w:val="-2"/>
                    </w:rPr>
                    <w:t>0.04~0.08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trPr>
              <w:tc>
                <w:tcPr>
                  <w:tcW w:w="1276" w:type="dxa"/>
                  <w:vMerge w:val="restart"/>
                  <w:vAlign w:val="center"/>
                </w:tcPr>
                <w:p>
                  <w:pPr>
                    <w:jc w:val="center"/>
                    <w:rPr>
                      <w:spacing w:val="-2"/>
                    </w:rPr>
                  </w:pPr>
                  <w:r>
                    <w:rPr>
                      <w:spacing w:val="-2"/>
                    </w:rPr>
                    <w:t>2#</w:t>
                  </w:r>
                  <w:r>
                    <w:rPr>
                      <w:rFonts w:hint="eastAsia"/>
                      <w:spacing w:val="-2"/>
                    </w:rPr>
                    <w:t>太昌镇政府</w:t>
                  </w:r>
                </w:p>
              </w:tc>
              <w:tc>
                <w:tcPr>
                  <w:tcW w:w="2759" w:type="dxa"/>
                  <w:vAlign w:val="center"/>
                </w:tcPr>
                <w:p>
                  <w:pPr>
                    <w:jc w:val="center"/>
                    <w:rPr>
                      <w:spacing w:val="-2"/>
                    </w:rPr>
                  </w:pPr>
                  <w:r>
                    <w:rPr>
                      <w:rFonts w:hint="eastAsia"/>
                      <w:spacing w:val="-2"/>
                    </w:rPr>
                    <w:t>1小时平均浓度范围μg/m</w:t>
                  </w:r>
                  <w:r>
                    <w:rPr>
                      <w:rFonts w:hint="eastAsia"/>
                      <w:spacing w:val="-2"/>
                      <w:vertAlign w:val="superscript"/>
                    </w:rPr>
                    <w:t>3</w:t>
                  </w:r>
                </w:p>
              </w:tc>
              <w:tc>
                <w:tcPr>
                  <w:tcW w:w="1814" w:type="dxa"/>
                  <w:vAlign w:val="center"/>
                </w:tcPr>
                <w:p>
                  <w:pPr>
                    <w:jc w:val="center"/>
                    <w:rPr>
                      <w:spacing w:val="-2"/>
                    </w:rPr>
                  </w:pPr>
                  <w:r>
                    <w:rPr>
                      <w:rFonts w:hint="eastAsia"/>
                      <w:spacing w:val="-2"/>
                    </w:rPr>
                    <w:t>9~13</w:t>
                  </w:r>
                </w:p>
              </w:tc>
              <w:tc>
                <w:tcPr>
                  <w:tcW w:w="1526" w:type="dxa"/>
                  <w:vAlign w:val="center"/>
                </w:tcPr>
                <w:p>
                  <w:pPr>
                    <w:jc w:val="center"/>
                    <w:rPr>
                      <w:spacing w:val="-2"/>
                    </w:rPr>
                  </w:pPr>
                  <w:r>
                    <w:rPr>
                      <w:rFonts w:hint="eastAsia"/>
                      <w:spacing w:val="-2"/>
                    </w:rPr>
                    <w:t>12~14</w:t>
                  </w:r>
                </w:p>
              </w:tc>
              <w:tc>
                <w:tcPr>
                  <w:tcW w:w="1526" w:type="dxa"/>
                  <w:vAlign w:val="center"/>
                </w:tcPr>
                <w:p>
                  <w:pPr>
                    <w:jc w:val="center"/>
                    <w:rPr>
                      <w:spacing w:val="-2"/>
                    </w:rPr>
                  </w:pPr>
                  <w:r>
                    <w:rPr>
                      <w:rFonts w:hint="eastAsia"/>
                      <w:spacing w:val="-2"/>
                    </w:rPr>
                    <w:t>0.4~0.8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trPr>
              <w:tc>
                <w:tcPr>
                  <w:tcW w:w="1276" w:type="dxa"/>
                  <w:vMerge w:val="continue"/>
                  <w:vAlign w:val="center"/>
                </w:tcPr>
                <w:p>
                  <w:pPr>
                    <w:jc w:val="center"/>
                    <w:rPr>
                      <w:spacing w:val="-2"/>
                    </w:rPr>
                  </w:pPr>
                </w:p>
              </w:tc>
              <w:tc>
                <w:tcPr>
                  <w:tcW w:w="2759" w:type="dxa"/>
                  <w:vAlign w:val="center"/>
                </w:tcPr>
                <w:p>
                  <w:pPr>
                    <w:jc w:val="center"/>
                    <w:rPr>
                      <w:spacing w:val="-2"/>
                    </w:rPr>
                  </w:pPr>
                  <w:r>
                    <w:rPr>
                      <w:rFonts w:hint="eastAsia"/>
                      <w:spacing w:val="-2"/>
                    </w:rPr>
                    <w:t>超标率%</w:t>
                  </w:r>
                </w:p>
              </w:tc>
              <w:tc>
                <w:tcPr>
                  <w:tcW w:w="1814" w:type="dxa"/>
                  <w:vAlign w:val="center"/>
                </w:tcPr>
                <w:p>
                  <w:pPr>
                    <w:jc w:val="center"/>
                    <w:rPr>
                      <w:spacing w:val="-2"/>
                    </w:rPr>
                  </w:pPr>
                  <w:r>
                    <w:rPr>
                      <w:rFonts w:hint="eastAsia"/>
                      <w:spacing w:val="-2"/>
                    </w:rPr>
                    <w:t>0</w:t>
                  </w:r>
                </w:p>
              </w:tc>
              <w:tc>
                <w:tcPr>
                  <w:tcW w:w="1526" w:type="dxa"/>
                  <w:vAlign w:val="center"/>
                </w:tcPr>
                <w:p>
                  <w:pPr>
                    <w:jc w:val="center"/>
                    <w:rPr>
                      <w:spacing w:val="-2"/>
                    </w:rPr>
                  </w:pPr>
                  <w:r>
                    <w:rPr>
                      <w:rFonts w:hint="eastAsia"/>
                      <w:spacing w:val="-2"/>
                    </w:rPr>
                    <w:t>0</w:t>
                  </w:r>
                </w:p>
              </w:tc>
              <w:tc>
                <w:tcPr>
                  <w:tcW w:w="1526" w:type="dxa"/>
                  <w:vAlign w:val="center"/>
                </w:tcPr>
                <w:p>
                  <w:pPr>
                    <w:jc w:val="center"/>
                    <w:rPr>
                      <w:spacing w:val="-2"/>
                    </w:rPr>
                  </w:pPr>
                  <w:r>
                    <w:rPr>
                      <w:rFonts w:hint="eastAsia"/>
                      <w:spacing w:val="-2"/>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trPr>
              <w:tc>
                <w:tcPr>
                  <w:tcW w:w="1276" w:type="dxa"/>
                  <w:vMerge w:val="continue"/>
                  <w:vAlign w:val="center"/>
                </w:tcPr>
                <w:p>
                  <w:pPr>
                    <w:jc w:val="center"/>
                    <w:rPr>
                      <w:spacing w:val="-2"/>
                    </w:rPr>
                  </w:pPr>
                </w:p>
              </w:tc>
              <w:tc>
                <w:tcPr>
                  <w:tcW w:w="2759" w:type="dxa"/>
                  <w:vAlign w:val="center"/>
                </w:tcPr>
                <w:p>
                  <w:pPr>
                    <w:jc w:val="center"/>
                    <w:rPr>
                      <w:spacing w:val="-2"/>
                    </w:rPr>
                  </w:pPr>
                  <w:r>
                    <w:rPr>
                      <w:rFonts w:hint="eastAsia"/>
                      <w:spacing w:val="-2"/>
                    </w:rPr>
                    <w:t>标准值μg/m</w:t>
                  </w:r>
                  <w:r>
                    <w:rPr>
                      <w:rFonts w:hint="eastAsia"/>
                      <w:spacing w:val="-2"/>
                      <w:vertAlign w:val="superscript"/>
                    </w:rPr>
                    <w:t>3</w:t>
                  </w:r>
                </w:p>
              </w:tc>
              <w:tc>
                <w:tcPr>
                  <w:tcW w:w="1814" w:type="dxa"/>
                  <w:vAlign w:val="center"/>
                </w:tcPr>
                <w:p>
                  <w:pPr>
                    <w:jc w:val="center"/>
                    <w:rPr>
                      <w:spacing w:val="-2"/>
                    </w:rPr>
                  </w:pPr>
                  <w:r>
                    <w:rPr>
                      <w:rFonts w:hint="eastAsia"/>
                      <w:spacing w:val="-2"/>
                    </w:rPr>
                    <w:t>500</w:t>
                  </w:r>
                </w:p>
              </w:tc>
              <w:tc>
                <w:tcPr>
                  <w:tcW w:w="1526" w:type="dxa"/>
                  <w:vAlign w:val="center"/>
                </w:tcPr>
                <w:p>
                  <w:pPr>
                    <w:jc w:val="center"/>
                    <w:rPr>
                      <w:spacing w:val="-2"/>
                    </w:rPr>
                  </w:pPr>
                  <w:r>
                    <w:rPr>
                      <w:rFonts w:hint="eastAsia"/>
                      <w:spacing w:val="-2"/>
                    </w:rPr>
                    <w:t>200</w:t>
                  </w:r>
                </w:p>
              </w:tc>
              <w:tc>
                <w:tcPr>
                  <w:tcW w:w="1526" w:type="dxa"/>
                  <w:vAlign w:val="center"/>
                </w:tcPr>
                <w:p>
                  <w:pPr>
                    <w:jc w:val="center"/>
                    <w:rPr>
                      <w:spacing w:val="-2"/>
                    </w:rPr>
                  </w:pPr>
                  <w:r>
                    <w:rPr>
                      <w:rFonts w:hint="eastAsia"/>
                      <w:spacing w:val="-2"/>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trPr>
              <w:tc>
                <w:tcPr>
                  <w:tcW w:w="1276" w:type="dxa"/>
                  <w:vMerge w:val="continue"/>
                  <w:vAlign w:val="center"/>
                </w:tcPr>
                <w:p>
                  <w:pPr>
                    <w:jc w:val="center"/>
                    <w:rPr>
                      <w:spacing w:val="-2"/>
                    </w:rPr>
                  </w:pPr>
                </w:p>
              </w:tc>
              <w:tc>
                <w:tcPr>
                  <w:tcW w:w="2759" w:type="dxa"/>
                  <w:vAlign w:val="center"/>
                </w:tcPr>
                <w:p>
                  <w:pPr>
                    <w:jc w:val="center"/>
                    <w:rPr>
                      <w:spacing w:val="-2"/>
                    </w:rPr>
                  </w:pPr>
                  <w:r>
                    <w:rPr>
                      <w:rFonts w:hint="eastAsia"/>
                      <w:spacing w:val="-2"/>
                    </w:rPr>
                    <w:t>标准指数范围</w:t>
                  </w:r>
                </w:p>
              </w:tc>
              <w:tc>
                <w:tcPr>
                  <w:tcW w:w="1814" w:type="dxa"/>
                  <w:vAlign w:val="center"/>
                </w:tcPr>
                <w:p>
                  <w:pPr>
                    <w:jc w:val="center"/>
                    <w:rPr>
                      <w:spacing w:val="-2"/>
                    </w:rPr>
                  </w:pPr>
                  <w:r>
                    <w:rPr>
                      <w:rFonts w:hint="eastAsia"/>
                      <w:spacing w:val="-2"/>
                    </w:rPr>
                    <w:t>0.018~0.026</w:t>
                  </w:r>
                </w:p>
              </w:tc>
              <w:tc>
                <w:tcPr>
                  <w:tcW w:w="1526" w:type="dxa"/>
                  <w:vAlign w:val="center"/>
                </w:tcPr>
                <w:p>
                  <w:pPr>
                    <w:jc w:val="center"/>
                    <w:rPr>
                      <w:spacing w:val="-2"/>
                    </w:rPr>
                  </w:pPr>
                  <w:r>
                    <w:rPr>
                      <w:rFonts w:hint="eastAsia"/>
                      <w:spacing w:val="-2"/>
                    </w:rPr>
                    <w:t>0.06~0.07</w:t>
                  </w:r>
                </w:p>
              </w:tc>
              <w:tc>
                <w:tcPr>
                  <w:tcW w:w="1526" w:type="dxa"/>
                  <w:vAlign w:val="center"/>
                </w:tcPr>
                <w:p>
                  <w:pPr>
                    <w:jc w:val="center"/>
                    <w:rPr>
                      <w:spacing w:val="-2"/>
                    </w:rPr>
                  </w:pPr>
                  <w:r>
                    <w:rPr>
                      <w:rFonts w:hint="eastAsia"/>
                      <w:spacing w:val="-2"/>
                    </w:rPr>
                    <w:t>0.04~0.08</w:t>
                  </w:r>
                </w:p>
              </w:tc>
            </w:tr>
          </w:tbl>
          <w:p>
            <w:pPr>
              <w:spacing w:line="360" w:lineRule="auto"/>
              <w:ind w:firstLine="413" w:firstLineChars="196"/>
              <w:jc w:val="center"/>
              <w:rPr>
                <w:b/>
                <w:szCs w:val="21"/>
              </w:rPr>
            </w:pPr>
            <w:r>
              <w:rPr>
                <w:rFonts w:hint="eastAsia"/>
                <w:b/>
                <w:szCs w:val="21"/>
              </w:rPr>
              <w:t>表16-2  环境空气24小时平均浓度现状监测结果</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40"/>
              <w:gridCol w:w="2521"/>
              <w:gridCol w:w="1253"/>
              <w:gridCol w:w="1554"/>
              <w:gridCol w:w="1253"/>
              <w:gridCol w:w="11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trPr>
              <w:tc>
                <w:tcPr>
                  <w:tcW w:w="1140" w:type="dxa"/>
                  <w:vAlign w:val="center"/>
                </w:tcPr>
                <w:p>
                  <w:pPr>
                    <w:jc w:val="center"/>
                    <w:rPr>
                      <w:b/>
                      <w:bCs/>
                      <w:kern w:val="0"/>
                      <w:szCs w:val="21"/>
                    </w:rPr>
                  </w:pPr>
                  <w:r>
                    <w:rPr>
                      <w:b/>
                      <w:spacing w:val="-2"/>
                    </w:rPr>
                    <w:t>监测点位</w:t>
                  </w:r>
                </w:p>
              </w:tc>
              <w:tc>
                <w:tcPr>
                  <w:tcW w:w="2521" w:type="dxa"/>
                  <w:vAlign w:val="center"/>
                </w:tcPr>
                <w:p>
                  <w:pPr>
                    <w:jc w:val="center"/>
                    <w:rPr>
                      <w:b/>
                      <w:bCs/>
                      <w:kern w:val="0"/>
                      <w:szCs w:val="21"/>
                    </w:rPr>
                  </w:pPr>
                  <w:r>
                    <w:rPr>
                      <w:rFonts w:hint="eastAsia"/>
                      <w:b/>
                      <w:spacing w:val="-2"/>
                    </w:rPr>
                    <w:t>项目</w:t>
                  </w:r>
                </w:p>
              </w:tc>
              <w:tc>
                <w:tcPr>
                  <w:tcW w:w="1253" w:type="dxa"/>
                  <w:vAlign w:val="center"/>
                </w:tcPr>
                <w:p>
                  <w:pPr>
                    <w:jc w:val="center"/>
                    <w:rPr>
                      <w:b/>
                      <w:bCs/>
                      <w:kern w:val="0"/>
                      <w:szCs w:val="21"/>
                    </w:rPr>
                  </w:pPr>
                  <w:r>
                    <w:rPr>
                      <w:rFonts w:hint="eastAsia"/>
                      <w:b/>
                      <w:spacing w:val="-2"/>
                    </w:rPr>
                    <w:t>SO</w:t>
                  </w:r>
                  <w:r>
                    <w:rPr>
                      <w:rFonts w:hint="eastAsia"/>
                      <w:b/>
                      <w:spacing w:val="-2"/>
                      <w:vertAlign w:val="subscript"/>
                    </w:rPr>
                    <w:t>2</w:t>
                  </w:r>
                </w:p>
              </w:tc>
              <w:tc>
                <w:tcPr>
                  <w:tcW w:w="1554" w:type="dxa"/>
                  <w:vAlign w:val="center"/>
                </w:tcPr>
                <w:p>
                  <w:pPr>
                    <w:jc w:val="center"/>
                    <w:rPr>
                      <w:b/>
                      <w:bCs/>
                      <w:kern w:val="0"/>
                      <w:szCs w:val="21"/>
                    </w:rPr>
                  </w:pPr>
                  <w:r>
                    <w:rPr>
                      <w:rFonts w:hint="eastAsia"/>
                      <w:b/>
                      <w:spacing w:val="-2"/>
                    </w:rPr>
                    <w:t>NO</w:t>
                  </w:r>
                  <w:r>
                    <w:rPr>
                      <w:rFonts w:hint="eastAsia"/>
                      <w:b/>
                      <w:spacing w:val="-2"/>
                      <w:vertAlign w:val="subscript"/>
                    </w:rPr>
                    <w:t>2</w:t>
                  </w:r>
                </w:p>
              </w:tc>
              <w:tc>
                <w:tcPr>
                  <w:tcW w:w="1253" w:type="dxa"/>
                  <w:vAlign w:val="center"/>
                </w:tcPr>
                <w:p>
                  <w:pPr>
                    <w:jc w:val="center"/>
                    <w:rPr>
                      <w:b/>
                      <w:spacing w:val="-2"/>
                    </w:rPr>
                  </w:pPr>
                  <w:r>
                    <w:rPr>
                      <w:rFonts w:hint="eastAsia"/>
                      <w:b/>
                      <w:spacing w:val="-2"/>
                    </w:rPr>
                    <w:t>PM</w:t>
                  </w:r>
                  <w:r>
                    <w:rPr>
                      <w:rFonts w:hint="eastAsia"/>
                      <w:b/>
                      <w:spacing w:val="-2"/>
                      <w:vertAlign w:val="subscript"/>
                    </w:rPr>
                    <w:t>10</w:t>
                  </w:r>
                </w:p>
              </w:tc>
              <w:tc>
                <w:tcPr>
                  <w:tcW w:w="1180" w:type="dxa"/>
                  <w:vAlign w:val="center"/>
                </w:tcPr>
                <w:p>
                  <w:pPr>
                    <w:jc w:val="center"/>
                    <w:rPr>
                      <w:b/>
                      <w:spacing w:val="-2"/>
                    </w:rPr>
                  </w:pPr>
                  <w:r>
                    <w:rPr>
                      <w:rFonts w:hint="eastAsia"/>
                      <w:b/>
                      <w:spacing w:val="-2"/>
                    </w:rPr>
                    <w:t>TSP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140" w:type="dxa"/>
                  <w:vMerge w:val="restart"/>
                  <w:vAlign w:val="center"/>
                </w:tcPr>
                <w:p>
                  <w:pPr>
                    <w:jc w:val="center"/>
                    <w:rPr>
                      <w:bCs/>
                      <w:kern w:val="0"/>
                      <w:szCs w:val="21"/>
                    </w:rPr>
                  </w:pPr>
                  <w:r>
                    <w:rPr>
                      <w:spacing w:val="-2"/>
                    </w:rPr>
                    <w:t>1#</w:t>
                  </w:r>
                  <w:r>
                    <w:rPr>
                      <w:rFonts w:hint="eastAsia"/>
                      <w:spacing w:val="-2"/>
                    </w:rPr>
                    <w:t>污水站区</w:t>
                  </w:r>
                </w:p>
              </w:tc>
              <w:tc>
                <w:tcPr>
                  <w:tcW w:w="2521" w:type="dxa"/>
                  <w:vAlign w:val="center"/>
                </w:tcPr>
                <w:p>
                  <w:pPr>
                    <w:jc w:val="center"/>
                    <w:rPr>
                      <w:spacing w:val="-2"/>
                    </w:rPr>
                  </w:pPr>
                  <w:r>
                    <w:rPr>
                      <w:rFonts w:hint="eastAsia"/>
                      <w:spacing w:val="-2"/>
                    </w:rPr>
                    <w:t>24小时平均浓度范围</w:t>
                  </w:r>
                </w:p>
                <w:p>
                  <w:pPr>
                    <w:jc w:val="center"/>
                    <w:rPr>
                      <w:bCs/>
                      <w:kern w:val="0"/>
                      <w:szCs w:val="21"/>
                    </w:rPr>
                  </w:pPr>
                  <w:r>
                    <w:rPr>
                      <w:rFonts w:hint="eastAsia"/>
                      <w:spacing w:val="-2"/>
                    </w:rPr>
                    <w:t>μg/m</w:t>
                  </w:r>
                  <w:r>
                    <w:rPr>
                      <w:rFonts w:hint="eastAsia"/>
                      <w:spacing w:val="-2"/>
                      <w:vertAlign w:val="superscript"/>
                    </w:rPr>
                    <w:t>3</w:t>
                  </w:r>
                </w:p>
              </w:tc>
              <w:tc>
                <w:tcPr>
                  <w:tcW w:w="1253" w:type="dxa"/>
                  <w:vAlign w:val="center"/>
                </w:tcPr>
                <w:p>
                  <w:pPr>
                    <w:jc w:val="center"/>
                    <w:rPr>
                      <w:bCs/>
                      <w:kern w:val="0"/>
                      <w:szCs w:val="21"/>
                    </w:rPr>
                  </w:pPr>
                  <w:r>
                    <w:rPr>
                      <w:rFonts w:hint="eastAsia"/>
                      <w:bCs/>
                      <w:kern w:val="0"/>
                      <w:szCs w:val="21"/>
                    </w:rPr>
                    <w:t>9~12</w:t>
                  </w:r>
                </w:p>
              </w:tc>
              <w:tc>
                <w:tcPr>
                  <w:tcW w:w="1554" w:type="dxa"/>
                  <w:vAlign w:val="center"/>
                </w:tcPr>
                <w:p>
                  <w:pPr>
                    <w:jc w:val="center"/>
                    <w:rPr>
                      <w:bCs/>
                      <w:kern w:val="0"/>
                      <w:szCs w:val="21"/>
                    </w:rPr>
                  </w:pPr>
                  <w:r>
                    <w:rPr>
                      <w:rFonts w:hint="eastAsia"/>
                      <w:spacing w:val="-2"/>
                    </w:rPr>
                    <w:t>11~12</w:t>
                  </w:r>
                </w:p>
              </w:tc>
              <w:tc>
                <w:tcPr>
                  <w:tcW w:w="1253" w:type="dxa"/>
                  <w:vAlign w:val="center"/>
                </w:tcPr>
                <w:p>
                  <w:pPr>
                    <w:jc w:val="center"/>
                    <w:rPr>
                      <w:spacing w:val="-2"/>
                    </w:rPr>
                  </w:pPr>
                  <w:r>
                    <w:rPr>
                      <w:rFonts w:hint="eastAsia"/>
                      <w:spacing w:val="-2"/>
                    </w:rPr>
                    <w:t>102~106</w:t>
                  </w:r>
                </w:p>
              </w:tc>
              <w:tc>
                <w:tcPr>
                  <w:tcW w:w="1180" w:type="dxa"/>
                  <w:vAlign w:val="center"/>
                </w:tcPr>
                <w:p>
                  <w:pPr>
                    <w:jc w:val="center"/>
                    <w:rPr>
                      <w:spacing w:val="-2"/>
                    </w:rPr>
                  </w:pPr>
                  <w:r>
                    <w:rPr>
                      <w:rFonts w:hint="eastAsia"/>
                      <w:spacing w:val="-2"/>
                    </w:rPr>
                    <w:t>185~198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140" w:type="dxa"/>
                  <w:vMerge w:val="continue"/>
                  <w:vAlign w:val="center"/>
                </w:tcPr>
                <w:p>
                  <w:pPr>
                    <w:jc w:val="center"/>
                    <w:rPr>
                      <w:bCs/>
                      <w:kern w:val="0"/>
                      <w:szCs w:val="21"/>
                    </w:rPr>
                  </w:pPr>
                </w:p>
              </w:tc>
              <w:tc>
                <w:tcPr>
                  <w:tcW w:w="2521" w:type="dxa"/>
                  <w:vAlign w:val="center"/>
                </w:tcPr>
                <w:p>
                  <w:pPr>
                    <w:jc w:val="center"/>
                    <w:rPr>
                      <w:bCs/>
                      <w:kern w:val="0"/>
                      <w:szCs w:val="21"/>
                    </w:rPr>
                  </w:pPr>
                  <w:r>
                    <w:rPr>
                      <w:rFonts w:hint="eastAsia"/>
                      <w:spacing w:val="-2"/>
                    </w:rPr>
                    <w:t>超标率%</w:t>
                  </w:r>
                </w:p>
              </w:tc>
              <w:tc>
                <w:tcPr>
                  <w:tcW w:w="1253" w:type="dxa"/>
                  <w:vAlign w:val="center"/>
                </w:tcPr>
                <w:p>
                  <w:pPr>
                    <w:jc w:val="center"/>
                    <w:rPr>
                      <w:bCs/>
                      <w:kern w:val="0"/>
                      <w:szCs w:val="21"/>
                    </w:rPr>
                  </w:pPr>
                  <w:r>
                    <w:rPr>
                      <w:rFonts w:hint="eastAsia"/>
                      <w:bCs/>
                      <w:kern w:val="0"/>
                      <w:szCs w:val="21"/>
                    </w:rPr>
                    <w:t>0</w:t>
                  </w:r>
                </w:p>
              </w:tc>
              <w:tc>
                <w:tcPr>
                  <w:tcW w:w="1554" w:type="dxa"/>
                  <w:vAlign w:val="center"/>
                </w:tcPr>
                <w:p>
                  <w:pPr>
                    <w:jc w:val="center"/>
                    <w:rPr>
                      <w:bCs/>
                      <w:kern w:val="0"/>
                      <w:szCs w:val="21"/>
                    </w:rPr>
                  </w:pPr>
                  <w:r>
                    <w:rPr>
                      <w:spacing w:val="-2"/>
                    </w:rPr>
                    <w:t>0</w:t>
                  </w:r>
                </w:p>
              </w:tc>
              <w:tc>
                <w:tcPr>
                  <w:tcW w:w="1253" w:type="dxa"/>
                  <w:vAlign w:val="center"/>
                </w:tcPr>
                <w:p>
                  <w:pPr>
                    <w:jc w:val="center"/>
                    <w:rPr>
                      <w:spacing w:val="-2"/>
                    </w:rPr>
                  </w:pPr>
                  <w:r>
                    <w:rPr>
                      <w:rFonts w:hint="eastAsia"/>
                      <w:spacing w:val="-2"/>
                    </w:rPr>
                    <w:t>0</w:t>
                  </w:r>
                </w:p>
              </w:tc>
              <w:tc>
                <w:tcPr>
                  <w:tcW w:w="1180" w:type="dxa"/>
                  <w:vAlign w:val="center"/>
                </w:tcPr>
                <w:p>
                  <w:pPr>
                    <w:jc w:val="center"/>
                    <w:rPr>
                      <w:spacing w:val="-2"/>
                    </w:rPr>
                  </w:pPr>
                  <w:r>
                    <w:rPr>
                      <w:rFonts w:hint="eastAsia"/>
                      <w:spacing w:val="-2"/>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trPr>
              <w:tc>
                <w:tcPr>
                  <w:tcW w:w="1140" w:type="dxa"/>
                  <w:vMerge w:val="continue"/>
                  <w:vAlign w:val="center"/>
                </w:tcPr>
                <w:p>
                  <w:pPr>
                    <w:jc w:val="center"/>
                    <w:rPr>
                      <w:bCs/>
                      <w:kern w:val="0"/>
                      <w:szCs w:val="21"/>
                    </w:rPr>
                  </w:pPr>
                </w:p>
              </w:tc>
              <w:tc>
                <w:tcPr>
                  <w:tcW w:w="2521" w:type="dxa"/>
                  <w:vAlign w:val="center"/>
                </w:tcPr>
                <w:p>
                  <w:pPr>
                    <w:jc w:val="center"/>
                    <w:rPr>
                      <w:bCs/>
                      <w:kern w:val="0"/>
                      <w:szCs w:val="21"/>
                    </w:rPr>
                  </w:pPr>
                  <w:r>
                    <w:rPr>
                      <w:rFonts w:hint="eastAsia"/>
                      <w:spacing w:val="-2"/>
                    </w:rPr>
                    <w:t>标准值μg/m</w:t>
                  </w:r>
                  <w:r>
                    <w:rPr>
                      <w:rFonts w:hint="eastAsia"/>
                      <w:spacing w:val="-2"/>
                      <w:vertAlign w:val="superscript"/>
                    </w:rPr>
                    <w:t>3</w:t>
                  </w:r>
                </w:p>
              </w:tc>
              <w:tc>
                <w:tcPr>
                  <w:tcW w:w="1253" w:type="dxa"/>
                  <w:vAlign w:val="center"/>
                </w:tcPr>
                <w:p>
                  <w:pPr>
                    <w:jc w:val="center"/>
                    <w:rPr>
                      <w:bCs/>
                      <w:kern w:val="0"/>
                      <w:szCs w:val="21"/>
                    </w:rPr>
                  </w:pPr>
                  <w:r>
                    <w:rPr>
                      <w:rFonts w:hint="eastAsia"/>
                      <w:spacing w:val="-2"/>
                    </w:rPr>
                    <w:t>1</w:t>
                  </w:r>
                  <w:r>
                    <w:rPr>
                      <w:spacing w:val="-2"/>
                    </w:rPr>
                    <w:t>5</w:t>
                  </w:r>
                  <w:r>
                    <w:rPr>
                      <w:rFonts w:hint="eastAsia"/>
                      <w:spacing w:val="-2"/>
                    </w:rPr>
                    <w:t>0</w:t>
                  </w:r>
                </w:p>
              </w:tc>
              <w:tc>
                <w:tcPr>
                  <w:tcW w:w="1554" w:type="dxa"/>
                  <w:vAlign w:val="center"/>
                </w:tcPr>
                <w:p>
                  <w:pPr>
                    <w:jc w:val="center"/>
                    <w:rPr>
                      <w:bCs/>
                      <w:kern w:val="0"/>
                      <w:szCs w:val="21"/>
                    </w:rPr>
                  </w:pPr>
                  <w:r>
                    <w:rPr>
                      <w:rFonts w:hint="eastAsia"/>
                      <w:spacing w:val="-2"/>
                    </w:rPr>
                    <w:t>80</w:t>
                  </w:r>
                </w:p>
              </w:tc>
              <w:tc>
                <w:tcPr>
                  <w:tcW w:w="1253" w:type="dxa"/>
                  <w:vAlign w:val="center"/>
                </w:tcPr>
                <w:p>
                  <w:pPr>
                    <w:jc w:val="center"/>
                    <w:rPr>
                      <w:spacing w:val="-2"/>
                    </w:rPr>
                  </w:pPr>
                  <w:r>
                    <w:rPr>
                      <w:rFonts w:hint="eastAsia"/>
                      <w:spacing w:val="-2"/>
                    </w:rPr>
                    <w:t>150</w:t>
                  </w:r>
                </w:p>
              </w:tc>
              <w:tc>
                <w:tcPr>
                  <w:tcW w:w="1180" w:type="dxa"/>
                  <w:vAlign w:val="center"/>
                </w:tcPr>
                <w:p>
                  <w:pPr>
                    <w:jc w:val="center"/>
                    <w:rPr>
                      <w:spacing w:val="-2"/>
                    </w:rPr>
                  </w:pPr>
                  <w:r>
                    <w:rPr>
                      <w:rFonts w:hint="eastAsia"/>
                      <w:spacing w:val="-2"/>
                    </w:rPr>
                    <w:t>300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trPr>
              <w:tc>
                <w:tcPr>
                  <w:tcW w:w="1140" w:type="dxa"/>
                  <w:vMerge w:val="continue"/>
                  <w:vAlign w:val="center"/>
                </w:tcPr>
                <w:p>
                  <w:pPr>
                    <w:jc w:val="center"/>
                    <w:rPr>
                      <w:spacing w:val="-2"/>
                    </w:rPr>
                  </w:pPr>
                </w:p>
              </w:tc>
              <w:tc>
                <w:tcPr>
                  <w:tcW w:w="2521" w:type="dxa"/>
                  <w:vAlign w:val="center"/>
                </w:tcPr>
                <w:p>
                  <w:pPr>
                    <w:jc w:val="center"/>
                    <w:rPr>
                      <w:spacing w:val="-2"/>
                    </w:rPr>
                  </w:pPr>
                  <w:r>
                    <w:rPr>
                      <w:rFonts w:hint="eastAsia"/>
                      <w:spacing w:val="-2"/>
                    </w:rPr>
                    <w:t>标准指数范围</w:t>
                  </w:r>
                </w:p>
              </w:tc>
              <w:tc>
                <w:tcPr>
                  <w:tcW w:w="1253" w:type="dxa"/>
                  <w:vAlign w:val="center"/>
                </w:tcPr>
                <w:p>
                  <w:pPr>
                    <w:jc w:val="center"/>
                    <w:rPr>
                      <w:spacing w:val="-2"/>
                    </w:rPr>
                  </w:pPr>
                  <w:r>
                    <w:rPr>
                      <w:rFonts w:hint="eastAsia"/>
                      <w:spacing w:val="-2"/>
                    </w:rPr>
                    <w:t>0.06~0.08</w:t>
                  </w:r>
                </w:p>
              </w:tc>
              <w:tc>
                <w:tcPr>
                  <w:tcW w:w="1554" w:type="dxa"/>
                  <w:vAlign w:val="center"/>
                </w:tcPr>
                <w:p>
                  <w:pPr>
                    <w:jc w:val="center"/>
                    <w:rPr>
                      <w:spacing w:val="-2"/>
                    </w:rPr>
                  </w:pPr>
                  <w:r>
                    <w:rPr>
                      <w:rFonts w:hint="eastAsia"/>
                      <w:spacing w:val="-2"/>
                    </w:rPr>
                    <w:t>0.1375~0.15</w:t>
                  </w:r>
                </w:p>
              </w:tc>
              <w:tc>
                <w:tcPr>
                  <w:tcW w:w="1253" w:type="dxa"/>
                  <w:vAlign w:val="center"/>
                </w:tcPr>
                <w:p>
                  <w:pPr>
                    <w:jc w:val="center"/>
                    <w:rPr>
                      <w:spacing w:val="-2"/>
                    </w:rPr>
                  </w:pPr>
                  <w:r>
                    <w:rPr>
                      <w:rFonts w:hint="eastAsia"/>
                      <w:spacing w:val="-2"/>
                    </w:rPr>
                    <w:t>0.68~0.71</w:t>
                  </w:r>
                </w:p>
              </w:tc>
              <w:tc>
                <w:tcPr>
                  <w:tcW w:w="1180" w:type="dxa"/>
                  <w:vAlign w:val="center"/>
                </w:tcPr>
                <w:p>
                  <w:pPr>
                    <w:jc w:val="center"/>
                    <w:rPr>
                      <w:spacing w:val="-2"/>
                    </w:rPr>
                  </w:pPr>
                  <w:r>
                    <w:rPr>
                      <w:rFonts w:hint="eastAsia"/>
                      <w:spacing w:val="-2"/>
                    </w:rPr>
                    <w:t>0.62~0.66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trPr>
              <w:tc>
                <w:tcPr>
                  <w:tcW w:w="1140" w:type="dxa"/>
                  <w:vMerge w:val="restart"/>
                  <w:vAlign w:val="center"/>
                </w:tcPr>
                <w:p>
                  <w:pPr>
                    <w:jc w:val="center"/>
                    <w:rPr>
                      <w:spacing w:val="-2"/>
                    </w:rPr>
                  </w:pPr>
                  <w:r>
                    <w:rPr>
                      <w:spacing w:val="-2"/>
                    </w:rPr>
                    <w:t>2#</w:t>
                  </w:r>
                  <w:r>
                    <w:rPr>
                      <w:rFonts w:hint="eastAsia"/>
                      <w:spacing w:val="-2"/>
                    </w:rPr>
                    <w:t>太昌镇政府</w:t>
                  </w:r>
                </w:p>
              </w:tc>
              <w:tc>
                <w:tcPr>
                  <w:tcW w:w="2521" w:type="dxa"/>
                  <w:vAlign w:val="center"/>
                </w:tcPr>
                <w:p>
                  <w:pPr>
                    <w:jc w:val="center"/>
                    <w:rPr>
                      <w:spacing w:val="-2"/>
                    </w:rPr>
                  </w:pPr>
                  <w:r>
                    <w:rPr>
                      <w:rFonts w:hint="eastAsia"/>
                      <w:spacing w:val="-2"/>
                    </w:rPr>
                    <w:t>24小时平均浓度范围</w:t>
                  </w:r>
                </w:p>
                <w:p>
                  <w:pPr>
                    <w:jc w:val="center"/>
                    <w:rPr>
                      <w:spacing w:val="-2"/>
                    </w:rPr>
                  </w:pPr>
                  <w:r>
                    <w:rPr>
                      <w:rFonts w:hint="eastAsia"/>
                      <w:spacing w:val="-2"/>
                    </w:rPr>
                    <w:t>μg/m</w:t>
                  </w:r>
                  <w:r>
                    <w:rPr>
                      <w:rFonts w:hint="eastAsia"/>
                      <w:spacing w:val="-2"/>
                      <w:vertAlign w:val="superscript"/>
                    </w:rPr>
                    <w:t>3</w:t>
                  </w:r>
                </w:p>
              </w:tc>
              <w:tc>
                <w:tcPr>
                  <w:tcW w:w="1253" w:type="dxa"/>
                  <w:vAlign w:val="center"/>
                </w:tcPr>
                <w:p>
                  <w:pPr>
                    <w:jc w:val="center"/>
                    <w:rPr>
                      <w:spacing w:val="-2"/>
                    </w:rPr>
                  </w:pPr>
                  <w:r>
                    <w:rPr>
                      <w:rFonts w:hint="eastAsia"/>
                      <w:bCs/>
                      <w:kern w:val="0"/>
                      <w:szCs w:val="21"/>
                    </w:rPr>
                    <w:t>9~12</w:t>
                  </w:r>
                </w:p>
              </w:tc>
              <w:tc>
                <w:tcPr>
                  <w:tcW w:w="1554" w:type="dxa"/>
                  <w:vAlign w:val="center"/>
                </w:tcPr>
                <w:p>
                  <w:pPr>
                    <w:jc w:val="center"/>
                    <w:rPr>
                      <w:spacing w:val="-2"/>
                    </w:rPr>
                  </w:pPr>
                  <w:r>
                    <w:rPr>
                      <w:rFonts w:hint="eastAsia"/>
                      <w:spacing w:val="-2"/>
                    </w:rPr>
                    <w:t>12~14</w:t>
                  </w:r>
                </w:p>
              </w:tc>
              <w:tc>
                <w:tcPr>
                  <w:tcW w:w="1253" w:type="dxa"/>
                  <w:vAlign w:val="center"/>
                </w:tcPr>
                <w:p>
                  <w:pPr>
                    <w:jc w:val="center"/>
                    <w:rPr>
                      <w:spacing w:val="-2"/>
                    </w:rPr>
                  </w:pPr>
                  <w:r>
                    <w:rPr>
                      <w:rFonts w:hint="eastAsia"/>
                      <w:spacing w:val="-2"/>
                    </w:rPr>
                    <w:t>99~103</w:t>
                  </w:r>
                </w:p>
              </w:tc>
              <w:tc>
                <w:tcPr>
                  <w:tcW w:w="1180" w:type="dxa"/>
                  <w:vAlign w:val="center"/>
                </w:tcPr>
                <w:p>
                  <w:pPr>
                    <w:jc w:val="center"/>
                    <w:rPr>
                      <w:spacing w:val="-2"/>
                    </w:rPr>
                  </w:pPr>
                  <w:r>
                    <w:rPr>
                      <w:rFonts w:hint="eastAsia"/>
                      <w:spacing w:val="-2"/>
                    </w:rPr>
                    <w:t>176~192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trPr>
              <w:tc>
                <w:tcPr>
                  <w:tcW w:w="1140" w:type="dxa"/>
                  <w:vMerge w:val="continue"/>
                  <w:vAlign w:val="center"/>
                </w:tcPr>
                <w:p>
                  <w:pPr>
                    <w:jc w:val="center"/>
                    <w:rPr>
                      <w:spacing w:val="-2"/>
                    </w:rPr>
                  </w:pPr>
                </w:p>
              </w:tc>
              <w:tc>
                <w:tcPr>
                  <w:tcW w:w="2521" w:type="dxa"/>
                  <w:vAlign w:val="center"/>
                </w:tcPr>
                <w:p>
                  <w:pPr>
                    <w:jc w:val="center"/>
                    <w:rPr>
                      <w:spacing w:val="-2"/>
                    </w:rPr>
                  </w:pPr>
                  <w:r>
                    <w:rPr>
                      <w:rFonts w:hint="eastAsia"/>
                      <w:spacing w:val="-2"/>
                    </w:rPr>
                    <w:t>超标率%</w:t>
                  </w:r>
                </w:p>
              </w:tc>
              <w:tc>
                <w:tcPr>
                  <w:tcW w:w="1253" w:type="dxa"/>
                  <w:vAlign w:val="center"/>
                </w:tcPr>
                <w:p>
                  <w:pPr>
                    <w:jc w:val="center"/>
                    <w:rPr>
                      <w:spacing w:val="-2"/>
                    </w:rPr>
                  </w:pPr>
                  <w:r>
                    <w:rPr>
                      <w:rFonts w:hint="eastAsia"/>
                      <w:spacing w:val="-2"/>
                    </w:rPr>
                    <w:t>0</w:t>
                  </w:r>
                </w:p>
              </w:tc>
              <w:tc>
                <w:tcPr>
                  <w:tcW w:w="1554" w:type="dxa"/>
                  <w:vAlign w:val="center"/>
                </w:tcPr>
                <w:p>
                  <w:pPr>
                    <w:jc w:val="center"/>
                    <w:rPr>
                      <w:spacing w:val="-2"/>
                    </w:rPr>
                  </w:pPr>
                  <w:r>
                    <w:rPr>
                      <w:rFonts w:hint="eastAsia"/>
                      <w:spacing w:val="-2"/>
                    </w:rPr>
                    <w:t>0</w:t>
                  </w:r>
                </w:p>
              </w:tc>
              <w:tc>
                <w:tcPr>
                  <w:tcW w:w="1253" w:type="dxa"/>
                  <w:vAlign w:val="center"/>
                </w:tcPr>
                <w:p>
                  <w:pPr>
                    <w:jc w:val="center"/>
                    <w:rPr>
                      <w:spacing w:val="-2"/>
                    </w:rPr>
                  </w:pPr>
                  <w:r>
                    <w:rPr>
                      <w:rFonts w:hint="eastAsia"/>
                      <w:spacing w:val="-2"/>
                    </w:rPr>
                    <w:t>0</w:t>
                  </w:r>
                </w:p>
              </w:tc>
              <w:tc>
                <w:tcPr>
                  <w:tcW w:w="1180" w:type="dxa"/>
                  <w:vAlign w:val="center"/>
                </w:tcPr>
                <w:p>
                  <w:pPr>
                    <w:jc w:val="center"/>
                    <w:rPr>
                      <w:spacing w:val="-2"/>
                    </w:rPr>
                  </w:pPr>
                  <w:r>
                    <w:rPr>
                      <w:rFonts w:hint="eastAsia"/>
                      <w:spacing w:val="-2"/>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trPr>
              <w:tc>
                <w:tcPr>
                  <w:tcW w:w="1140" w:type="dxa"/>
                  <w:vMerge w:val="continue"/>
                  <w:vAlign w:val="center"/>
                </w:tcPr>
                <w:p>
                  <w:pPr>
                    <w:jc w:val="center"/>
                    <w:rPr>
                      <w:spacing w:val="-2"/>
                    </w:rPr>
                  </w:pPr>
                </w:p>
              </w:tc>
              <w:tc>
                <w:tcPr>
                  <w:tcW w:w="2521" w:type="dxa"/>
                  <w:vAlign w:val="center"/>
                </w:tcPr>
                <w:p>
                  <w:pPr>
                    <w:jc w:val="center"/>
                    <w:rPr>
                      <w:spacing w:val="-2"/>
                    </w:rPr>
                  </w:pPr>
                  <w:r>
                    <w:rPr>
                      <w:rFonts w:hint="eastAsia"/>
                      <w:spacing w:val="-2"/>
                    </w:rPr>
                    <w:t>标准值μg/m</w:t>
                  </w:r>
                  <w:r>
                    <w:rPr>
                      <w:rFonts w:hint="eastAsia"/>
                      <w:spacing w:val="-2"/>
                      <w:vertAlign w:val="superscript"/>
                    </w:rPr>
                    <w:t>3</w:t>
                  </w:r>
                </w:p>
              </w:tc>
              <w:tc>
                <w:tcPr>
                  <w:tcW w:w="1253" w:type="dxa"/>
                  <w:vAlign w:val="center"/>
                </w:tcPr>
                <w:p>
                  <w:pPr>
                    <w:jc w:val="center"/>
                    <w:rPr>
                      <w:spacing w:val="-2"/>
                    </w:rPr>
                  </w:pPr>
                  <w:r>
                    <w:rPr>
                      <w:rFonts w:hint="eastAsia"/>
                      <w:spacing w:val="-2"/>
                    </w:rPr>
                    <w:t>150</w:t>
                  </w:r>
                </w:p>
              </w:tc>
              <w:tc>
                <w:tcPr>
                  <w:tcW w:w="1554" w:type="dxa"/>
                  <w:vAlign w:val="center"/>
                </w:tcPr>
                <w:p>
                  <w:pPr>
                    <w:jc w:val="center"/>
                    <w:rPr>
                      <w:spacing w:val="-2"/>
                    </w:rPr>
                  </w:pPr>
                  <w:r>
                    <w:rPr>
                      <w:rFonts w:hint="eastAsia"/>
                      <w:spacing w:val="-2"/>
                    </w:rPr>
                    <w:t>80</w:t>
                  </w:r>
                </w:p>
              </w:tc>
              <w:tc>
                <w:tcPr>
                  <w:tcW w:w="1253" w:type="dxa"/>
                  <w:vAlign w:val="center"/>
                </w:tcPr>
                <w:p>
                  <w:pPr>
                    <w:jc w:val="center"/>
                    <w:rPr>
                      <w:spacing w:val="-2"/>
                    </w:rPr>
                  </w:pPr>
                  <w:r>
                    <w:rPr>
                      <w:rFonts w:hint="eastAsia"/>
                      <w:spacing w:val="-2"/>
                    </w:rPr>
                    <w:t>150</w:t>
                  </w:r>
                </w:p>
              </w:tc>
              <w:tc>
                <w:tcPr>
                  <w:tcW w:w="1180" w:type="dxa"/>
                  <w:vAlign w:val="center"/>
                </w:tcPr>
                <w:p>
                  <w:pPr>
                    <w:jc w:val="center"/>
                    <w:rPr>
                      <w:spacing w:val="-2"/>
                    </w:rPr>
                  </w:pPr>
                  <w:r>
                    <w:rPr>
                      <w:rFonts w:hint="eastAsia"/>
                      <w:spacing w:val="-2"/>
                    </w:rPr>
                    <w:t>300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trPr>
              <w:tc>
                <w:tcPr>
                  <w:tcW w:w="1140" w:type="dxa"/>
                  <w:vMerge w:val="continue"/>
                  <w:vAlign w:val="center"/>
                </w:tcPr>
                <w:p>
                  <w:pPr>
                    <w:jc w:val="center"/>
                    <w:rPr>
                      <w:spacing w:val="-2"/>
                    </w:rPr>
                  </w:pPr>
                </w:p>
              </w:tc>
              <w:tc>
                <w:tcPr>
                  <w:tcW w:w="2521" w:type="dxa"/>
                  <w:vAlign w:val="center"/>
                </w:tcPr>
                <w:p>
                  <w:pPr>
                    <w:jc w:val="center"/>
                    <w:rPr>
                      <w:spacing w:val="-2"/>
                    </w:rPr>
                  </w:pPr>
                  <w:r>
                    <w:rPr>
                      <w:rFonts w:hint="eastAsia"/>
                      <w:spacing w:val="-2"/>
                    </w:rPr>
                    <w:t>标准指数范围</w:t>
                  </w:r>
                </w:p>
              </w:tc>
              <w:tc>
                <w:tcPr>
                  <w:tcW w:w="1253" w:type="dxa"/>
                  <w:vAlign w:val="center"/>
                </w:tcPr>
                <w:p>
                  <w:pPr>
                    <w:jc w:val="center"/>
                    <w:rPr>
                      <w:spacing w:val="-2"/>
                    </w:rPr>
                  </w:pPr>
                  <w:r>
                    <w:rPr>
                      <w:rFonts w:hint="eastAsia"/>
                      <w:spacing w:val="-2"/>
                    </w:rPr>
                    <w:t>0.06~0.08</w:t>
                  </w:r>
                </w:p>
              </w:tc>
              <w:tc>
                <w:tcPr>
                  <w:tcW w:w="1554" w:type="dxa"/>
                  <w:vAlign w:val="center"/>
                </w:tcPr>
                <w:p>
                  <w:pPr>
                    <w:jc w:val="center"/>
                    <w:rPr>
                      <w:spacing w:val="-2"/>
                    </w:rPr>
                  </w:pPr>
                  <w:r>
                    <w:rPr>
                      <w:rFonts w:hint="eastAsia"/>
                      <w:spacing w:val="-2"/>
                    </w:rPr>
                    <w:t>0.15~0.175</w:t>
                  </w:r>
                </w:p>
              </w:tc>
              <w:tc>
                <w:tcPr>
                  <w:tcW w:w="1253" w:type="dxa"/>
                  <w:vAlign w:val="center"/>
                </w:tcPr>
                <w:p>
                  <w:pPr>
                    <w:jc w:val="center"/>
                    <w:rPr>
                      <w:spacing w:val="-2"/>
                    </w:rPr>
                  </w:pPr>
                  <w:r>
                    <w:rPr>
                      <w:rFonts w:hint="eastAsia"/>
                      <w:spacing w:val="-2"/>
                    </w:rPr>
                    <w:t>0.66~0.69</w:t>
                  </w:r>
                </w:p>
              </w:tc>
              <w:tc>
                <w:tcPr>
                  <w:tcW w:w="1180" w:type="dxa"/>
                  <w:vAlign w:val="center"/>
                </w:tcPr>
                <w:p>
                  <w:pPr>
                    <w:jc w:val="center"/>
                    <w:rPr>
                      <w:spacing w:val="-2"/>
                    </w:rPr>
                  </w:pPr>
                  <w:r>
                    <w:rPr>
                      <w:rFonts w:hint="eastAsia"/>
                      <w:spacing w:val="-2"/>
                    </w:rPr>
                    <w:t>0.59~0.64</w:t>
                  </w:r>
                </w:p>
              </w:tc>
            </w:tr>
          </w:tbl>
          <w:p>
            <w:pPr>
              <w:spacing w:line="360" w:lineRule="auto"/>
              <w:ind w:firstLine="413" w:firstLineChars="196"/>
              <w:jc w:val="center"/>
              <w:rPr>
                <w:b/>
                <w:szCs w:val="21"/>
              </w:rPr>
            </w:pPr>
            <w:r>
              <w:rPr>
                <w:rFonts w:hint="eastAsia"/>
                <w:b/>
                <w:szCs w:val="21"/>
              </w:rPr>
              <w:t>表16-3   NH</w:t>
            </w:r>
            <w:r>
              <w:rPr>
                <w:rFonts w:hint="eastAsia"/>
                <w:b/>
                <w:szCs w:val="21"/>
                <w:vertAlign w:val="subscript"/>
              </w:rPr>
              <w:t>3</w:t>
            </w:r>
            <w:r>
              <w:rPr>
                <w:rFonts w:hint="eastAsia"/>
                <w:b/>
                <w:szCs w:val="21"/>
              </w:rPr>
              <w:t>、H</w:t>
            </w:r>
            <w:r>
              <w:rPr>
                <w:rFonts w:hint="eastAsia"/>
                <w:b/>
                <w:szCs w:val="21"/>
                <w:vertAlign w:val="subscript"/>
              </w:rPr>
              <w:t>2</w:t>
            </w:r>
            <w:r>
              <w:rPr>
                <w:rFonts w:hint="eastAsia"/>
                <w:b/>
                <w:szCs w:val="21"/>
              </w:rPr>
              <w:t>S一次浓度现状监测结果</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58"/>
              <w:gridCol w:w="3580"/>
              <w:gridCol w:w="1787"/>
              <w:gridCol w:w="187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trPr>
              <w:tc>
                <w:tcPr>
                  <w:tcW w:w="1658" w:type="dxa"/>
                  <w:vAlign w:val="center"/>
                </w:tcPr>
                <w:p>
                  <w:pPr>
                    <w:jc w:val="center"/>
                    <w:rPr>
                      <w:b/>
                      <w:bCs/>
                      <w:kern w:val="0"/>
                      <w:szCs w:val="21"/>
                    </w:rPr>
                  </w:pPr>
                  <w:r>
                    <w:rPr>
                      <w:b/>
                      <w:spacing w:val="-2"/>
                    </w:rPr>
                    <w:t>监测点位</w:t>
                  </w:r>
                </w:p>
              </w:tc>
              <w:tc>
                <w:tcPr>
                  <w:tcW w:w="3580" w:type="dxa"/>
                  <w:vAlign w:val="center"/>
                </w:tcPr>
                <w:p>
                  <w:pPr>
                    <w:jc w:val="center"/>
                    <w:rPr>
                      <w:b/>
                      <w:bCs/>
                      <w:kern w:val="0"/>
                      <w:szCs w:val="21"/>
                    </w:rPr>
                  </w:pPr>
                  <w:r>
                    <w:rPr>
                      <w:rFonts w:hint="eastAsia"/>
                      <w:b/>
                      <w:spacing w:val="-2"/>
                    </w:rPr>
                    <w:t>项目</w:t>
                  </w:r>
                </w:p>
              </w:tc>
              <w:tc>
                <w:tcPr>
                  <w:tcW w:w="1787" w:type="dxa"/>
                  <w:vAlign w:val="center"/>
                </w:tcPr>
                <w:p>
                  <w:pPr>
                    <w:jc w:val="center"/>
                    <w:rPr>
                      <w:b/>
                      <w:bCs/>
                      <w:kern w:val="0"/>
                      <w:szCs w:val="21"/>
                    </w:rPr>
                  </w:pPr>
                  <w:r>
                    <w:rPr>
                      <w:rFonts w:hint="eastAsia"/>
                      <w:b/>
                      <w:spacing w:val="-2"/>
                    </w:rPr>
                    <w:t>NH</w:t>
                  </w:r>
                  <w:r>
                    <w:rPr>
                      <w:rFonts w:hint="eastAsia"/>
                      <w:b/>
                      <w:spacing w:val="-2"/>
                      <w:vertAlign w:val="subscript"/>
                    </w:rPr>
                    <w:t>3</w:t>
                  </w:r>
                </w:p>
              </w:tc>
              <w:tc>
                <w:tcPr>
                  <w:tcW w:w="1876" w:type="dxa"/>
                  <w:vAlign w:val="center"/>
                </w:tcPr>
                <w:p>
                  <w:pPr>
                    <w:jc w:val="center"/>
                    <w:rPr>
                      <w:b/>
                      <w:bCs/>
                      <w:kern w:val="0"/>
                      <w:szCs w:val="21"/>
                    </w:rPr>
                  </w:pPr>
                  <w:r>
                    <w:rPr>
                      <w:rFonts w:hint="eastAsia"/>
                      <w:b/>
                      <w:spacing w:val="-2"/>
                    </w:rPr>
                    <w:t>H</w:t>
                  </w:r>
                  <w:r>
                    <w:rPr>
                      <w:rFonts w:hint="eastAsia"/>
                      <w:b/>
                      <w:spacing w:val="-2"/>
                      <w:vertAlign w:val="subscript"/>
                    </w:rPr>
                    <w:t>2</w:t>
                  </w:r>
                  <w:r>
                    <w:rPr>
                      <w:rFonts w:hint="eastAsia"/>
                      <w:b/>
                      <w:spacing w:val="-2"/>
                    </w:rPr>
                    <w:t>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658" w:type="dxa"/>
                  <w:vMerge w:val="restart"/>
                  <w:vAlign w:val="center"/>
                </w:tcPr>
                <w:p>
                  <w:pPr>
                    <w:jc w:val="center"/>
                    <w:rPr>
                      <w:bCs/>
                      <w:kern w:val="0"/>
                      <w:szCs w:val="21"/>
                    </w:rPr>
                  </w:pPr>
                  <w:r>
                    <w:rPr>
                      <w:spacing w:val="-2"/>
                    </w:rPr>
                    <w:t>1#</w:t>
                  </w:r>
                  <w:r>
                    <w:rPr>
                      <w:rFonts w:hint="eastAsia"/>
                      <w:spacing w:val="-2"/>
                    </w:rPr>
                    <w:t>污水站区</w:t>
                  </w:r>
                </w:p>
              </w:tc>
              <w:tc>
                <w:tcPr>
                  <w:tcW w:w="3580" w:type="dxa"/>
                  <w:vAlign w:val="center"/>
                </w:tcPr>
                <w:p>
                  <w:pPr>
                    <w:jc w:val="center"/>
                    <w:rPr>
                      <w:bCs/>
                      <w:kern w:val="0"/>
                      <w:szCs w:val="21"/>
                    </w:rPr>
                  </w:pPr>
                  <w:r>
                    <w:rPr>
                      <w:rFonts w:hint="eastAsia"/>
                      <w:spacing w:val="-2"/>
                    </w:rPr>
                    <w:t>一次浓度范围mg/m</w:t>
                  </w:r>
                  <w:r>
                    <w:rPr>
                      <w:rFonts w:hint="eastAsia"/>
                      <w:spacing w:val="-2"/>
                      <w:vertAlign w:val="superscript"/>
                    </w:rPr>
                    <w:t>3</w:t>
                  </w:r>
                </w:p>
              </w:tc>
              <w:tc>
                <w:tcPr>
                  <w:tcW w:w="1787" w:type="dxa"/>
                  <w:vAlign w:val="center"/>
                </w:tcPr>
                <w:p>
                  <w:pPr>
                    <w:jc w:val="center"/>
                    <w:rPr>
                      <w:bCs/>
                      <w:kern w:val="0"/>
                      <w:szCs w:val="21"/>
                    </w:rPr>
                  </w:pPr>
                  <w:r>
                    <w:rPr>
                      <w:rFonts w:hint="eastAsia"/>
                      <w:spacing w:val="-2"/>
                    </w:rPr>
                    <w:t>0.08~0.09</w:t>
                  </w:r>
                </w:p>
              </w:tc>
              <w:tc>
                <w:tcPr>
                  <w:tcW w:w="1876" w:type="dxa"/>
                  <w:vAlign w:val="center"/>
                </w:tcPr>
                <w:p>
                  <w:pPr>
                    <w:jc w:val="center"/>
                    <w:rPr>
                      <w:bCs/>
                      <w:kern w:val="0"/>
                      <w:szCs w:val="21"/>
                    </w:rPr>
                  </w:pPr>
                  <w:r>
                    <w:rPr>
                      <w:rFonts w:hint="eastAsia"/>
                      <w:spacing w:val="-2"/>
                    </w:rPr>
                    <w:t>0.001~1/∞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658" w:type="dxa"/>
                  <w:vMerge w:val="continue"/>
                  <w:vAlign w:val="center"/>
                </w:tcPr>
                <w:p>
                  <w:pPr>
                    <w:jc w:val="center"/>
                    <w:rPr>
                      <w:bCs/>
                      <w:kern w:val="0"/>
                      <w:szCs w:val="21"/>
                    </w:rPr>
                  </w:pPr>
                </w:p>
              </w:tc>
              <w:tc>
                <w:tcPr>
                  <w:tcW w:w="3580" w:type="dxa"/>
                  <w:vAlign w:val="center"/>
                </w:tcPr>
                <w:p>
                  <w:pPr>
                    <w:jc w:val="center"/>
                    <w:rPr>
                      <w:bCs/>
                      <w:kern w:val="0"/>
                      <w:szCs w:val="21"/>
                    </w:rPr>
                  </w:pPr>
                  <w:r>
                    <w:rPr>
                      <w:rFonts w:hint="eastAsia"/>
                      <w:spacing w:val="-2"/>
                    </w:rPr>
                    <w:t>超标率%</w:t>
                  </w:r>
                </w:p>
              </w:tc>
              <w:tc>
                <w:tcPr>
                  <w:tcW w:w="1787" w:type="dxa"/>
                  <w:vAlign w:val="center"/>
                </w:tcPr>
                <w:p>
                  <w:pPr>
                    <w:jc w:val="center"/>
                    <w:rPr>
                      <w:bCs/>
                      <w:kern w:val="0"/>
                      <w:szCs w:val="21"/>
                    </w:rPr>
                  </w:pPr>
                  <w:r>
                    <w:rPr>
                      <w:rFonts w:hint="eastAsia"/>
                      <w:bCs/>
                      <w:kern w:val="0"/>
                      <w:szCs w:val="21"/>
                    </w:rPr>
                    <w:t>0</w:t>
                  </w:r>
                </w:p>
              </w:tc>
              <w:tc>
                <w:tcPr>
                  <w:tcW w:w="1876" w:type="dxa"/>
                  <w:vAlign w:val="center"/>
                </w:tcPr>
                <w:p>
                  <w:pPr>
                    <w:jc w:val="center"/>
                    <w:rPr>
                      <w:bCs/>
                      <w:kern w:val="0"/>
                      <w:szCs w:val="21"/>
                    </w:rPr>
                  </w:pPr>
                  <w:r>
                    <w:rPr>
                      <w:spacing w:val="-2"/>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trPr>
              <w:tc>
                <w:tcPr>
                  <w:tcW w:w="1658" w:type="dxa"/>
                  <w:vMerge w:val="continue"/>
                  <w:vAlign w:val="center"/>
                </w:tcPr>
                <w:p>
                  <w:pPr>
                    <w:jc w:val="center"/>
                    <w:rPr>
                      <w:bCs/>
                      <w:kern w:val="0"/>
                      <w:szCs w:val="21"/>
                    </w:rPr>
                  </w:pPr>
                </w:p>
              </w:tc>
              <w:tc>
                <w:tcPr>
                  <w:tcW w:w="3580" w:type="dxa"/>
                  <w:vAlign w:val="center"/>
                </w:tcPr>
                <w:p>
                  <w:pPr>
                    <w:jc w:val="center"/>
                    <w:rPr>
                      <w:bCs/>
                      <w:kern w:val="0"/>
                      <w:szCs w:val="21"/>
                    </w:rPr>
                  </w:pPr>
                  <w:r>
                    <w:rPr>
                      <w:rFonts w:hint="eastAsia"/>
                      <w:spacing w:val="-2"/>
                    </w:rPr>
                    <w:t>标准值mg/m</w:t>
                  </w:r>
                  <w:r>
                    <w:rPr>
                      <w:rFonts w:hint="eastAsia"/>
                      <w:spacing w:val="-2"/>
                      <w:vertAlign w:val="superscript"/>
                    </w:rPr>
                    <w:t>3</w:t>
                  </w:r>
                </w:p>
              </w:tc>
              <w:tc>
                <w:tcPr>
                  <w:tcW w:w="1787" w:type="dxa"/>
                  <w:vAlign w:val="center"/>
                </w:tcPr>
                <w:p>
                  <w:pPr>
                    <w:jc w:val="center"/>
                    <w:rPr>
                      <w:bCs/>
                      <w:kern w:val="0"/>
                      <w:szCs w:val="21"/>
                    </w:rPr>
                  </w:pPr>
                  <w:r>
                    <w:rPr>
                      <w:rFonts w:hint="eastAsia"/>
                      <w:spacing w:val="-2"/>
                    </w:rPr>
                    <w:t>0.2</w:t>
                  </w:r>
                </w:p>
              </w:tc>
              <w:tc>
                <w:tcPr>
                  <w:tcW w:w="1876" w:type="dxa"/>
                  <w:vAlign w:val="center"/>
                </w:tcPr>
                <w:p>
                  <w:pPr>
                    <w:jc w:val="center"/>
                    <w:rPr>
                      <w:bCs/>
                      <w:kern w:val="0"/>
                      <w:szCs w:val="21"/>
                    </w:rPr>
                  </w:pPr>
                  <w:r>
                    <w:rPr>
                      <w:rFonts w:hint="eastAsia"/>
                      <w:spacing w:val="-2"/>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trPr>
              <w:tc>
                <w:tcPr>
                  <w:tcW w:w="1658" w:type="dxa"/>
                  <w:vMerge w:val="continue"/>
                  <w:vAlign w:val="center"/>
                </w:tcPr>
                <w:p>
                  <w:pPr>
                    <w:jc w:val="center"/>
                    <w:rPr>
                      <w:spacing w:val="-2"/>
                    </w:rPr>
                  </w:pPr>
                </w:p>
              </w:tc>
              <w:tc>
                <w:tcPr>
                  <w:tcW w:w="3580" w:type="dxa"/>
                  <w:vAlign w:val="center"/>
                </w:tcPr>
                <w:p>
                  <w:pPr>
                    <w:jc w:val="center"/>
                    <w:rPr>
                      <w:spacing w:val="-2"/>
                    </w:rPr>
                  </w:pPr>
                  <w:r>
                    <w:rPr>
                      <w:rFonts w:hint="eastAsia"/>
                      <w:spacing w:val="-2"/>
                    </w:rPr>
                    <w:t>标准指数范围</w:t>
                  </w:r>
                </w:p>
              </w:tc>
              <w:tc>
                <w:tcPr>
                  <w:tcW w:w="1787" w:type="dxa"/>
                  <w:vAlign w:val="center"/>
                </w:tcPr>
                <w:p>
                  <w:pPr>
                    <w:jc w:val="center"/>
                    <w:rPr>
                      <w:spacing w:val="-2"/>
                    </w:rPr>
                  </w:pPr>
                  <w:r>
                    <w:rPr>
                      <w:rFonts w:hint="eastAsia"/>
                      <w:spacing w:val="-2"/>
                    </w:rPr>
                    <w:t>0.4~0.45</w:t>
                  </w:r>
                </w:p>
              </w:tc>
              <w:tc>
                <w:tcPr>
                  <w:tcW w:w="1876" w:type="dxa"/>
                  <w:vAlign w:val="center"/>
                </w:tcPr>
                <w:p>
                  <w:pPr>
                    <w:jc w:val="center"/>
                    <w:rPr>
                      <w:spacing w:val="-2"/>
                    </w:rPr>
                  </w:pPr>
                  <w:r>
                    <w:rPr>
                      <w:rFonts w:hint="eastAsia"/>
                      <w:spacing w:val="-2"/>
                    </w:rPr>
                    <w:t>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trPr>
              <w:tc>
                <w:tcPr>
                  <w:tcW w:w="1658" w:type="dxa"/>
                  <w:vMerge w:val="restart"/>
                  <w:vAlign w:val="center"/>
                </w:tcPr>
                <w:p>
                  <w:pPr>
                    <w:jc w:val="center"/>
                    <w:rPr>
                      <w:spacing w:val="-2"/>
                    </w:rPr>
                  </w:pPr>
                  <w:r>
                    <w:rPr>
                      <w:rFonts w:hint="eastAsia"/>
                      <w:spacing w:val="-2"/>
                    </w:rPr>
                    <w:t>3#东风村居民</w:t>
                  </w:r>
                </w:p>
              </w:tc>
              <w:tc>
                <w:tcPr>
                  <w:tcW w:w="3580" w:type="dxa"/>
                  <w:vAlign w:val="center"/>
                </w:tcPr>
                <w:p>
                  <w:pPr>
                    <w:jc w:val="center"/>
                    <w:rPr>
                      <w:spacing w:val="-2"/>
                    </w:rPr>
                  </w:pPr>
                  <w:r>
                    <w:rPr>
                      <w:rFonts w:hint="eastAsia"/>
                      <w:spacing w:val="-2"/>
                    </w:rPr>
                    <w:t>一次浓度范围mg/m</w:t>
                  </w:r>
                  <w:r>
                    <w:rPr>
                      <w:rFonts w:hint="eastAsia"/>
                      <w:spacing w:val="-2"/>
                      <w:vertAlign w:val="superscript"/>
                    </w:rPr>
                    <w:t>3</w:t>
                  </w:r>
                </w:p>
              </w:tc>
              <w:tc>
                <w:tcPr>
                  <w:tcW w:w="1787" w:type="dxa"/>
                  <w:vAlign w:val="center"/>
                </w:tcPr>
                <w:p>
                  <w:pPr>
                    <w:jc w:val="center"/>
                    <w:rPr>
                      <w:spacing w:val="-2"/>
                    </w:rPr>
                  </w:pPr>
                  <w:r>
                    <w:rPr>
                      <w:rFonts w:hint="eastAsia"/>
                      <w:spacing w:val="-2"/>
                    </w:rPr>
                    <w:t>0.08~0.09</w:t>
                  </w:r>
                </w:p>
              </w:tc>
              <w:tc>
                <w:tcPr>
                  <w:tcW w:w="1876" w:type="dxa"/>
                  <w:vAlign w:val="center"/>
                </w:tcPr>
                <w:p>
                  <w:pPr>
                    <w:jc w:val="center"/>
                    <w:rPr>
                      <w:spacing w:val="-2"/>
                    </w:rPr>
                  </w:pPr>
                  <w:r>
                    <w:rPr>
                      <w:rFonts w:hint="eastAsia"/>
                      <w:spacing w:val="-2"/>
                    </w:rPr>
                    <w:t>0.001~1/∞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trPr>
              <w:tc>
                <w:tcPr>
                  <w:tcW w:w="1658" w:type="dxa"/>
                  <w:vMerge w:val="continue"/>
                  <w:vAlign w:val="center"/>
                </w:tcPr>
                <w:p>
                  <w:pPr>
                    <w:jc w:val="center"/>
                    <w:rPr>
                      <w:spacing w:val="-2"/>
                    </w:rPr>
                  </w:pPr>
                </w:p>
              </w:tc>
              <w:tc>
                <w:tcPr>
                  <w:tcW w:w="3580" w:type="dxa"/>
                  <w:vAlign w:val="center"/>
                </w:tcPr>
                <w:p>
                  <w:pPr>
                    <w:jc w:val="center"/>
                    <w:rPr>
                      <w:spacing w:val="-2"/>
                    </w:rPr>
                  </w:pPr>
                  <w:r>
                    <w:rPr>
                      <w:rFonts w:hint="eastAsia"/>
                      <w:spacing w:val="-2"/>
                    </w:rPr>
                    <w:t>超标率%</w:t>
                  </w:r>
                </w:p>
              </w:tc>
              <w:tc>
                <w:tcPr>
                  <w:tcW w:w="1787" w:type="dxa"/>
                  <w:vAlign w:val="center"/>
                </w:tcPr>
                <w:p>
                  <w:pPr>
                    <w:jc w:val="center"/>
                    <w:rPr>
                      <w:spacing w:val="-2"/>
                    </w:rPr>
                  </w:pPr>
                  <w:r>
                    <w:rPr>
                      <w:rFonts w:hint="eastAsia"/>
                      <w:spacing w:val="-2"/>
                    </w:rPr>
                    <w:t>0</w:t>
                  </w:r>
                </w:p>
              </w:tc>
              <w:tc>
                <w:tcPr>
                  <w:tcW w:w="1876" w:type="dxa"/>
                  <w:vAlign w:val="center"/>
                </w:tcPr>
                <w:p>
                  <w:pPr>
                    <w:jc w:val="center"/>
                    <w:rPr>
                      <w:spacing w:val="-2"/>
                    </w:rPr>
                  </w:pPr>
                  <w:r>
                    <w:rPr>
                      <w:rFonts w:hint="eastAsia"/>
                      <w:spacing w:val="-2"/>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trPr>
              <w:tc>
                <w:tcPr>
                  <w:tcW w:w="1658" w:type="dxa"/>
                  <w:vMerge w:val="continue"/>
                  <w:vAlign w:val="center"/>
                </w:tcPr>
                <w:p>
                  <w:pPr>
                    <w:jc w:val="center"/>
                    <w:rPr>
                      <w:spacing w:val="-2"/>
                    </w:rPr>
                  </w:pPr>
                </w:p>
              </w:tc>
              <w:tc>
                <w:tcPr>
                  <w:tcW w:w="3580" w:type="dxa"/>
                  <w:vAlign w:val="center"/>
                </w:tcPr>
                <w:p>
                  <w:pPr>
                    <w:jc w:val="center"/>
                    <w:rPr>
                      <w:spacing w:val="-2"/>
                    </w:rPr>
                  </w:pPr>
                  <w:r>
                    <w:rPr>
                      <w:rFonts w:hint="eastAsia"/>
                      <w:spacing w:val="-2"/>
                    </w:rPr>
                    <w:t>标准值mg/m</w:t>
                  </w:r>
                  <w:r>
                    <w:rPr>
                      <w:rFonts w:hint="eastAsia"/>
                      <w:spacing w:val="-2"/>
                      <w:vertAlign w:val="superscript"/>
                    </w:rPr>
                    <w:t>3</w:t>
                  </w:r>
                </w:p>
              </w:tc>
              <w:tc>
                <w:tcPr>
                  <w:tcW w:w="1787" w:type="dxa"/>
                  <w:vAlign w:val="center"/>
                </w:tcPr>
                <w:p>
                  <w:pPr>
                    <w:jc w:val="center"/>
                    <w:rPr>
                      <w:spacing w:val="-2"/>
                    </w:rPr>
                  </w:pPr>
                  <w:r>
                    <w:rPr>
                      <w:rFonts w:hint="eastAsia"/>
                      <w:spacing w:val="-2"/>
                    </w:rPr>
                    <w:t>0.2</w:t>
                  </w:r>
                </w:p>
              </w:tc>
              <w:tc>
                <w:tcPr>
                  <w:tcW w:w="1876" w:type="dxa"/>
                  <w:vAlign w:val="center"/>
                </w:tcPr>
                <w:p>
                  <w:pPr>
                    <w:jc w:val="center"/>
                    <w:rPr>
                      <w:spacing w:val="-2"/>
                    </w:rPr>
                  </w:pPr>
                  <w:r>
                    <w:rPr>
                      <w:rFonts w:hint="eastAsia"/>
                      <w:spacing w:val="-2"/>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trPr>
              <w:tc>
                <w:tcPr>
                  <w:tcW w:w="1658" w:type="dxa"/>
                  <w:vMerge w:val="continue"/>
                  <w:vAlign w:val="center"/>
                </w:tcPr>
                <w:p>
                  <w:pPr>
                    <w:jc w:val="center"/>
                    <w:rPr>
                      <w:spacing w:val="-2"/>
                    </w:rPr>
                  </w:pPr>
                </w:p>
              </w:tc>
              <w:tc>
                <w:tcPr>
                  <w:tcW w:w="3580" w:type="dxa"/>
                  <w:vAlign w:val="center"/>
                </w:tcPr>
                <w:p>
                  <w:pPr>
                    <w:jc w:val="center"/>
                    <w:rPr>
                      <w:spacing w:val="-2"/>
                    </w:rPr>
                  </w:pPr>
                  <w:r>
                    <w:rPr>
                      <w:rFonts w:hint="eastAsia"/>
                      <w:spacing w:val="-2"/>
                    </w:rPr>
                    <w:t>标准指数范围</w:t>
                  </w:r>
                </w:p>
              </w:tc>
              <w:tc>
                <w:tcPr>
                  <w:tcW w:w="1787" w:type="dxa"/>
                  <w:vAlign w:val="center"/>
                </w:tcPr>
                <w:p>
                  <w:pPr>
                    <w:jc w:val="center"/>
                    <w:rPr>
                      <w:spacing w:val="-2"/>
                    </w:rPr>
                  </w:pPr>
                  <w:r>
                    <w:rPr>
                      <w:rFonts w:hint="eastAsia"/>
                      <w:spacing w:val="-2"/>
                    </w:rPr>
                    <w:t>0.4~0.45</w:t>
                  </w:r>
                </w:p>
              </w:tc>
              <w:tc>
                <w:tcPr>
                  <w:tcW w:w="1876" w:type="dxa"/>
                  <w:vAlign w:val="center"/>
                </w:tcPr>
                <w:p>
                  <w:pPr>
                    <w:jc w:val="center"/>
                    <w:rPr>
                      <w:spacing w:val="-2"/>
                    </w:rPr>
                  </w:pPr>
                  <w:r>
                    <w:rPr>
                      <w:rFonts w:hint="eastAsia"/>
                      <w:spacing w:val="-2"/>
                    </w:rPr>
                    <w:t>0.1~1/∞</w:t>
                  </w:r>
                </w:p>
              </w:tc>
            </w:tr>
          </w:tbl>
          <w:p>
            <w:pPr>
              <w:spacing w:line="360" w:lineRule="auto"/>
              <w:ind w:firstLine="411" w:firstLineChars="196"/>
              <w:rPr>
                <w:szCs w:val="21"/>
              </w:rPr>
            </w:pPr>
            <w:r>
              <w:rPr>
                <w:rFonts w:hint="eastAsia"/>
                <w:szCs w:val="21"/>
              </w:rPr>
              <w:t>注：1/∞表示未检出</w:t>
            </w:r>
          </w:p>
          <w:p>
            <w:pPr>
              <w:spacing w:line="360" w:lineRule="auto"/>
              <w:ind w:firstLine="470" w:firstLineChars="196"/>
              <w:rPr>
                <w:sz w:val="24"/>
                <w:szCs w:val="24"/>
              </w:rPr>
            </w:pPr>
            <w:r>
              <w:rPr>
                <w:rFonts w:hint="eastAsia"/>
                <w:sz w:val="24"/>
              </w:rPr>
              <w:t>根据表16-1可知，SO</w:t>
            </w:r>
            <w:r>
              <w:rPr>
                <w:rFonts w:hint="eastAsia"/>
                <w:sz w:val="24"/>
                <w:vertAlign w:val="subscript"/>
              </w:rPr>
              <w:t>2</w:t>
            </w:r>
            <w:r>
              <w:rPr>
                <w:rFonts w:hint="eastAsia"/>
                <w:sz w:val="24"/>
              </w:rPr>
              <w:t>、NO</w:t>
            </w:r>
            <w:r>
              <w:rPr>
                <w:rFonts w:hint="eastAsia"/>
                <w:sz w:val="24"/>
                <w:vertAlign w:val="subscript"/>
              </w:rPr>
              <w:t xml:space="preserve">2 </w:t>
            </w:r>
            <w:r>
              <w:rPr>
                <w:rFonts w:hint="eastAsia"/>
                <w:sz w:val="24"/>
              </w:rPr>
              <w:t>1小时平均浓度和CO一次浓度值满足</w:t>
            </w:r>
            <w:r>
              <w:rPr>
                <w:bCs/>
                <w:sz w:val="24"/>
              </w:rPr>
              <w:t>《环境空气质量标准》（GB3095-</w:t>
            </w:r>
            <w:r>
              <w:rPr>
                <w:rFonts w:hint="eastAsia"/>
                <w:bCs/>
                <w:sz w:val="24"/>
              </w:rPr>
              <w:t>2012</w:t>
            </w:r>
            <w:r>
              <w:rPr>
                <w:bCs/>
                <w:sz w:val="24"/>
              </w:rPr>
              <w:t>）二级标准限值要求</w:t>
            </w:r>
            <w:r>
              <w:rPr>
                <w:rFonts w:hint="eastAsia"/>
                <w:bCs/>
                <w:sz w:val="24"/>
              </w:rPr>
              <w:t>，无超标现象；根据表16-2可知，</w:t>
            </w:r>
            <w:r>
              <w:rPr>
                <w:rFonts w:hint="eastAsia"/>
                <w:sz w:val="24"/>
              </w:rPr>
              <w:t>SO</w:t>
            </w:r>
            <w:r>
              <w:rPr>
                <w:rFonts w:hint="eastAsia"/>
                <w:sz w:val="24"/>
                <w:vertAlign w:val="subscript"/>
              </w:rPr>
              <w:t>2</w:t>
            </w:r>
            <w:r>
              <w:rPr>
                <w:rFonts w:hint="eastAsia"/>
                <w:sz w:val="24"/>
              </w:rPr>
              <w:t>、NO</w:t>
            </w:r>
            <w:r>
              <w:rPr>
                <w:rFonts w:hint="eastAsia"/>
                <w:sz w:val="24"/>
                <w:vertAlign w:val="subscript"/>
              </w:rPr>
              <w:t>2</w:t>
            </w:r>
            <w:r>
              <w:rPr>
                <w:rFonts w:hint="eastAsia"/>
                <w:sz w:val="24"/>
              </w:rPr>
              <w:t>、PM</w:t>
            </w:r>
            <w:r>
              <w:rPr>
                <w:rFonts w:hint="eastAsia"/>
                <w:sz w:val="24"/>
                <w:vertAlign w:val="subscript"/>
              </w:rPr>
              <w:t>10</w:t>
            </w:r>
            <w:r>
              <w:rPr>
                <w:rFonts w:hint="eastAsia"/>
                <w:sz w:val="24"/>
              </w:rPr>
              <w:t>、TSP24小时平均浓度满足</w:t>
            </w:r>
            <w:r>
              <w:rPr>
                <w:bCs/>
                <w:sz w:val="24"/>
              </w:rPr>
              <w:t>《环境空气质量标准》（GB3095-</w:t>
            </w:r>
            <w:r>
              <w:rPr>
                <w:rFonts w:hint="eastAsia"/>
                <w:bCs/>
                <w:sz w:val="24"/>
              </w:rPr>
              <w:t>2012</w:t>
            </w:r>
            <w:r>
              <w:rPr>
                <w:bCs/>
                <w:sz w:val="24"/>
              </w:rPr>
              <w:t>）二级标准限值要求</w:t>
            </w:r>
            <w:r>
              <w:rPr>
                <w:rFonts w:hint="eastAsia"/>
                <w:bCs/>
                <w:sz w:val="24"/>
              </w:rPr>
              <w:t>，无超标现象；根据表16-3可知，NH</w:t>
            </w:r>
            <w:r>
              <w:rPr>
                <w:rFonts w:hint="eastAsia"/>
                <w:bCs/>
                <w:sz w:val="24"/>
                <w:vertAlign w:val="subscript"/>
              </w:rPr>
              <w:t>3</w:t>
            </w:r>
            <w:r>
              <w:rPr>
                <w:rFonts w:hint="eastAsia"/>
                <w:bCs/>
                <w:sz w:val="24"/>
              </w:rPr>
              <w:t>、H</w:t>
            </w:r>
            <w:r>
              <w:rPr>
                <w:rFonts w:hint="eastAsia"/>
                <w:bCs/>
                <w:sz w:val="24"/>
                <w:vertAlign w:val="subscript"/>
              </w:rPr>
              <w:t>2</w:t>
            </w:r>
            <w:r>
              <w:rPr>
                <w:rFonts w:hint="eastAsia"/>
                <w:bCs/>
                <w:sz w:val="24"/>
              </w:rPr>
              <w:t>S一次浓度满足《工业企业设计卫生标准》（TJ36-1979），无超标现象。</w:t>
            </w:r>
            <w:r>
              <w:rPr>
                <w:rFonts w:hint="eastAsia"/>
                <w:sz w:val="24"/>
                <w:szCs w:val="24"/>
              </w:rPr>
              <w:t>因此，项目评价区域环境空气质量良好。</w:t>
            </w:r>
          </w:p>
          <w:p>
            <w:pPr>
              <w:spacing w:line="360" w:lineRule="auto"/>
              <w:ind w:firstLine="472" w:firstLineChars="196"/>
              <w:rPr>
                <w:b/>
                <w:sz w:val="24"/>
                <w:szCs w:val="24"/>
              </w:rPr>
            </w:pPr>
            <w:r>
              <w:rPr>
                <w:rFonts w:hint="eastAsia"/>
                <w:b/>
                <w:sz w:val="24"/>
                <w:szCs w:val="24"/>
              </w:rPr>
              <w:t>2、地表水环境质量现状</w:t>
            </w:r>
          </w:p>
          <w:p>
            <w:pPr>
              <w:spacing w:line="360" w:lineRule="auto"/>
              <w:ind w:firstLine="470" w:firstLineChars="196"/>
              <w:rPr>
                <w:sz w:val="24"/>
                <w:szCs w:val="24"/>
              </w:rPr>
            </w:pPr>
            <w:r>
              <w:rPr>
                <w:rFonts w:hint="eastAsia"/>
                <w:sz w:val="24"/>
                <w:szCs w:val="24"/>
              </w:rPr>
              <w:t>本次地表水环境现状评价监测委托甘肃海慧安全科技有限公司现场监测。监测报告见附件6，监测点位图见附图9。</w:t>
            </w:r>
          </w:p>
          <w:p>
            <w:pPr>
              <w:spacing w:line="360" w:lineRule="auto"/>
              <w:ind w:firstLine="470" w:firstLineChars="196"/>
              <w:rPr>
                <w:sz w:val="24"/>
                <w:szCs w:val="24"/>
              </w:rPr>
            </w:pPr>
            <w:r>
              <w:rPr>
                <w:rFonts w:hint="eastAsia"/>
                <w:sz w:val="24"/>
                <w:szCs w:val="24"/>
              </w:rPr>
              <w:t>（1）监测断面布设</w:t>
            </w:r>
          </w:p>
          <w:p>
            <w:pPr>
              <w:spacing w:line="360" w:lineRule="auto"/>
              <w:ind w:firstLine="470" w:firstLineChars="196"/>
              <w:rPr>
                <w:sz w:val="24"/>
                <w:szCs w:val="24"/>
              </w:rPr>
            </w:pPr>
            <w:r>
              <w:rPr>
                <w:rFonts w:hint="eastAsia"/>
                <w:sz w:val="24"/>
                <w:szCs w:val="24"/>
              </w:rPr>
              <w:t>根据项目建设区现状，地表水现状监测于老虎沟共布设3个监测断面：1#拟建项目排污口上游500m处、2#拟建项目排污口、3#拟建项目排污口下游1500m处。</w:t>
            </w:r>
          </w:p>
          <w:p>
            <w:pPr>
              <w:spacing w:line="360" w:lineRule="auto"/>
              <w:ind w:firstLine="470" w:firstLineChars="196"/>
              <w:rPr>
                <w:sz w:val="24"/>
                <w:szCs w:val="24"/>
              </w:rPr>
            </w:pPr>
            <w:r>
              <w:rPr>
                <w:rFonts w:hint="eastAsia"/>
                <w:sz w:val="24"/>
                <w:szCs w:val="24"/>
              </w:rPr>
              <w:t>（2）监测因子</w:t>
            </w:r>
          </w:p>
          <w:p>
            <w:pPr>
              <w:spacing w:line="360" w:lineRule="auto"/>
              <w:ind w:firstLine="470" w:firstLineChars="196"/>
              <w:rPr>
                <w:bCs/>
                <w:sz w:val="24"/>
                <w:szCs w:val="24"/>
              </w:rPr>
            </w:pPr>
            <w:r>
              <w:rPr>
                <w:rFonts w:hint="eastAsia"/>
                <w:bCs/>
                <w:sz w:val="24"/>
                <w:szCs w:val="24"/>
              </w:rPr>
              <w:t>pH值、</w:t>
            </w:r>
            <w:r>
              <w:rPr>
                <w:rFonts w:hint="eastAsia"/>
                <w:bCs/>
                <w:snapToGrid w:val="0"/>
                <w:kern w:val="0"/>
                <w:sz w:val="24"/>
                <w:szCs w:val="24"/>
              </w:rPr>
              <w:t>水温（℃）、溶解氧、高锰酸盐指数、COD、氨氮、总磷、挥发酚、BOD</w:t>
            </w:r>
            <w:r>
              <w:rPr>
                <w:rFonts w:hint="eastAsia"/>
                <w:bCs/>
                <w:snapToGrid w:val="0"/>
                <w:kern w:val="0"/>
                <w:sz w:val="24"/>
                <w:szCs w:val="24"/>
                <w:vertAlign w:val="subscript"/>
              </w:rPr>
              <w:t>5</w:t>
            </w:r>
            <w:r>
              <w:rPr>
                <w:rFonts w:hint="eastAsia"/>
                <w:bCs/>
                <w:snapToGrid w:val="0"/>
                <w:kern w:val="0"/>
                <w:sz w:val="24"/>
                <w:szCs w:val="24"/>
              </w:rPr>
              <w:t>、氟化物、氰化物、六价铬、铅、汞、镉、铜、锌、砷、粪大肠菌群，共19项。</w:t>
            </w:r>
          </w:p>
          <w:p>
            <w:pPr>
              <w:spacing w:line="360" w:lineRule="auto"/>
              <w:ind w:firstLine="470" w:firstLineChars="196"/>
              <w:rPr>
                <w:sz w:val="24"/>
                <w:szCs w:val="24"/>
              </w:rPr>
            </w:pPr>
            <w:r>
              <w:rPr>
                <w:rFonts w:hint="eastAsia"/>
                <w:sz w:val="24"/>
                <w:szCs w:val="24"/>
              </w:rPr>
              <w:t>（3）评价标准</w:t>
            </w:r>
          </w:p>
          <w:p>
            <w:pPr>
              <w:spacing w:line="360" w:lineRule="auto"/>
              <w:ind w:firstLine="470" w:firstLineChars="196"/>
              <w:rPr>
                <w:sz w:val="24"/>
                <w:szCs w:val="24"/>
              </w:rPr>
            </w:pPr>
            <w:r>
              <w:rPr>
                <w:sz w:val="24"/>
                <w:szCs w:val="24"/>
              </w:rPr>
              <w:t>《地表水环境质量标准》(GB3838-2002)</w:t>
            </w:r>
            <w:r>
              <w:rPr>
                <w:rFonts w:hint="eastAsia"/>
                <w:bCs/>
                <w:sz w:val="24"/>
                <w:szCs w:val="24"/>
              </w:rPr>
              <w:t xml:space="preserve"> Ⅳ</w:t>
            </w:r>
            <w:r>
              <w:rPr>
                <w:sz w:val="24"/>
                <w:szCs w:val="24"/>
              </w:rPr>
              <w:t>类标准</w:t>
            </w:r>
            <w:r>
              <w:rPr>
                <w:rFonts w:hint="eastAsia"/>
                <w:sz w:val="24"/>
                <w:szCs w:val="24"/>
              </w:rPr>
              <w:t>。</w:t>
            </w:r>
          </w:p>
          <w:p>
            <w:pPr>
              <w:spacing w:line="360" w:lineRule="auto"/>
              <w:ind w:firstLine="470" w:firstLineChars="196"/>
              <w:rPr>
                <w:sz w:val="24"/>
                <w:szCs w:val="24"/>
              </w:rPr>
            </w:pPr>
            <w:r>
              <w:rPr>
                <w:rFonts w:hint="eastAsia"/>
                <w:sz w:val="24"/>
                <w:szCs w:val="24"/>
              </w:rPr>
              <w:t>（4）监测时间和频次</w:t>
            </w:r>
          </w:p>
          <w:p>
            <w:pPr>
              <w:spacing w:line="360" w:lineRule="auto"/>
              <w:ind w:firstLine="470" w:firstLineChars="196"/>
              <w:rPr>
                <w:sz w:val="24"/>
                <w:szCs w:val="24"/>
              </w:rPr>
            </w:pPr>
            <w:r>
              <w:rPr>
                <w:rFonts w:hint="eastAsia"/>
                <w:sz w:val="24"/>
                <w:szCs w:val="24"/>
              </w:rPr>
              <w:t>监测时间为2018年11月21日~11月23日，连续监测3天，每天监测1次。</w:t>
            </w:r>
          </w:p>
          <w:p>
            <w:pPr>
              <w:spacing w:line="360" w:lineRule="auto"/>
              <w:ind w:firstLine="470" w:firstLineChars="196"/>
              <w:rPr>
                <w:sz w:val="24"/>
                <w:szCs w:val="24"/>
              </w:rPr>
            </w:pPr>
            <w:r>
              <w:rPr>
                <w:rFonts w:hint="eastAsia"/>
                <w:sz w:val="24"/>
                <w:szCs w:val="24"/>
              </w:rPr>
              <w:t>（5）监测结果及分析</w:t>
            </w:r>
          </w:p>
          <w:p>
            <w:pPr>
              <w:spacing w:line="360" w:lineRule="auto"/>
              <w:ind w:firstLine="470" w:firstLineChars="196"/>
              <w:rPr>
                <w:sz w:val="24"/>
                <w:szCs w:val="24"/>
              </w:rPr>
            </w:pPr>
            <w:r>
              <w:rPr>
                <w:rFonts w:hint="eastAsia"/>
                <w:sz w:val="24"/>
                <w:szCs w:val="24"/>
              </w:rPr>
              <w:t>监测结果统计情况见表17。</w:t>
            </w:r>
          </w:p>
          <w:p>
            <w:pPr>
              <w:spacing w:line="360" w:lineRule="auto"/>
              <w:ind w:firstLine="413" w:firstLineChars="196"/>
              <w:jc w:val="center"/>
              <w:rPr>
                <w:b/>
                <w:szCs w:val="21"/>
              </w:rPr>
            </w:pPr>
            <w:r>
              <w:rPr>
                <w:rFonts w:hint="eastAsia"/>
                <w:b/>
                <w:szCs w:val="21"/>
              </w:rPr>
              <w:t xml:space="preserve">表17   地表水现状监测结果表  </w:t>
            </w:r>
            <w:r>
              <w:rPr>
                <w:rFonts w:hint="eastAsia"/>
                <w:b/>
                <w:snapToGrid w:val="0"/>
                <w:kern w:val="0"/>
                <w:szCs w:val="21"/>
              </w:rPr>
              <w:t>mg/L，pH值无量纲</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689"/>
              <w:gridCol w:w="1844"/>
              <w:gridCol w:w="1305"/>
              <w:gridCol w:w="1486"/>
              <w:gridCol w:w="1316"/>
              <w:gridCol w:w="6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579" w:type="dxa"/>
                  <w:vMerge w:val="restart"/>
                  <w:vAlign w:val="center"/>
                </w:tcPr>
                <w:p>
                  <w:pPr>
                    <w:jc w:val="center"/>
                    <w:rPr>
                      <w:b/>
                      <w:bCs/>
                      <w:snapToGrid w:val="0"/>
                      <w:kern w:val="0"/>
                      <w:szCs w:val="21"/>
                    </w:rPr>
                  </w:pPr>
                  <w:r>
                    <w:rPr>
                      <w:rFonts w:hint="eastAsia"/>
                      <w:b/>
                      <w:snapToGrid w:val="0"/>
                      <w:w w:val="75"/>
                      <w:kern w:val="0"/>
                      <w:szCs w:val="21"/>
                    </w:rPr>
                    <w:t>序号</w:t>
                  </w:r>
                </w:p>
              </w:tc>
              <w:tc>
                <w:tcPr>
                  <w:tcW w:w="1689" w:type="dxa"/>
                  <w:vMerge w:val="restart"/>
                  <w:vAlign w:val="center"/>
                </w:tcPr>
                <w:p>
                  <w:pPr>
                    <w:jc w:val="center"/>
                    <w:rPr>
                      <w:b/>
                      <w:bCs/>
                      <w:snapToGrid w:val="0"/>
                      <w:kern w:val="0"/>
                      <w:szCs w:val="21"/>
                    </w:rPr>
                  </w:pPr>
                  <w:r>
                    <w:rPr>
                      <w:rFonts w:hint="eastAsia"/>
                      <w:b/>
                      <w:bCs/>
                      <w:snapToGrid w:val="0"/>
                      <w:kern w:val="0"/>
                      <w:szCs w:val="21"/>
                    </w:rPr>
                    <w:t>项目</w:t>
                  </w:r>
                </w:p>
              </w:tc>
              <w:tc>
                <w:tcPr>
                  <w:tcW w:w="4635" w:type="dxa"/>
                  <w:gridSpan w:val="3"/>
                  <w:vAlign w:val="center"/>
                </w:tcPr>
                <w:p>
                  <w:pPr>
                    <w:jc w:val="center"/>
                    <w:rPr>
                      <w:snapToGrid w:val="0"/>
                      <w:w w:val="75"/>
                      <w:kern w:val="0"/>
                      <w:szCs w:val="21"/>
                    </w:rPr>
                  </w:pPr>
                  <w:r>
                    <w:rPr>
                      <w:rFonts w:hint="eastAsia"/>
                      <w:b/>
                      <w:bCs/>
                      <w:snapToGrid w:val="0"/>
                      <w:kern w:val="0"/>
                      <w:szCs w:val="21"/>
                    </w:rPr>
                    <w:t>监测结果</w:t>
                  </w:r>
                </w:p>
              </w:tc>
              <w:tc>
                <w:tcPr>
                  <w:tcW w:w="1316" w:type="dxa"/>
                  <w:vMerge w:val="restart"/>
                  <w:vAlign w:val="center"/>
                </w:tcPr>
                <w:p>
                  <w:pPr>
                    <w:jc w:val="center"/>
                    <w:rPr>
                      <w:b/>
                      <w:bCs/>
                      <w:snapToGrid w:val="0"/>
                      <w:kern w:val="0"/>
                      <w:szCs w:val="21"/>
                    </w:rPr>
                  </w:pPr>
                  <w:r>
                    <w:rPr>
                      <w:rFonts w:hint="eastAsia"/>
                      <w:snapToGrid w:val="0"/>
                      <w:w w:val="75"/>
                      <w:kern w:val="0"/>
                      <w:szCs w:val="21"/>
                    </w:rPr>
                    <w:t>《地表水环境质量标准》</w:t>
                  </w:r>
                  <w:r>
                    <w:rPr>
                      <w:rFonts w:hint="eastAsia"/>
                      <w:bCs/>
                      <w:snapToGrid w:val="0"/>
                      <w:w w:val="75"/>
                      <w:kern w:val="0"/>
                      <w:szCs w:val="21"/>
                    </w:rPr>
                    <w:t>Ⅳ</w:t>
                  </w:r>
                  <w:r>
                    <w:rPr>
                      <w:rFonts w:hint="eastAsia"/>
                      <w:snapToGrid w:val="0"/>
                      <w:w w:val="75"/>
                      <w:kern w:val="0"/>
                      <w:szCs w:val="21"/>
                    </w:rPr>
                    <w:t>标准</w:t>
                  </w:r>
                </w:p>
              </w:tc>
              <w:tc>
                <w:tcPr>
                  <w:tcW w:w="682" w:type="dxa"/>
                  <w:vMerge w:val="restart"/>
                  <w:vAlign w:val="center"/>
                </w:tcPr>
                <w:p>
                  <w:pPr>
                    <w:jc w:val="center"/>
                    <w:rPr>
                      <w:b/>
                      <w:bCs/>
                      <w:snapToGrid w:val="0"/>
                      <w:kern w:val="0"/>
                      <w:szCs w:val="21"/>
                    </w:rPr>
                  </w:pPr>
                  <w:r>
                    <w:rPr>
                      <w:rFonts w:hint="eastAsia"/>
                      <w:snapToGrid w:val="0"/>
                      <w:w w:val="75"/>
                      <w:kern w:val="0"/>
                      <w:szCs w:val="21"/>
                    </w:rPr>
                    <w:t>超标倍数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579" w:type="dxa"/>
                  <w:vMerge w:val="continue"/>
                  <w:vAlign w:val="center"/>
                </w:tcPr>
                <w:p>
                  <w:pPr>
                    <w:ind w:firstLine="420" w:firstLineChars="200"/>
                    <w:jc w:val="center"/>
                    <w:rPr>
                      <w:bCs/>
                      <w:snapToGrid w:val="0"/>
                      <w:kern w:val="0"/>
                      <w:szCs w:val="21"/>
                    </w:rPr>
                  </w:pPr>
                </w:p>
              </w:tc>
              <w:tc>
                <w:tcPr>
                  <w:tcW w:w="1689" w:type="dxa"/>
                  <w:vMerge w:val="continue"/>
                  <w:vAlign w:val="center"/>
                </w:tcPr>
                <w:p>
                  <w:pPr>
                    <w:ind w:firstLine="420" w:firstLineChars="200"/>
                    <w:jc w:val="center"/>
                    <w:rPr>
                      <w:bCs/>
                      <w:snapToGrid w:val="0"/>
                      <w:kern w:val="0"/>
                      <w:szCs w:val="21"/>
                    </w:rPr>
                  </w:pPr>
                </w:p>
              </w:tc>
              <w:tc>
                <w:tcPr>
                  <w:tcW w:w="1844" w:type="dxa"/>
                  <w:vAlign w:val="center"/>
                </w:tcPr>
                <w:p>
                  <w:pPr>
                    <w:jc w:val="center"/>
                    <w:rPr>
                      <w:snapToGrid w:val="0"/>
                      <w:kern w:val="0"/>
                      <w:szCs w:val="21"/>
                    </w:rPr>
                  </w:pPr>
                  <w:r>
                    <w:rPr>
                      <w:rFonts w:hint="eastAsia"/>
                      <w:snapToGrid w:val="0"/>
                      <w:kern w:val="0"/>
                      <w:szCs w:val="21"/>
                    </w:rPr>
                    <w:t>1#拟建项目排污口上游500m处</w:t>
                  </w:r>
                </w:p>
              </w:tc>
              <w:tc>
                <w:tcPr>
                  <w:tcW w:w="1305" w:type="dxa"/>
                  <w:vAlign w:val="center"/>
                </w:tcPr>
                <w:p>
                  <w:pPr>
                    <w:jc w:val="center"/>
                    <w:rPr>
                      <w:snapToGrid w:val="0"/>
                      <w:kern w:val="0"/>
                      <w:szCs w:val="21"/>
                    </w:rPr>
                  </w:pPr>
                  <w:r>
                    <w:rPr>
                      <w:rFonts w:hint="eastAsia"/>
                      <w:snapToGrid w:val="0"/>
                      <w:kern w:val="0"/>
                      <w:szCs w:val="21"/>
                    </w:rPr>
                    <w:t>2#拟建项目排污口</w:t>
                  </w:r>
                </w:p>
              </w:tc>
              <w:tc>
                <w:tcPr>
                  <w:tcW w:w="1486" w:type="dxa"/>
                  <w:vAlign w:val="center"/>
                </w:tcPr>
                <w:p>
                  <w:pPr>
                    <w:jc w:val="center"/>
                    <w:rPr>
                      <w:bCs/>
                      <w:snapToGrid w:val="0"/>
                      <w:kern w:val="0"/>
                      <w:szCs w:val="21"/>
                    </w:rPr>
                  </w:pPr>
                  <w:r>
                    <w:rPr>
                      <w:rFonts w:hint="eastAsia"/>
                      <w:bCs/>
                      <w:snapToGrid w:val="0"/>
                      <w:kern w:val="0"/>
                      <w:szCs w:val="21"/>
                    </w:rPr>
                    <w:t>3#拟建项目排污口下游1500m处</w:t>
                  </w:r>
                </w:p>
              </w:tc>
              <w:tc>
                <w:tcPr>
                  <w:tcW w:w="1316" w:type="dxa"/>
                  <w:vMerge w:val="continue"/>
                  <w:vAlign w:val="center"/>
                </w:tcPr>
                <w:p>
                  <w:pPr>
                    <w:ind w:firstLine="420" w:firstLineChars="200"/>
                    <w:jc w:val="center"/>
                    <w:rPr>
                      <w:bCs/>
                      <w:snapToGrid w:val="0"/>
                      <w:kern w:val="0"/>
                      <w:szCs w:val="21"/>
                    </w:rPr>
                  </w:pPr>
                </w:p>
              </w:tc>
              <w:tc>
                <w:tcPr>
                  <w:tcW w:w="682" w:type="dxa"/>
                  <w:vMerge w:val="continue"/>
                  <w:vAlign w:val="center"/>
                </w:tcPr>
                <w:p>
                  <w:pPr>
                    <w:ind w:firstLine="420" w:firstLineChars="200"/>
                    <w:jc w:val="center"/>
                    <w:rPr>
                      <w:bCs/>
                      <w:snapToGrid w:val="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1</w:t>
                  </w:r>
                </w:p>
              </w:tc>
              <w:tc>
                <w:tcPr>
                  <w:tcW w:w="1689" w:type="dxa"/>
                  <w:vAlign w:val="center"/>
                </w:tcPr>
                <w:p>
                  <w:pPr>
                    <w:jc w:val="center"/>
                    <w:rPr>
                      <w:bCs/>
                      <w:snapToGrid w:val="0"/>
                      <w:kern w:val="0"/>
                      <w:szCs w:val="21"/>
                    </w:rPr>
                  </w:pPr>
                  <w:r>
                    <w:rPr>
                      <w:rFonts w:hint="eastAsia"/>
                      <w:bCs/>
                      <w:snapToGrid w:val="0"/>
                      <w:kern w:val="0"/>
                      <w:szCs w:val="21"/>
                    </w:rPr>
                    <w:t>pH值</w:t>
                  </w:r>
                </w:p>
              </w:tc>
              <w:tc>
                <w:tcPr>
                  <w:tcW w:w="1844" w:type="dxa"/>
                  <w:vAlign w:val="center"/>
                </w:tcPr>
                <w:p>
                  <w:pPr>
                    <w:jc w:val="center"/>
                    <w:rPr>
                      <w:bCs/>
                      <w:snapToGrid w:val="0"/>
                      <w:kern w:val="0"/>
                      <w:szCs w:val="21"/>
                    </w:rPr>
                  </w:pPr>
                  <w:r>
                    <w:rPr>
                      <w:rFonts w:hint="eastAsia"/>
                      <w:bCs/>
                      <w:snapToGrid w:val="0"/>
                      <w:kern w:val="0"/>
                      <w:szCs w:val="21"/>
                    </w:rPr>
                    <w:t>7.18~7.21</w:t>
                  </w:r>
                </w:p>
              </w:tc>
              <w:tc>
                <w:tcPr>
                  <w:tcW w:w="1305" w:type="dxa"/>
                  <w:vAlign w:val="center"/>
                </w:tcPr>
                <w:p>
                  <w:pPr>
                    <w:jc w:val="center"/>
                    <w:rPr>
                      <w:bCs/>
                      <w:snapToGrid w:val="0"/>
                      <w:kern w:val="0"/>
                      <w:szCs w:val="21"/>
                    </w:rPr>
                  </w:pPr>
                  <w:r>
                    <w:rPr>
                      <w:rFonts w:hint="eastAsia"/>
                      <w:bCs/>
                      <w:snapToGrid w:val="0"/>
                      <w:kern w:val="0"/>
                      <w:szCs w:val="21"/>
                    </w:rPr>
                    <w:t>7.18~7.22</w:t>
                  </w:r>
                </w:p>
              </w:tc>
              <w:tc>
                <w:tcPr>
                  <w:tcW w:w="1486" w:type="dxa"/>
                  <w:vAlign w:val="center"/>
                </w:tcPr>
                <w:p>
                  <w:pPr>
                    <w:jc w:val="center"/>
                    <w:rPr>
                      <w:bCs/>
                      <w:snapToGrid w:val="0"/>
                      <w:kern w:val="0"/>
                      <w:szCs w:val="21"/>
                    </w:rPr>
                  </w:pPr>
                  <w:r>
                    <w:rPr>
                      <w:rFonts w:hint="eastAsia"/>
                      <w:bCs/>
                      <w:snapToGrid w:val="0"/>
                      <w:kern w:val="0"/>
                      <w:szCs w:val="21"/>
                    </w:rPr>
                    <w:t>7.19~7.23</w:t>
                  </w:r>
                </w:p>
              </w:tc>
              <w:tc>
                <w:tcPr>
                  <w:tcW w:w="1316" w:type="dxa"/>
                  <w:vAlign w:val="center"/>
                </w:tcPr>
                <w:p>
                  <w:pPr>
                    <w:jc w:val="center"/>
                    <w:rPr>
                      <w:bCs/>
                      <w:snapToGrid w:val="0"/>
                      <w:kern w:val="0"/>
                      <w:szCs w:val="21"/>
                    </w:rPr>
                  </w:pPr>
                  <w:r>
                    <w:rPr>
                      <w:rFonts w:hint="eastAsia"/>
                      <w:bCs/>
                      <w:snapToGrid w:val="0"/>
                      <w:kern w:val="0"/>
                      <w:szCs w:val="21"/>
                    </w:rPr>
                    <w:t>6~9</w:t>
                  </w:r>
                </w:p>
              </w:tc>
              <w:tc>
                <w:tcPr>
                  <w:tcW w:w="682" w:type="dxa"/>
                  <w:vAlign w:val="center"/>
                </w:tcPr>
                <w:p>
                  <w:pPr>
                    <w:jc w:val="center"/>
                    <w:rPr>
                      <w:bCs/>
                      <w:snapToGrid w:val="0"/>
                      <w:kern w:val="0"/>
                      <w:szCs w:val="21"/>
                    </w:rPr>
                  </w:pPr>
                  <w:r>
                    <w:rPr>
                      <w:rFonts w:hint="eastAsia"/>
                      <w:bCs/>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2</w:t>
                  </w:r>
                </w:p>
              </w:tc>
              <w:tc>
                <w:tcPr>
                  <w:tcW w:w="1689" w:type="dxa"/>
                  <w:vAlign w:val="center"/>
                </w:tcPr>
                <w:p>
                  <w:pPr>
                    <w:jc w:val="center"/>
                    <w:rPr>
                      <w:bCs/>
                      <w:snapToGrid w:val="0"/>
                      <w:kern w:val="0"/>
                      <w:szCs w:val="21"/>
                    </w:rPr>
                  </w:pPr>
                  <w:r>
                    <w:rPr>
                      <w:rFonts w:hint="eastAsia"/>
                      <w:bCs/>
                      <w:snapToGrid w:val="0"/>
                      <w:kern w:val="0"/>
                      <w:szCs w:val="21"/>
                    </w:rPr>
                    <w:t>BOD</w:t>
                  </w:r>
                  <w:r>
                    <w:rPr>
                      <w:rFonts w:hint="eastAsia"/>
                      <w:bCs/>
                      <w:snapToGrid w:val="0"/>
                      <w:kern w:val="0"/>
                      <w:szCs w:val="21"/>
                      <w:vertAlign w:val="subscript"/>
                    </w:rPr>
                    <w:t>5</w:t>
                  </w:r>
                </w:p>
              </w:tc>
              <w:tc>
                <w:tcPr>
                  <w:tcW w:w="1844" w:type="dxa"/>
                  <w:vAlign w:val="center"/>
                </w:tcPr>
                <w:p>
                  <w:pPr>
                    <w:jc w:val="center"/>
                    <w:rPr>
                      <w:bCs/>
                      <w:snapToGrid w:val="0"/>
                      <w:kern w:val="0"/>
                      <w:szCs w:val="21"/>
                    </w:rPr>
                  </w:pPr>
                  <w:r>
                    <w:rPr>
                      <w:rFonts w:hint="eastAsia"/>
                      <w:bCs/>
                      <w:snapToGrid w:val="0"/>
                      <w:kern w:val="0"/>
                      <w:szCs w:val="21"/>
                    </w:rPr>
                    <w:t>3.4~3.7</w:t>
                  </w:r>
                </w:p>
              </w:tc>
              <w:tc>
                <w:tcPr>
                  <w:tcW w:w="1305" w:type="dxa"/>
                  <w:vAlign w:val="center"/>
                </w:tcPr>
                <w:p>
                  <w:pPr>
                    <w:jc w:val="center"/>
                    <w:rPr>
                      <w:bCs/>
                      <w:snapToGrid w:val="0"/>
                      <w:kern w:val="0"/>
                      <w:szCs w:val="21"/>
                    </w:rPr>
                  </w:pPr>
                  <w:r>
                    <w:rPr>
                      <w:rFonts w:hint="eastAsia"/>
                      <w:bCs/>
                      <w:snapToGrid w:val="0"/>
                      <w:kern w:val="0"/>
                      <w:szCs w:val="21"/>
                    </w:rPr>
                    <w:t>3.1~3.8</w:t>
                  </w:r>
                </w:p>
              </w:tc>
              <w:tc>
                <w:tcPr>
                  <w:tcW w:w="1486" w:type="dxa"/>
                  <w:vAlign w:val="center"/>
                </w:tcPr>
                <w:p>
                  <w:pPr>
                    <w:jc w:val="center"/>
                    <w:rPr>
                      <w:bCs/>
                      <w:snapToGrid w:val="0"/>
                      <w:kern w:val="0"/>
                      <w:szCs w:val="21"/>
                    </w:rPr>
                  </w:pPr>
                  <w:r>
                    <w:rPr>
                      <w:rFonts w:hint="eastAsia"/>
                      <w:bCs/>
                      <w:snapToGrid w:val="0"/>
                      <w:kern w:val="0"/>
                      <w:szCs w:val="21"/>
                    </w:rPr>
                    <w:t>3.0~3.9</w:t>
                  </w:r>
                </w:p>
              </w:tc>
              <w:tc>
                <w:tcPr>
                  <w:tcW w:w="1316" w:type="dxa"/>
                  <w:vAlign w:val="center"/>
                </w:tcPr>
                <w:p>
                  <w:pPr>
                    <w:jc w:val="center"/>
                    <w:rPr>
                      <w:bCs/>
                      <w:snapToGrid w:val="0"/>
                      <w:kern w:val="0"/>
                      <w:szCs w:val="21"/>
                    </w:rPr>
                  </w:pPr>
                  <w:r>
                    <w:rPr>
                      <w:rFonts w:hint="eastAsia"/>
                      <w:bCs/>
                      <w:snapToGrid w:val="0"/>
                      <w:kern w:val="0"/>
                      <w:szCs w:val="21"/>
                    </w:rPr>
                    <w:t>≤6</w:t>
                  </w:r>
                </w:p>
              </w:tc>
              <w:tc>
                <w:tcPr>
                  <w:tcW w:w="682" w:type="dxa"/>
                  <w:vAlign w:val="center"/>
                </w:tcPr>
                <w:p>
                  <w:pPr>
                    <w:jc w:val="center"/>
                    <w:rPr>
                      <w:bCs/>
                      <w:snapToGrid w:val="0"/>
                      <w:kern w:val="0"/>
                      <w:szCs w:val="21"/>
                    </w:rPr>
                  </w:pPr>
                  <w:r>
                    <w:rPr>
                      <w:rFonts w:hint="eastAsia"/>
                      <w:bCs/>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3</w:t>
                  </w:r>
                </w:p>
              </w:tc>
              <w:tc>
                <w:tcPr>
                  <w:tcW w:w="1689" w:type="dxa"/>
                  <w:vAlign w:val="center"/>
                </w:tcPr>
                <w:p>
                  <w:pPr>
                    <w:jc w:val="center"/>
                    <w:rPr>
                      <w:bCs/>
                      <w:snapToGrid w:val="0"/>
                      <w:kern w:val="0"/>
                      <w:szCs w:val="21"/>
                    </w:rPr>
                  </w:pPr>
                  <w:r>
                    <w:rPr>
                      <w:rFonts w:hint="eastAsia"/>
                      <w:bCs/>
                      <w:snapToGrid w:val="0"/>
                      <w:kern w:val="0"/>
                      <w:szCs w:val="21"/>
                    </w:rPr>
                    <w:t>六价铬</w:t>
                  </w:r>
                </w:p>
              </w:tc>
              <w:tc>
                <w:tcPr>
                  <w:tcW w:w="1844" w:type="dxa"/>
                  <w:vAlign w:val="center"/>
                </w:tcPr>
                <w:p>
                  <w:pPr>
                    <w:jc w:val="center"/>
                    <w:rPr>
                      <w:bCs/>
                      <w:snapToGrid w:val="0"/>
                      <w:kern w:val="0"/>
                      <w:szCs w:val="21"/>
                    </w:rPr>
                  </w:pPr>
                  <w:r>
                    <w:rPr>
                      <w:rFonts w:hint="eastAsia"/>
                      <w:bCs/>
                      <w:snapToGrid w:val="0"/>
                      <w:kern w:val="0"/>
                      <w:szCs w:val="21"/>
                    </w:rPr>
                    <w:t>0.24</w:t>
                  </w:r>
                </w:p>
              </w:tc>
              <w:tc>
                <w:tcPr>
                  <w:tcW w:w="1305" w:type="dxa"/>
                  <w:vAlign w:val="center"/>
                </w:tcPr>
                <w:p>
                  <w:pPr>
                    <w:jc w:val="center"/>
                    <w:rPr>
                      <w:bCs/>
                      <w:snapToGrid w:val="0"/>
                      <w:kern w:val="0"/>
                      <w:szCs w:val="21"/>
                    </w:rPr>
                  </w:pPr>
                  <w:r>
                    <w:rPr>
                      <w:rFonts w:hint="eastAsia"/>
                      <w:bCs/>
                      <w:snapToGrid w:val="0"/>
                      <w:kern w:val="0"/>
                      <w:szCs w:val="21"/>
                    </w:rPr>
                    <w:t>0.026</w:t>
                  </w:r>
                </w:p>
              </w:tc>
              <w:tc>
                <w:tcPr>
                  <w:tcW w:w="1486" w:type="dxa"/>
                  <w:vAlign w:val="center"/>
                </w:tcPr>
                <w:p>
                  <w:pPr>
                    <w:jc w:val="center"/>
                    <w:rPr>
                      <w:bCs/>
                      <w:snapToGrid w:val="0"/>
                      <w:kern w:val="0"/>
                      <w:szCs w:val="21"/>
                    </w:rPr>
                  </w:pPr>
                  <w:r>
                    <w:rPr>
                      <w:rFonts w:hint="eastAsia"/>
                      <w:bCs/>
                      <w:snapToGrid w:val="0"/>
                      <w:kern w:val="0"/>
                      <w:szCs w:val="21"/>
                    </w:rPr>
                    <w:t>0.022~0.023</w:t>
                  </w:r>
                </w:p>
              </w:tc>
              <w:tc>
                <w:tcPr>
                  <w:tcW w:w="1316" w:type="dxa"/>
                  <w:vAlign w:val="center"/>
                </w:tcPr>
                <w:p>
                  <w:pPr>
                    <w:jc w:val="center"/>
                    <w:rPr>
                      <w:bCs/>
                      <w:snapToGrid w:val="0"/>
                      <w:kern w:val="0"/>
                      <w:szCs w:val="21"/>
                    </w:rPr>
                  </w:pPr>
                  <w:r>
                    <w:rPr>
                      <w:rFonts w:hint="eastAsia"/>
                      <w:bCs/>
                      <w:snapToGrid w:val="0"/>
                      <w:kern w:val="0"/>
                      <w:szCs w:val="21"/>
                    </w:rPr>
                    <w:t>≤0.05</w:t>
                  </w:r>
                </w:p>
              </w:tc>
              <w:tc>
                <w:tcPr>
                  <w:tcW w:w="682" w:type="dxa"/>
                  <w:vAlign w:val="center"/>
                </w:tcPr>
                <w:p>
                  <w:pPr>
                    <w:jc w:val="center"/>
                    <w:rPr>
                      <w:bCs/>
                      <w:snapToGrid w:val="0"/>
                      <w:kern w:val="0"/>
                      <w:szCs w:val="21"/>
                    </w:rPr>
                  </w:pPr>
                  <w:r>
                    <w:rPr>
                      <w:rFonts w:hint="eastAsia"/>
                      <w:bCs/>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4</w:t>
                  </w:r>
                </w:p>
              </w:tc>
              <w:tc>
                <w:tcPr>
                  <w:tcW w:w="1689" w:type="dxa"/>
                  <w:vAlign w:val="center"/>
                </w:tcPr>
                <w:p>
                  <w:pPr>
                    <w:jc w:val="center"/>
                    <w:rPr>
                      <w:bCs/>
                      <w:snapToGrid w:val="0"/>
                      <w:kern w:val="0"/>
                      <w:szCs w:val="21"/>
                    </w:rPr>
                  </w:pPr>
                  <w:r>
                    <w:rPr>
                      <w:rFonts w:hint="eastAsia"/>
                      <w:bCs/>
                      <w:snapToGrid w:val="0"/>
                      <w:kern w:val="0"/>
                      <w:szCs w:val="21"/>
                    </w:rPr>
                    <w:t>水温（℃）</w:t>
                  </w:r>
                </w:p>
              </w:tc>
              <w:tc>
                <w:tcPr>
                  <w:tcW w:w="1844" w:type="dxa"/>
                  <w:vAlign w:val="center"/>
                </w:tcPr>
                <w:p>
                  <w:pPr>
                    <w:jc w:val="center"/>
                    <w:rPr>
                      <w:bCs/>
                      <w:snapToGrid w:val="0"/>
                      <w:kern w:val="0"/>
                      <w:szCs w:val="21"/>
                    </w:rPr>
                  </w:pPr>
                  <w:r>
                    <w:rPr>
                      <w:rFonts w:hint="eastAsia"/>
                      <w:bCs/>
                      <w:snapToGrid w:val="0"/>
                      <w:kern w:val="0"/>
                      <w:szCs w:val="21"/>
                    </w:rPr>
                    <w:t>1</w:t>
                  </w:r>
                </w:p>
              </w:tc>
              <w:tc>
                <w:tcPr>
                  <w:tcW w:w="1305" w:type="dxa"/>
                  <w:vAlign w:val="center"/>
                </w:tcPr>
                <w:p>
                  <w:pPr>
                    <w:jc w:val="center"/>
                    <w:rPr>
                      <w:bCs/>
                      <w:snapToGrid w:val="0"/>
                      <w:kern w:val="0"/>
                      <w:szCs w:val="21"/>
                    </w:rPr>
                  </w:pPr>
                  <w:r>
                    <w:rPr>
                      <w:rFonts w:hint="eastAsia"/>
                      <w:bCs/>
                      <w:snapToGrid w:val="0"/>
                      <w:kern w:val="0"/>
                      <w:szCs w:val="21"/>
                    </w:rPr>
                    <w:t>1</w:t>
                  </w:r>
                </w:p>
              </w:tc>
              <w:tc>
                <w:tcPr>
                  <w:tcW w:w="1486" w:type="dxa"/>
                  <w:vAlign w:val="center"/>
                </w:tcPr>
                <w:p>
                  <w:pPr>
                    <w:jc w:val="center"/>
                    <w:rPr>
                      <w:bCs/>
                      <w:snapToGrid w:val="0"/>
                      <w:kern w:val="0"/>
                      <w:szCs w:val="21"/>
                    </w:rPr>
                  </w:pPr>
                  <w:r>
                    <w:rPr>
                      <w:rFonts w:hint="eastAsia"/>
                      <w:bCs/>
                      <w:snapToGrid w:val="0"/>
                      <w:kern w:val="0"/>
                      <w:szCs w:val="21"/>
                    </w:rPr>
                    <w:t>1</w:t>
                  </w:r>
                </w:p>
              </w:tc>
              <w:tc>
                <w:tcPr>
                  <w:tcW w:w="1316" w:type="dxa"/>
                  <w:vAlign w:val="center"/>
                </w:tcPr>
                <w:p>
                  <w:pPr>
                    <w:jc w:val="center"/>
                    <w:rPr>
                      <w:bCs/>
                      <w:snapToGrid w:val="0"/>
                      <w:kern w:val="0"/>
                      <w:szCs w:val="21"/>
                    </w:rPr>
                  </w:pPr>
                  <w:r>
                    <w:rPr>
                      <w:rFonts w:hint="eastAsia"/>
                      <w:bCs/>
                      <w:snapToGrid w:val="0"/>
                      <w:kern w:val="0"/>
                      <w:szCs w:val="21"/>
                    </w:rPr>
                    <w:t>/</w:t>
                  </w:r>
                </w:p>
              </w:tc>
              <w:tc>
                <w:tcPr>
                  <w:tcW w:w="682" w:type="dxa"/>
                  <w:vAlign w:val="center"/>
                </w:tcPr>
                <w:p>
                  <w:pPr>
                    <w:jc w:val="center"/>
                    <w:rPr>
                      <w:bCs/>
                      <w:snapToGrid w:val="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5</w:t>
                  </w:r>
                </w:p>
              </w:tc>
              <w:tc>
                <w:tcPr>
                  <w:tcW w:w="1689" w:type="dxa"/>
                  <w:vAlign w:val="center"/>
                </w:tcPr>
                <w:p>
                  <w:pPr>
                    <w:jc w:val="center"/>
                    <w:rPr>
                      <w:bCs/>
                      <w:snapToGrid w:val="0"/>
                      <w:kern w:val="0"/>
                      <w:szCs w:val="21"/>
                    </w:rPr>
                  </w:pPr>
                  <w:r>
                    <w:rPr>
                      <w:rFonts w:hint="eastAsia"/>
                      <w:bCs/>
                      <w:snapToGrid w:val="0"/>
                      <w:kern w:val="0"/>
                      <w:szCs w:val="21"/>
                    </w:rPr>
                    <w:t>高锰酸盐指数</w:t>
                  </w:r>
                </w:p>
              </w:tc>
              <w:tc>
                <w:tcPr>
                  <w:tcW w:w="1844" w:type="dxa"/>
                  <w:vAlign w:val="center"/>
                </w:tcPr>
                <w:p>
                  <w:pPr>
                    <w:jc w:val="center"/>
                    <w:rPr>
                      <w:bCs/>
                      <w:snapToGrid w:val="0"/>
                      <w:kern w:val="0"/>
                      <w:szCs w:val="21"/>
                    </w:rPr>
                  </w:pPr>
                  <w:r>
                    <w:rPr>
                      <w:rFonts w:hint="eastAsia"/>
                      <w:bCs/>
                      <w:snapToGrid w:val="0"/>
                      <w:kern w:val="0"/>
                      <w:szCs w:val="21"/>
                    </w:rPr>
                    <w:t>2.6</w:t>
                  </w:r>
                </w:p>
              </w:tc>
              <w:tc>
                <w:tcPr>
                  <w:tcW w:w="1305" w:type="dxa"/>
                  <w:vAlign w:val="center"/>
                </w:tcPr>
                <w:p>
                  <w:pPr>
                    <w:jc w:val="center"/>
                    <w:rPr>
                      <w:bCs/>
                      <w:snapToGrid w:val="0"/>
                      <w:kern w:val="0"/>
                      <w:szCs w:val="21"/>
                    </w:rPr>
                  </w:pPr>
                  <w:r>
                    <w:rPr>
                      <w:rFonts w:hint="eastAsia"/>
                      <w:bCs/>
                      <w:snapToGrid w:val="0"/>
                      <w:kern w:val="0"/>
                      <w:szCs w:val="21"/>
                    </w:rPr>
                    <w:t>4.8~5.0</w:t>
                  </w:r>
                </w:p>
              </w:tc>
              <w:tc>
                <w:tcPr>
                  <w:tcW w:w="1486" w:type="dxa"/>
                  <w:vAlign w:val="center"/>
                </w:tcPr>
                <w:p>
                  <w:pPr>
                    <w:jc w:val="center"/>
                    <w:rPr>
                      <w:bCs/>
                      <w:snapToGrid w:val="0"/>
                      <w:kern w:val="0"/>
                      <w:szCs w:val="21"/>
                    </w:rPr>
                  </w:pPr>
                  <w:r>
                    <w:rPr>
                      <w:rFonts w:hint="eastAsia"/>
                      <w:bCs/>
                      <w:snapToGrid w:val="0"/>
                      <w:kern w:val="0"/>
                      <w:szCs w:val="21"/>
                    </w:rPr>
                    <w:t>3.2</w:t>
                  </w:r>
                </w:p>
              </w:tc>
              <w:tc>
                <w:tcPr>
                  <w:tcW w:w="1316" w:type="dxa"/>
                  <w:vAlign w:val="center"/>
                </w:tcPr>
                <w:p>
                  <w:pPr>
                    <w:jc w:val="center"/>
                    <w:rPr>
                      <w:bCs/>
                      <w:snapToGrid w:val="0"/>
                      <w:kern w:val="0"/>
                      <w:szCs w:val="21"/>
                    </w:rPr>
                  </w:pPr>
                  <w:r>
                    <w:rPr>
                      <w:rFonts w:hint="eastAsia"/>
                      <w:bCs/>
                      <w:snapToGrid w:val="0"/>
                      <w:kern w:val="0"/>
                      <w:szCs w:val="21"/>
                    </w:rPr>
                    <w:t>≤10</w:t>
                  </w:r>
                </w:p>
              </w:tc>
              <w:tc>
                <w:tcPr>
                  <w:tcW w:w="682" w:type="dxa"/>
                  <w:vAlign w:val="center"/>
                </w:tcPr>
                <w:p>
                  <w:pPr>
                    <w:jc w:val="center"/>
                    <w:rPr>
                      <w:bCs/>
                      <w:snapToGrid w:val="0"/>
                      <w:kern w:val="0"/>
                      <w:szCs w:val="21"/>
                    </w:rPr>
                  </w:pPr>
                  <w:r>
                    <w:rPr>
                      <w:rFonts w:hint="eastAsia"/>
                      <w:bCs/>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6</w:t>
                  </w:r>
                </w:p>
              </w:tc>
              <w:tc>
                <w:tcPr>
                  <w:tcW w:w="1689" w:type="dxa"/>
                  <w:vAlign w:val="center"/>
                </w:tcPr>
                <w:p>
                  <w:pPr>
                    <w:jc w:val="center"/>
                    <w:rPr>
                      <w:bCs/>
                      <w:snapToGrid w:val="0"/>
                      <w:kern w:val="0"/>
                      <w:szCs w:val="21"/>
                    </w:rPr>
                  </w:pPr>
                  <w:r>
                    <w:rPr>
                      <w:rFonts w:hint="eastAsia"/>
                      <w:bCs/>
                      <w:snapToGrid w:val="0"/>
                      <w:kern w:val="0"/>
                      <w:szCs w:val="21"/>
                    </w:rPr>
                    <w:t>溶解氧</w:t>
                  </w:r>
                </w:p>
              </w:tc>
              <w:tc>
                <w:tcPr>
                  <w:tcW w:w="1844" w:type="dxa"/>
                  <w:vAlign w:val="center"/>
                </w:tcPr>
                <w:p>
                  <w:pPr>
                    <w:jc w:val="center"/>
                    <w:rPr>
                      <w:snapToGrid w:val="0"/>
                      <w:w w:val="85"/>
                      <w:kern w:val="0"/>
                      <w:szCs w:val="21"/>
                    </w:rPr>
                  </w:pPr>
                  <w:r>
                    <w:rPr>
                      <w:rFonts w:hint="eastAsia"/>
                      <w:bCs/>
                      <w:snapToGrid w:val="0"/>
                      <w:kern w:val="0"/>
                      <w:szCs w:val="21"/>
                    </w:rPr>
                    <w:t>11.0</w:t>
                  </w:r>
                </w:p>
              </w:tc>
              <w:tc>
                <w:tcPr>
                  <w:tcW w:w="1305" w:type="dxa"/>
                  <w:vAlign w:val="center"/>
                </w:tcPr>
                <w:p>
                  <w:pPr>
                    <w:jc w:val="center"/>
                    <w:rPr>
                      <w:snapToGrid w:val="0"/>
                      <w:w w:val="85"/>
                      <w:kern w:val="0"/>
                      <w:szCs w:val="21"/>
                    </w:rPr>
                  </w:pPr>
                  <w:r>
                    <w:rPr>
                      <w:rFonts w:hint="eastAsia"/>
                      <w:bCs/>
                      <w:snapToGrid w:val="0"/>
                      <w:kern w:val="0"/>
                      <w:szCs w:val="21"/>
                    </w:rPr>
                    <w:t>10.6</w:t>
                  </w:r>
                </w:p>
              </w:tc>
              <w:tc>
                <w:tcPr>
                  <w:tcW w:w="1486" w:type="dxa"/>
                  <w:vAlign w:val="center"/>
                </w:tcPr>
                <w:p>
                  <w:pPr>
                    <w:jc w:val="center"/>
                    <w:rPr>
                      <w:bCs/>
                      <w:snapToGrid w:val="0"/>
                      <w:kern w:val="0"/>
                      <w:szCs w:val="21"/>
                    </w:rPr>
                  </w:pPr>
                  <w:r>
                    <w:rPr>
                      <w:rFonts w:hint="eastAsia"/>
                      <w:bCs/>
                      <w:snapToGrid w:val="0"/>
                      <w:kern w:val="0"/>
                      <w:szCs w:val="21"/>
                    </w:rPr>
                    <w:t>10.6~10.8</w:t>
                  </w:r>
                </w:p>
              </w:tc>
              <w:tc>
                <w:tcPr>
                  <w:tcW w:w="1316" w:type="dxa"/>
                  <w:vAlign w:val="center"/>
                </w:tcPr>
                <w:p>
                  <w:pPr>
                    <w:jc w:val="center"/>
                    <w:rPr>
                      <w:bCs/>
                      <w:snapToGrid w:val="0"/>
                      <w:kern w:val="0"/>
                      <w:szCs w:val="21"/>
                    </w:rPr>
                  </w:pPr>
                  <w:r>
                    <w:rPr>
                      <w:rFonts w:hint="eastAsia"/>
                      <w:bCs/>
                      <w:snapToGrid w:val="0"/>
                      <w:kern w:val="0"/>
                      <w:szCs w:val="21"/>
                    </w:rPr>
                    <w:t>≥3</w:t>
                  </w:r>
                </w:p>
              </w:tc>
              <w:tc>
                <w:tcPr>
                  <w:tcW w:w="682" w:type="dxa"/>
                  <w:vAlign w:val="center"/>
                </w:tcPr>
                <w:p>
                  <w:pPr>
                    <w:jc w:val="center"/>
                    <w:rPr>
                      <w:bCs/>
                      <w:snapToGrid w:val="0"/>
                      <w:kern w:val="0"/>
                      <w:szCs w:val="21"/>
                    </w:rPr>
                  </w:pPr>
                  <w:r>
                    <w:rPr>
                      <w:rFonts w:hint="eastAsia"/>
                      <w:bCs/>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7</w:t>
                  </w:r>
                </w:p>
              </w:tc>
              <w:tc>
                <w:tcPr>
                  <w:tcW w:w="1689" w:type="dxa"/>
                  <w:vAlign w:val="center"/>
                </w:tcPr>
                <w:p>
                  <w:pPr>
                    <w:jc w:val="center"/>
                    <w:rPr>
                      <w:bCs/>
                      <w:snapToGrid w:val="0"/>
                      <w:kern w:val="0"/>
                      <w:szCs w:val="21"/>
                    </w:rPr>
                  </w:pPr>
                  <w:r>
                    <w:rPr>
                      <w:rFonts w:hint="eastAsia"/>
                      <w:bCs/>
                      <w:snapToGrid w:val="0"/>
                      <w:kern w:val="0"/>
                      <w:szCs w:val="21"/>
                    </w:rPr>
                    <w:t>化学需氧量</w:t>
                  </w:r>
                </w:p>
              </w:tc>
              <w:tc>
                <w:tcPr>
                  <w:tcW w:w="1844" w:type="dxa"/>
                  <w:vAlign w:val="center"/>
                </w:tcPr>
                <w:p>
                  <w:pPr>
                    <w:jc w:val="center"/>
                    <w:rPr>
                      <w:bCs/>
                      <w:snapToGrid w:val="0"/>
                      <w:kern w:val="0"/>
                      <w:szCs w:val="21"/>
                    </w:rPr>
                  </w:pPr>
                  <w:r>
                    <w:rPr>
                      <w:rFonts w:hint="eastAsia"/>
                      <w:bCs/>
                      <w:snapToGrid w:val="0"/>
                      <w:kern w:val="0"/>
                      <w:szCs w:val="21"/>
                    </w:rPr>
                    <w:t>27~29</w:t>
                  </w:r>
                </w:p>
              </w:tc>
              <w:tc>
                <w:tcPr>
                  <w:tcW w:w="1305" w:type="dxa"/>
                  <w:vAlign w:val="center"/>
                </w:tcPr>
                <w:p>
                  <w:pPr>
                    <w:jc w:val="center"/>
                    <w:rPr>
                      <w:bCs/>
                      <w:snapToGrid w:val="0"/>
                      <w:kern w:val="0"/>
                      <w:szCs w:val="21"/>
                    </w:rPr>
                  </w:pPr>
                  <w:r>
                    <w:rPr>
                      <w:rFonts w:hint="eastAsia"/>
                      <w:bCs/>
                      <w:snapToGrid w:val="0"/>
                      <w:kern w:val="0"/>
                      <w:szCs w:val="21"/>
                    </w:rPr>
                    <w:t>24~25</w:t>
                  </w:r>
                </w:p>
              </w:tc>
              <w:tc>
                <w:tcPr>
                  <w:tcW w:w="1486" w:type="dxa"/>
                  <w:vAlign w:val="center"/>
                </w:tcPr>
                <w:p>
                  <w:pPr>
                    <w:jc w:val="center"/>
                    <w:rPr>
                      <w:bCs/>
                      <w:snapToGrid w:val="0"/>
                      <w:kern w:val="0"/>
                      <w:szCs w:val="21"/>
                    </w:rPr>
                  </w:pPr>
                  <w:r>
                    <w:rPr>
                      <w:rFonts w:hint="eastAsia"/>
                      <w:bCs/>
                      <w:snapToGrid w:val="0"/>
                      <w:kern w:val="0"/>
                      <w:szCs w:val="21"/>
                    </w:rPr>
                    <w:t>26~28</w:t>
                  </w:r>
                </w:p>
              </w:tc>
              <w:tc>
                <w:tcPr>
                  <w:tcW w:w="1316" w:type="dxa"/>
                  <w:vAlign w:val="center"/>
                </w:tcPr>
                <w:p>
                  <w:pPr>
                    <w:jc w:val="center"/>
                    <w:rPr>
                      <w:bCs/>
                      <w:snapToGrid w:val="0"/>
                      <w:kern w:val="0"/>
                      <w:szCs w:val="21"/>
                    </w:rPr>
                  </w:pPr>
                  <w:r>
                    <w:rPr>
                      <w:rFonts w:hint="eastAsia"/>
                      <w:bCs/>
                      <w:snapToGrid w:val="0"/>
                      <w:kern w:val="0"/>
                      <w:szCs w:val="21"/>
                    </w:rPr>
                    <w:t>≤30</w:t>
                  </w:r>
                </w:p>
              </w:tc>
              <w:tc>
                <w:tcPr>
                  <w:tcW w:w="682" w:type="dxa"/>
                  <w:vAlign w:val="center"/>
                </w:tcPr>
                <w:p>
                  <w:pPr>
                    <w:jc w:val="center"/>
                    <w:rPr>
                      <w:bCs/>
                      <w:snapToGrid w:val="0"/>
                      <w:kern w:val="0"/>
                      <w:szCs w:val="21"/>
                    </w:rPr>
                  </w:pPr>
                  <w:r>
                    <w:rPr>
                      <w:rFonts w:hint="eastAsia"/>
                      <w:bCs/>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8</w:t>
                  </w:r>
                </w:p>
              </w:tc>
              <w:tc>
                <w:tcPr>
                  <w:tcW w:w="1689" w:type="dxa"/>
                  <w:vAlign w:val="center"/>
                </w:tcPr>
                <w:p>
                  <w:pPr>
                    <w:jc w:val="center"/>
                    <w:rPr>
                      <w:bCs/>
                      <w:snapToGrid w:val="0"/>
                      <w:kern w:val="0"/>
                      <w:szCs w:val="21"/>
                    </w:rPr>
                  </w:pPr>
                  <w:r>
                    <w:rPr>
                      <w:rFonts w:hint="eastAsia"/>
                      <w:bCs/>
                      <w:snapToGrid w:val="0"/>
                      <w:kern w:val="0"/>
                      <w:szCs w:val="21"/>
                    </w:rPr>
                    <w:t>氨氮</w:t>
                  </w:r>
                </w:p>
              </w:tc>
              <w:tc>
                <w:tcPr>
                  <w:tcW w:w="1844" w:type="dxa"/>
                  <w:vAlign w:val="center"/>
                </w:tcPr>
                <w:p>
                  <w:pPr>
                    <w:jc w:val="center"/>
                    <w:rPr>
                      <w:bCs/>
                      <w:snapToGrid w:val="0"/>
                      <w:kern w:val="0"/>
                      <w:szCs w:val="21"/>
                    </w:rPr>
                  </w:pPr>
                  <w:r>
                    <w:rPr>
                      <w:rFonts w:hint="eastAsia"/>
                      <w:bCs/>
                      <w:snapToGrid w:val="0"/>
                      <w:kern w:val="0"/>
                      <w:szCs w:val="21"/>
                    </w:rPr>
                    <w:t>0.067~0.07</w:t>
                  </w:r>
                </w:p>
              </w:tc>
              <w:tc>
                <w:tcPr>
                  <w:tcW w:w="1305" w:type="dxa"/>
                  <w:vAlign w:val="center"/>
                </w:tcPr>
                <w:p>
                  <w:pPr>
                    <w:jc w:val="center"/>
                    <w:rPr>
                      <w:bCs/>
                      <w:snapToGrid w:val="0"/>
                      <w:kern w:val="0"/>
                      <w:szCs w:val="21"/>
                    </w:rPr>
                  </w:pPr>
                  <w:r>
                    <w:rPr>
                      <w:rFonts w:hint="eastAsia"/>
                      <w:bCs/>
                      <w:snapToGrid w:val="0"/>
                      <w:kern w:val="0"/>
                      <w:szCs w:val="21"/>
                    </w:rPr>
                    <w:t>0.078~0.082</w:t>
                  </w:r>
                </w:p>
              </w:tc>
              <w:tc>
                <w:tcPr>
                  <w:tcW w:w="1486" w:type="dxa"/>
                  <w:vAlign w:val="center"/>
                </w:tcPr>
                <w:p>
                  <w:pPr>
                    <w:jc w:val="center"/>
                    <w:rPr>
                      <w:bCs/>
                      <w:snapToGrid w:val="0"/>
                      <w:kern w:val="0"/>
                      <w:szCs w:val="21"/>
                    </w:rPr>
                  </w:pPr>
                  <w:r>
                    <w:rPr>
                      <w:rFonts w:hint="eastAsia"/>
                      <w:bCs/>
                      <w:snapToGrid w:val="0"/>
                      <w:kern w:val="0"/>
                      <w:szCs w:val="21"/>
                    </w:rPr>
                    <w:t>0.062~0.064</w:t>
                  </w:r>
                </w:p>
              </w:tc>
              <w:tc>
                <w:tcPr>
                  <w:tcW w:w="1316" w:type="dxa"/>
                  <w:vAlign w:val="center"/>
                </w:tcPr>
                <w:p>
                  <w:pPr>
                    <w:jc w:val="center"/>
                    <w:rPr>
                      <w:bCs/>
                      <w:snapToGrid w:val="0"/>
                      <w:kern w:val="0"/>
                      <w:szCs w:val="21"/>
                    </w:rPr>
                  </w:pPr>
                  <w:r>
                    <w:rPr>
                      <w:rFonts w:hint="eastAsia"/>
                      <w:bCs/>
                      <w:snapToGrid w:val="0"/>
                      <w:kern w:val="0"/>
                      <w:szCs w:val="21"/>
                    </w:rPr>
                    <w:t>≤1.5</w:t>
                  </w:r>
                </w:p>
              </w:tc>
              <w:tc>
                <w:tcPr>
                  <w:tcW w:w="682" w:type="dxa"/>
                  <w:vAlign w:val="center"/>
                </w:tcPr>
                <w:p>
                  <w:pPr>
                    <w:jc w:val="center"/>
                    <w:rPr>
                      <w:bCs/>
                      <w:snapToGrid w:val="0"/>
                      <w:kern w:val="0"/>
                      <w:szCs w:val="21"/>
                    </w:rPr>
                  </w:pPr>
                  <w:r>
                    <w:rPr>
                      <w:rFonts w:hint="eastAsia"/>
                      <w:bCs/>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0</w:t>
                  </w:r>
                </w:p>
              </w:tc>
              <w:tc>
                <w:tcPr>
                  <w:tcW w:w="1689" w:type="dxa"/>
                  <w:vAlign w:val="center"/>
                </w:tcPr>
                <w:p>
                  <w:pPr>
                    <w:jc w:val="center"/>
                    <w:rPr>
                      <w:bCs/>
                      <w:snapToGrid w:val="0"/>
                      <w:kern w:val="0"/>
                      <w:szCs w:val="21"/>
                    </w:rPr>
                  </w:pPr>
                  <w:r>
                    <w:rPr>
                      <w:rFonts w:hint="eastAsia"/>
                      <w:bCs/>
                      <w:snapToGrid w:val="0"/>
                      <w:kern w:val="0"/>
                      <w:szCs w:val="21"/>
                    </w:rPr>
                    <w:t>总磷</w:t>
                  </w:r>
                </w:p>
              </w:tc>
              <w:tc>
                <w:tcPr>
                  <w:tcW w:w="1844" w:type="dxa"/>
                  <w:vAlign w:val="center"/>
                </w:tcPr>
                <w:p>
                  <w:pPr>
                    <w:jc w:val="center"/>
                    <w:rPr>
                      <w:bCs/>
                      <w:snapToGrid w:val="0"/>
                      <w:kern w:val="0"/>
                      <w:szCs w:val="21"/>
                    </w:rPr>
                  </w:pPr>
                  <w:r>
                    <w:rPr>
                      <w:rFonts w:hint="eastAsia"/>
                      <w:bCs/>
                      <w:snapToGrid w:val="0"/>
                      <w:kern w:val="0"/>
                      <w:szCs w:val="21"/>
                    </w:rPr>
                    <w:t>0.07~0.072</w:t>
                  </w:r>
                </w:p>
              </w:tc>
              <w:tc>
                <w:tcPr>
                  <w:tcW w:w="1305" w:type="dxa"/>
                  <w:vAlign w:val="center"/>
                </w:tcPr>
                <w:p>
                  <w:pPr>
                    <w:jc w:val="center"/>
                    <w:rPr>
                      <w:bCs/>
                      <w:snapToGrid w:val="0"/>
                      <w:kern w:val="0"/>
                      <w:szCs w:val="21"/>
                    </w:rPr>
                  </w:pPr>
                  <w:r>
                    <w:rPr>
                      <w:rFonts w:hint="eastAsia"/>
                      <w:bCs/>
                      <w:snapToGrid w:val="0"/>
                      <w:kern w:val="0"/>
                      <w:szCs w:val="21"/>
                    </w:rPr>
                    <w:t>0.066~0.067</w:t>
                  </w:r>
                </w:p>
              </w:tc>
              <w:tc>
                <w:tcPr>
                  <w:tcW w:w="1486" w:type="dxa"/>
                  <w:vAlign w:val="center"/>
                </w:tcPr>
                <w:p>
                  <w:pPr>
                    <w:jc w:val="center"/>
                    <w:rPr>
                      <w:bCs/>
                      <w:snapToGrid w:val="0"/>
                      <w:kern w:val="0"/>
                      <w:szCs w:val="21"/>
                    </w:rPr>
                  </w:pPr>
                  <w:r>
                    <w:rPr>
                      <w:rFonts w:hint="eastAsia"/>
                      <w:bCs/>
                      <w:snapToGrid w:val="0"/>
                      <w:kern w:val="0"/>
                      <w:szCs w:val="21"/>
                    </w:rPr>
                    <w:t>0.086~0.088</w:t>
                  </w:r>
                </w:p>
              </w:tc>
              <w:tc>
                <w:tcPr>
                  <w:tcW w:w="1316" w:type="dxa"/>
                  <w:vAlign w:val="center"/>
                </w:tcPr>
                <w:p>
                  <w:pPr>
                    <w:jc w:val="center"/>
                    <w:rPr>
                      <w:bCs/>
                      <w:snapToGrid w:val="0"/>
                      <w:kern w:val="0"/>
                      <w:szCs w:val="21"/>
                    </w:rPr>
                  </w:pPr>
                  <w:r>
                    <w:rPr>
                      <w:rFonts w:hint="eastAsia"/>
                      <w:bCs/>
                      <w:snapToGrid w:val="0"/>
                      <w:kern w:val="0"/>
                      <w:szCs w:val="21"/>
                    </w:rPr>
                    <w:t>≤0.3</w:t>
                  </w:r>
                </w:p>
              </w:tc>
              <w:tc>
                <w:tcPr>
                  <w:tcW w:w="682" w:type="dxa"/>
                  <w:vAlign w:val="center"/>
                </w:tcPr>
                <w:p>
                  <w:pPr>
                    <w:jc w:val="center"/>
                    <w:rPr>
                      <w:bCs/>
                      <w:snapToGrid w:val="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10</w:t>
                  </w:r>
                </w:p>
              </w:tc>
              <w:tc>
                <w:tcPr>
                  <w:tcW w:w="1689" w:type="dxa"/>
                  <w:vAlign w:val="center"/>
                </w:tcPr>
                <w:p>
                  <w:pPr>
                    <w:jc w:val="center"/>
                    <w:rPr>
                      <w:bCs/>
                      <w:snapToGrid w:val="0"/>
                      <w:kern w:val="0"/>
                      <w:szCs w:val="21"/>
                    </w:rPr>
                  </w:pPr>
                  <w:r>
                    <w:rPr>
                      <w:rFonts w:hint="eastAsia"/>
                      <w:bCs/>
                      <w:snapToGrid w:val="0"/>
                      <w:kern w:val="0"/>
                      <w:szCs w:val="21"/>
                    </w:rPr>
                    <w:t>挥发酚</w:t>
                  </w:r>
                </w:p>
              </w:tc>
              <w:tc>
                <w:tcPr>
                  <w:tcW w:w="1844" w:type="dxa"/>
                  <w:vAlign w:val="center"/>
                </w:tcPr>
                <w:p>
                  <w:pPr>
                    <w:jc w:val="center"/>
                    <w:rPr>
                      <w:bCs/>
                      <w:snapToGrid w:val="0"/>
                      <w:kern w:val="0"/>
                      <w:szCs w:val="21"/>
                    </w:rPr>
                  </w:pPr>
                  <w:r>
                    <w:rPr>
                      <w:rFonts w:hint="eastAsia"/>
                      <w:bCs/>
                      <w:snapToGrid w:val="0"/>
                      <w:kern w:val="0"/>
                      <w:szCs w:val="21"/>
                    </w:rPr>
                    <w:t>0.0024~0.004</w:t>
                  </w:r>
                </w:p>
              </w:tc>
              <w:tc>
                <w:tcPr>
                  <w:tcW w:w="1305" w:type="dxa"/>
                  <w:vAlign w:val="center"/>
                </w:tcPr>
                <w:p>
                  <w:pPr>
                    <w:jc w:val="center"/>
                    <w:rPr>
                      <w:bCs/>
                      <w:snapToGrid w:val="0"/>
                      <w:kern w:val="0"/>
                      <w:szCs w:val="21"/>
                    </w:rPr>
                  </w:pPr>
                  <w:r>
                    <w:rPr>
                      <w:rFonts w:hint="eastAsia"/>
                      <w:snapToGrid w:val="0"/>
                      <w:w w:val="75"/>
                      <w:kern w:val="0"/>
                      <w:szCs w:val="21"/>
                    </w:rPr>
                    <w:t>0.0026~0.0034</w:t>
                  </w:r>
                </w:p>
              </w:tc>
              <w:tc>
                <w:tcPr>
                  <w:tcW w:w="1486" w:type="dxa"/>
                  <w:vAlign w:val="center"/>
                </w:tcPr>
                <w:p>
                  <w:pPr>
                    <w:jc w:val="center"/>
                    <w:rPr>
                      <w:bCs/>
                      <w:snapToGrid w:val="0"/>
                      <w:kern w:val="0"/>
                      <w:szCs w:val="21"/>
                    </w:rPr>
                  </w:pPr>
                  <w:r>
                    <w:rPr>
                      <w:rFonts w:hint="eastAsia"/>
                      <w:bCs/>
                      <w:snapToGrid w:val="0"/>
                      <w:kern w:val="0"/>
                      <w:szCs w:val="21"/>
                    </w:rPr>
                    <w:t>0.0028~0.0032</w:t>
                  </w:r>
                </w:p>
              </w:tc>
              <w:tc>
                <w:tcPr>
                  <w:tcW w:w="1316" w:type="dxa"/>
                  <w:vAlign w:val="center"/>
                </w:tcPr>
                <w:p>
                  <w:pPr>
                    <w:jc w:val="center"/>
                    <w:rPr>
                      <w:bCs/>
                      <w:snapToGrid w:val="0"/>
                      <w:kern w:val="0"/>
                      <w:szCs w:val="21"/>
                    </w:rPr>
                  </w:pPr>
                  <w:r>
                    <w:rPr>
                      <w:rFonts w:hint="eastAsia"/>
                      <w:bCs/>
                      <w:snapToGrid w:val="0"/>
                      <w:kern w:val="0"/>
                      <w:szCs w:val="21"/>
                    </w:rPr>
                    <w:t>≤0.01</w:t>
                  </w:r>
                </w:p>
              </w:tc>
              <w:tc>
                <w:tcPr>
                  <w:tcW w:w="682" w:type="dxa"/>
                  <w:vAlign w:val="center"/>
                </w:tcPr>
                <w:p>
                  <w:pPr>
                    <w:jc w:val="center"/>
                    <w:rPr>
                      <w:bCs/>
                      <w:snapToGrid w:val="0"/>
                      <w:kern w:val="0"/>
                      <w:szCs w:val="21"/>
                    </w:rPr>
                  </w:pPr>
                  <w:r>
                    <w:rPr>
                      <w:rFonts w:hint="eastAsia"/>
                      <w:bCs/>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11</w:t>
                  </w:r>
                </w:p>
              </w:tc>
              <w:tc>
                <w:tcPr>
                  <w:tcW w:w="1689" w:type="dxa"/>
                  <w:vAlign w:val="center"/>
                </w:tcPr>
                <w:p>
                  <w:pPr>
                    <w:jc w:val="center"/>
                    <w:rPr>
                      <w:bCs/>
                      <w:snapToGrid w:val="0"/>
                      <w:kern w:val="0"/>
                      <w:szCs w:val="21"/>
                    </w:rPr>
                  </w:pPr>
                  <w:r>
                    <w:rPr>
                      <w:rFonts w:hint="eastAsia"/>
                      <w:bCs/>
                      <w:snapToGrid w:val="0"/>
                      <w:kern w:val="0"/>
                      <w:szCs w:val="21"/>
                    </w:rPr>
                    <w:t>镉</w:t>
                  </w:r>
                </w:p>
              </w:tc>
              <w:tc>
                <w:tcPr>
                  <w:tcW w:w="1844" w:type="dxa"/>
                  <w:vAlign w:val="center"/>
                </w:tcPr>
                <w:p>
                  <w:pPr>
                    <w:jc w:val="center"/>
                    <w:rPr>
                      <w:snapToGrid w:val="0"/>
                      <w:w w:val="85"/>
                      <w:kern w:val="0"/>
                      <w:szCs w:val="21"/>
                    </w:rPr>
                  </w:pPr>
                  <w:r>
                    <w:rPr>
                      <w:rFonts w:hint="eastAsia"/>
                      <w:bCs/>
                      <w:snapToGrid w:val="0"/>
                      <w:kern w:val="0"/>
                      <w:szCs w:val="21"/>
                    </w:rPr>
                    <w:t>0.001L</w:t>
                  </w:r>
                </w:p>
              </w:tc>
              <w:tc>
                <w:tcPr>
                  <w:tcW w:w="1305" w:type="dxa"/>
                  <w:vAlign w:val="center"/>
                </w:tcPr>
                <w:p>
                  <w:pPr>
                    <w:jc w:val="center"/>
                    <w:rPr>
                      <w:snapToGrid w:val="0"/>
                      <w:w w:val="85"/>
                      <w:kern w:val="0"/>
                      <w:szCs w:val="21"/>
                    </w:rPr>
                  </w:pPr>
                  <w:r>
                    <w:rPr>
                      <w:rFonts w:hint="eastAsia"/>
                      <w:bCs/>
                      <w:snapToGrid w:val="0"/>
                      <w:kern w:val="0"/>
                      <w:szCs w:val="21"/>
                    </w:rPr>
                    <w:t>0.001L</w:t>
                  </w:r>
                </w:p>
              </w:tc>
              <w:tc>
                <w:tcPr>
                  <w:tcW w:w="1486" w:type="dxa"/>
                  <w:vAlign w:val="center"/>
                </w:tcPr>
                <w:p>
                  <w:pPr>
                    <w:jc w:val="center"/>
                    <w:rPr>
                      <w:bCs/>
                      <w:snapToGrid w:val="0"/>
                      <w:kern w:val="0"/>
                      <w:szCs w:val="21"/>
                    </w:rPr>
                  </w:pPr>
                  <w:r>
                    <w:rPr>
                      <w:rFonts w:hint="eastAsia"/>
                      <w:bCs/>
                      <w:snapToGrid w:val="0"/>
                      <w:kern w:val="0"/>
                      <w:szCs w:val="21"/>
                    </w:rPr>
                    <w:t>0.001L</w:t>
                  </w:r>
                </w:p>
              </w:tc>
              <w:tc>
                <w:tcPr>
                  <w:tcW w:w="1316" w:type="dxa"/>
                  <w:vAlign w:val="center"/>
                </w:tcPr>
                <w:p>
                  <w:pPr>
                    <w:jc w:val="center"/>
                    <w:rPr>
                      <w:bCs/>
                      <w:snapToGrid w:val="0"/>
                      <w:kern w:val="0"/>
                      <w:szCs w:val="21"/>
                    </w:rPr>
                  </w:pPr>
                  <w:r>
                    <w:rPr>
                      <w:rFonts w:hint="eastAsia"/>
                      <w:bCs/>
                      <w:snapToGrid w:val="0"/>
                      <w:kern w:val="0"/>
                      <w:szCs w:val="21"/>
                    </w:rPr>
                    <w:t>≤0.005</w:t>
                  </w:r>
                </w:p>
              </w:tc>
              <w:tc>
                <w:tcPr>
                  <w:tcW w:w="682" w:type="dxa"/>
                  <w:vAlign w:val="center"/>
                </w:tcPr>
                <w:p>
                  <w:pPr>
                    <w:jc w:val="center"/>
                    <w:rPr>
                      <w:bCs/>
                      <w:snapToGrid w:val="0"/>
                      <w:kern w:val="0"/>
                      <w:szCs w:val="21"/>
                    </w:rPr>
                  </w:pPr>
                  <w:r>
                    <w:rPr>
                      <w:rFonts w:hint="eastAsia"/>
                      <w:bCs/>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12</w:t>
                  </w:r>
                </w:p>
              </w:tc>
              <w:tc>
                <w:tcPr>
                  <w:tcW w:w="1689" w:type="dxa"/>
                  <w:vAlign w:val="center"/>
                </w:tcPr>
                <w:p>
                  <w:pPr>
                    <w:jc w:val="center"/>
                    <w:rPr>
                      <w:bCs/>
                      <w:snapToGrid w:val="0"/>
                      <w:kern w:val="0"/>
                      <w:szCs w:val="21"/>
                    </w:rPr>
                  </w:pPr>
                  <w:r>
                    <w:rPr>
                      <w:rFonts w:hint="eastAsia"/>
                      <w:bCs/>
                      <w:snapToGrid w:val="0"/>
                      <w:kern w:val="0"/>
                      <w:szCs w:val="21"/>
                    </w:rPr>
                    <w:t>铜</w:t>
                  </w:r>
                </w:p>
              </w:tc>
              <w:tc>
                <w:tcPr>
                  <w:tcW w:w="1844" w:type="dxa"/>
                  <w:vAlign w:val="center"/>
                </w:tcPr>
                <w:p>
                  <w:pPr>
                    <w:jc w:val="center"/>
                    <w:rPr>
                      <w:bCs/>
                      <w:snapToGrid w:val="0"/>
                      <w:kern w:val="0"/>
                      <w:szCs w:val="21"/>
                    </w:rPr>
                  </w:pPr>
                  <w:r>
                    <w:rPr>
                      <w:rFonts w:hint="eastAsia"/>
                      <w:bCs/>
                      <w:snapToGrid w:val="0"/>
                      <w:kern w:val="0"/>
                      <w:szCs w:val="21"/>
                    </w:rPr>
                    <w:t>0.001L</w:t>
                  </w:r>
                </w:p>
              </w:tc>
              <w:tc>
                <w:tcPr>
                  <w:tcW w:w="1305" w:type="dxa"/>
                  <w:vAlign w:val="center"/>
                </w:tcPr>
                <w:p>
                  <w:pPr>
                    <w:jc w:val="center"/>
                    <w:rPr>
                      <w:bCs/>
                      <w:snapToGrid w:val="0"/>
                      <w:kern w:val="0"/>
                      <w:szCs w:val="21"/>
                    </w:rPr>
                  </w:pPr>
                  <w:r>
                    <w:rPr>
                      <w:rFonts w:hint="eastAsia"/>
                      <w:bCs/>
                      <w:snapToGrid w:val="0"/>
                      <w:kern w:val="0"/>
                      <w:szCs w:val="21"/>
                    </w:rPr>
                    <w:t>0.001L</w:t>
                  </w:r>
                </w:p>
              </w:tc>
              <w:tc>
                <w:tcPr>
                  <w:tcW w:w="1486" w:type="dxa"/>
                  <w:vAlign w:val="center"/>
                </w:tcPr>
                <w:p>
                  <w:pPr>
                    <w:jc w:val="center"/>
                    <w:rPr>
                      <w:bCs/>
                      <w:snapToGrid w:val="0"/>
                      <w:kern w:val="0"/>
                      <w:szCs w:val="21"/>
                    </w:rPr>
                  </w:pPr>
                  <w:r>
                    <w:rPr>
                      <w:rFonts w:hint="eastAsia"/>
                      <w:bCs/>
                      <w:snapToGrid w:val="0"/>
                      <w:kern w:val="0"/>
                      <w:szCs w:val="21"/>
                    </w:rPr>
                    <w:t>0.001L</w:t>
                  </w:r>
                </w:p>
              </w:tc>
              <w:tc>
                <w:tcPr>
                  <w:tcW w:w="1316" w:type="dxa"/>
                  <w:vAlign w:val="center"/>
                </w:tcPr>
                <w:p>
                  <w:pPr>
                    <w:jc w:val="center"/>
                    <w:rPr>
                      <w:bCs/>
                      <w:snapToGrid w:val="0"/>
                      <w:kern w:val="0"/>
                      <w:szCs w:val="21"/>
                    </w:rPr>
                  </w:pPr>
                  <w:r>
                    <w:rPr>
                      <w:rFonts w:hint="eastAsia"/>
                      <w:bCs/>
                      <w:snapToGrid w:val="0"/>
                      <w:kern w:val="0"/>
                      <w:szCs w:val="21"/>
                    </w:rPr>
                    <w:t>≤1.0</w:t>
                  </w:r>
                </w:p>
              </w:tc>
              <w:tc>
                <w:tcPr>
                  <w:tcW w:w="682" w:type="dxa"/>
                  <w:vAlign w:val="center"/>
                </w:tcPr>
                <w:p>
                  <w:pPr>
                    <w:jc w:val="center"/>
                    <w:rPr>
                      <w:bCs/>
                      <w:snapToGrid w:val="0"/>
                      <w:kern w:val="0"/>
                      <w:szCs w:val="21"/>
                    </w:rPr>
                  </w:pPr>
                  <w:r>
                    <w:rPr>
                      <w:rFonts w:hint="eastAsia"/>
                      <w:bCs/>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13</w:t>
                  </w:r>
                </w:p>
              </w:tc>
              <w:tc>
                <w:tcPr>
                  <w:tcW w:w="1689" w:type="dxa"/>
                  <w:vAlign w:val="center"/>
                </w:tcPr>
                <w:p>
                  <w:pPr>
                    <w:jc w:val="center"/>
                    <w:rPr>
                      <w:bCs/>
                      <w:snapToGrid w:val="0"/>
                      <w:kern w:val="0"/>
                      <w:szCs w:val="21"/>
                    </w:rPr>
                  </w:pPr>
                  <w:r>
                    <w:rPr>
                      <w:rFonts w:hint="eastAsia"/>
                      <w:bCs/>
                      <w:snapToGrid w:val="0"/>
                      <w:kern w:val="0"/>
                      <w:szCs w:val="21"/>
                    </w:rPr>
                    <w:t>锌</w:t>
                  </w:r>
                </w:p>
              </w:tc>
              <w:tc>
                <w:tcPr>
                  <w:tcW w:w="1844" w:type="dxa"/>
                  <w:vAlign w:val="center"/>
                </w:tcPr>
                <w:p>
                  <w:pPr>
                    <w:jc w:val="center"/>
                    <w:rPr>
                      <w:bCs/>
                      <w:snapToGrid w:val="0"/>
                      <w:kern w:val="0"/>
                      <w:szCs w:val="21"/>
                    </w:rPr>
                  </w:pPr>
                  <w:r>
                    <w:rPr>
                      <w:rFonts w:hint="eastAsia"/>
                      <w:bCs/>
                      <w:snapToGrid w:val="0"/>
                      <w:kern w:val="0"/>
                      <w:szCs w:val="21"/>
                    </w:rPr>
                    <w:t>0.05L</w:t>
                  </w:r>
                </w:p>
              </w:tc>
              <w:tc>
                <w:tcPr>
                  <w:tcW w:w="1305" w:type="dxa"/>
                  <w:vAlign w:val="center"/>
                </w:tcPr>
                <w:p>
                  <w:pPr>
                    <w:jc w:val="center"/>
                    <w:rPr>
                      <w:bCs/>
                      <w:snapToGrid w:val="0"/>
                      <w:kern w:val="0"/>
                      <w:szCs w:val="21"/>
                    </w:rPr>
                  </w:pPr>
                  <w:r>
                    <w:rPr>
                      <w:rFonts w:hint="eastAsia"/>
                      <w:bCs/>
                      <w:snapToGrid w:val="0"/>
                      <w:kern w:val="0"/>
                      <w:szCs w:val="21"/>
                    </w:rPr>
                    <w:t>0.05L</w:t>
                  </w:r>
                </w:p>
              </w:tc>
              <w:tc>
                <w:tcPr>
                  <w:tcW w:w="1486" w:type="dxa"/>
                  <w:vAlign w:val="center"/>
                </w:tcPr>
                <w:p>
                  <w:pPr>
                    <w:jc w:val="center"/>
                    <w:rPr>
                      <w:bCs/>
                      <w:snapToGrid w:val="0"/>
                      <w:kern w:val="0"/>
                      <w:szCs w:val="21"/>
                    </w:rPr>
                  </w:pPr>
                  <w:r>
                    <w:rPr>
                      <w:rFonts w:hint="eastAsia"/>
                      <w:bCs/>
                      <w:snapToGrid w:val="0"/>
                      <w:kern w:val="0"/>
                      <w:szCs w:val="21"/>
                    </w:rPr>
                    <w:t>0.05L</w:t>
                  </w:r>
                </w:p>
              </w:tc>
              <w:tc>
                <w:tcPr>
                  <w:tcW w:w="1316" w:type="dxa"/>
                  <w:vAlign w:val="center"/>
                </w:tcPr>
                <w:p>
                  <w:pPr>
                    <w:jc w:val="center"/>
                    <w:rPr>
                      <w:bCs/>
                      <w:snapToGrid w:val="0"/>
                      <w:kern w:val="0"/>
                      <w:szCs w:val="21"/>
                    </w:rPr>
                  </w:pPr>
                  <w:r>
                    <w:rPr>
                      <w:rFonts w:hint="eastAsia"/>
                      <w:bCs/>
                      <w:snapToGrid w:val="0"/>
                      <w:kern w:val="0"/>
                      <w:szCs w:val="21"/>
                    </w:rPr>
                    <w:t>≤2.0</w:t>
                  </w:r>
                </w:p>
              </w:tc>
              <w:tc>
                <w:tcPr>
                  <w:tcW w:w="682" w:type="dxa"/>
                  <w:vAlign w:val="center"/>
                </w:tcPr>
                <w:p>
                  <w:pPr>
                    <w:jc w:val="center"/>
                    <w:rPr>
                      <w:bCs/>
                      <w:snapToGrid w:val="0"/>
                      <w:kern w:val="0"/>
                      <w:szCs w:val="21"/>
                    </w:rPr>
                  </w:pPr>
                  <w:r>
                    <w:rPr>
                      <w:rFonts w:hint="eastAsia"/>
                      <w:bCs/>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14</w:t>
                  </w:r>
                </w:p>
              </w:tc>
              <w:tc>
                <w:tcPr>
                  <w:tcW w:w="1689" w:type="dxa"/>
                  <w:vAlign w:val="center"/>
                </w:tcPr>
                <w:p>
                  <w:pPr>
                    <w:jc w:val="center"/>
                    <w:rPr>
                      <w:bCs/>
                      <w:snapToGrid w:val="0"/>
                      <w:kern w:val="0"/>
                      <w:szCs w:val="21"/>
                    </w:rPr>
                  </w:pPr>
                  <w:r>
                    <w:rPr>
                      <w:rFonts w:hint="eastAsia"/>
                      <w:bCs/>
                      <w:snapToGrid w:val="0"/>
                      <w:kern w:val="0"/>
                      <w:szCs w:val="21"/>
                    </w:rPr>
                    <w:t>铅</w:t>
                  </w:r>
                </w:p>
              </w:tc>
              <w:tc>
                <w:tcPr>
                  <w:tcW w:w="1844" w:type="dxa"/>
                  <w:vAlign w:val="center"/>
                </w:tcPr>
                <w:p>
                  <w:pPr>
                    <w:jc w:val="center"/>
                    <w:rPr>
                      <w:snapToGrid w:val="0"/>
                      <w:w w:val="75"/>
                      <w:kern w:val="0"/>
                      <w:szCs w:val="21"/>
                    </w:rPr>
                  </w:pPr>
                  <w:r>
                    <w:rPr>
                      <w:rFonts w:hint="eastAsia"/>
                      <w:bCs/>
                      <w:snapToGrid w:val="0"/>
                      <w:kern w:val="0"/>
                      <w:szCs w:val="21"/>
                    </w:rPr>
                    <w:t>0.01L</w:t>
                  </w:r>
                </w:p>
              </w:tc>
              <w:tc>
                <w:tcPr>
                  <w:tcW w:w="1305" w:type="dxa"/>
                  <w:vAlign w:val="center"/>
                </w:tcPr>
                <w:p>
                  <w:pPr>
                    <w:jc w:val="center"/>
                    <w:rPr>
                      <w:snapToGrid w:val="0"/>
                      <w:w w:val="75"/>
                      <w:kern w:val="0"/>
                      <w:szCs w:val="21"/>
                    </w:rPr>
                  </w:pPr>
                  <w:r>
                    <w:rPr>
                      <w:rFonts w:hint="eastAsia"/>
                      <w:bCs/>
                      <w:snapToGrid w:val="0"/>
                      <w:kern w:val="0"/>
                      <w:szCs w:val="21"/>
                    </w:rPr>
                    <w:t>0.01L</w:t>
                  </w:r>
                </w:p>
              </w:tc>
              <w:tc>
                <w:tcPr>
                  <w:tcW w:w="1486" w:type="dxa"/>
                  <w:vAlign w:val="center"/>
                </w:tcPr>
                <w:p>
                  <w:pPr>
                    <w:jc w:val="center"/>
                    <w:rPr>
                      <w:bCs/>
                      <w:snapToGrid w:val="0"/>
                      <w:kern w:val="0"/>
                      <w:szCs w:val="21"/>
                    </w:rPr>
                  </w:pPr>
                  <w:r>
                    <w:rPr>
                      <w:rFonts w:hint="eastAsia"/>
                      <w:bCs/>
                      <w:snapToGrid w:val="0"/>
                      <w:kern w:val="0"/>
                      <w:szCs w:val="21"/>
                    </w:rPr>
                    <w:t>0.01L</w:t>
                  </w:r>
                </w:p>
              </w:tc>
              <w:tc>
                <w:tcPr>
                  <w:tcW w:w="1316" w:type="dxa"/>
                  <w:vAlign w:val="center"/>
                </w:tcPr>
                <w:p>
                  <w:pPr>
                    <w:jc w:val="center"/>
                    <w:rPr>
                      <w:bCs/>
                      <w:snapToGrid w:val="0"/>
                      <w:kern w:val="0"/>
                      <w:szCs w:val="21"/>
                    </w:rPr>
                  </w:pPr>
                  <w:r>
                    <w:rPr>
                      <w:rFonts w:hint="eastAsia"/>
                      <w:bCs/>
                      <w:snapToGrid w:val="0"/>
                      <w:kern w:val="0"/>
                      <w:szCs w:val="21"/>
                    </w:rPr>
                    <w:t>≤0.05</w:t>
                  </w:r>
                </w:p>
              </w:tc>
              <w:tc>
                <w:tcPr>
                  <w:tcW w:w="682" w:type="dxa"/>
                  <w:vAlign w:val="center"/>
                </w:tcPr>
                <w:p>
                  <w:pPr>
                    <w:jc w:val="center"/>
                    <w:rPr>
                      <w:bCs/>
                      <w:snapToGrid w:val="0"/>
                      <w:kern w:val="0"/>
                      <w:szCs w:val="21"/>
                    </w:rPr>
                  </w:pPr>
                  <w:r>
                    <w:rPr>
                      <w:rFonts w:hint="eastAsia"/>
                      <w:bCs/>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15</w:t>
                  </w:r>
                </w:p>
              </w:tc>
              <w:tc>
                <w:tcPr>
                  <w:tcW w:w="1689" w:type="dxa"/>
                  <w:vAlign w:val="center"/>
                </w:tcPr>
                <w:p>
                  <w:pPr>
                    <w:jc w:val="center"/>
                    <w:rPr>
                      <w:bCs/>
                      <w:snapToGrid w:val="0"/>
                      <w:kern w:val="0"/>
                      <w:szCs w:val="21"/>
                    </w:rPr>
                  </w:pPr>
                  <w:r>
                    <w:rPr>
                      <w:rFonts w:hint="eastAsia"/>
                      <w:bCs/>
                      <w:snapToGrid w:val="0"/>
                      <w:kern w:val="0"/>
                      <w:szCs w:val="21"/>
                    </w:rPr>
                    <w:t>砷</w:t>
                  </w:r>
                </w:p>
              </w:tc>
              <w:tc>
                <w:tcPr>
                  <w:tcW w:w="1844" w:type="dxa"/>
                  <w:vAlign w:val="center"/>
                </w:tcPr>
                <w:p>
                  <w:pPr>
                    <w:jc w:val="center"/>
                    <w:rPr>
                      <w:snapToGrid w:val="0"/>
                      <w:w w:val="85"/>
                      <w:kern w:val="0"/>
                      <w:szCs w:val="21"/>
                    </w:rPr>
                  </w:pPr>
                  <w:r>
                    <w:rPr>
                      <w:rFonts w:hint="eastAsia"/>
                      <w:bCs/>
                      <w:snapToGrid w:val="0"/>
                      <w:kern w:val="0"/>
                      <w:szCs w:val="21"/>
                    </w:rPr>
                    <w:t>0.0052~0.0071</w:t>
                  </w:r>
                </w:p>
              </w:tc>
              <w:tc>
                <w:tcPr>
                  <w:tcW w:w="1305" w:type="dxa"/>
                  <w:vAlign w:val="center"/>
                </w:tcPr>
                <w:p>
                  <w:pPr>
                    <w:jc w:val="center"/>
                    <w:rPr>
                      <w:snapToGrid w:val="0"/>
                      <w:w w:val="85"/>
                      <w:kern w:val="0"/>
                      <w:szCs w:val="21"/>
                    </w:rPr>
                  </w:pPr>
                  <w:r>
                    <w:rPr>
                      <w:rFonts w:hint="eastAsia"/>
                      <w:snapToGrid w:val="0"/>
                      <w:w w:val="75"/>
                      <w:kern w:val="0"/>
                      <w:szCs w:val="21"/>
                    </w:rPr>
                    <w:t>0.0061~0.0067</w:t>
                  </w:r>
                </w:p>
              </w:tc>
              <w:tc>
                <w:tcPr>
                  <w:tcW w:w="1486" w:type="dxa"/>
                  <w:vAlign w:val="center"/>
                </w:tcPr>
                <w:p>
                  <w:pPr>
                    <w:jc w:val="center"/>
                    <w:rPr>
                      <w:bCs/>
                      <w:snapToGrid w:val="0"/>
                      <w:kern w:val="0"/>
                      <w:szCs w:val="21"/>
                    </w:rPr>
                  </w:pPr>
                  <w:r>
                    <w:rPr>
                      <w:rFonts w:hint="eastAsia"/>
                      <w:bCs/>
                      <w:snapToGrid w:val="0"/>
                      <w:kern w:val="0"/>
                      <w:szCs w:val="21"/>
                    </w:rPr>
                    <w:t>0.0055~0.0073</w:t>
                  </w:r>
                </w:p>
              </w:tc>
              <w:tc>
                <w:tcPr>
                  <w:tcW w:w="1316" w:type="dxa"/>
                  <w:vAlign w:val="center"/>
                </w:tcPr>
                <w:p>
                  <w:pPr>
                    <w:jc w:val="center"/>
                    <w:rPr>
                      <w:bCs/>
                      <w:snapToGrid w:val="0"/>
                      <w:kern w:val="0"/>
                      <w:szCs w:val="21"/>
                    </w:rPr>
                  </w:pPr>
                  <w:r>
                    <w:rPr>
                      <w:rFonts w:hint="eastAsia"/>
                      <w:bCs/>
                      <w:snapToGrid w:val="0"/>
                      <w:kern w:val="0"/>
                      <w:szCs w:val="21"/>
                    </w:rPr>
                    <w:t>≤0.1</w:t>
                  </w:r>
                </w:p>
              </w:tc>
              <w:tc>
                <w:tcPr>
                  <w:tcW w:w="682" w:type="dxa"/>
                  <w:vAlign w:val="center"/>
                </w:tcPr>
                <w:p>
                  <w:pPr>
                    <w:jc w:val="center"/>
                    <w:rPr>
                      <w:bCs/>
                      <w:snapToGrid w:val="0"/>
                      <w:kern w:val="0"/>
                      <w:szCs w:val="21"/>
                    </w:rPr>
                  </w:pPr>
                  <w:r>
                    <w:rPr>
                      <w:rFonts w:hint="eastAsia"/>
                      <w:bCs/>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16</w:t>
                  </w:r>
                </w:p>
              </w:tc>
              <w:tc>
                <w:tcPr>
                  <w:tcW w:w="1689" w:type="dxa"/>
                  <w:vAlign w:val="center"/>
                </w:tcPr>
                <w:p>
                  <w:pPr>
                    <w:jc w:val="center"/>
                    <w:rPr>
                      <w:bCs/>
                      <w:snapToGrid w:val="0"/>
                      <w:kern w:val="0"/>
                      <w:szCs w:val="21"/>
                    </w:rPr>
                  </w:pPr>
                  <w:r>
                    <w:rPr>
                      <w:rFonts w:hint="eastAsia"/>
                      <w:bCs/>
                      <w:snapToGrid w:val="0"/>
                      <w:kern w:val="0"/>
                      <w:szCs w:val="21"/>
                    </w:rPr>
                    <w:t>汞</w:t>
                  </w:r>
                </w:p>
              </w:tc>
              <w:tc>
                <w:tcPr>
                  <w:tcW w:w="1844" w:type="dxa"/>
                  <w:vAlign w:val="center"/>
                </w:tcPr>
                <w:p>
                  <w:pPr>
                    <w:jc w:val="center"/>
                    <w:rPr>
                      <w:snapToGrid w:val="0"/>
                      <w:w w:val="85"/>
                      <w:kern w:val="0"/>
                      <w:szCs w:val="21"/>
                    </w:rPr>
                  </w:pPr>
                  <w:r>
                    <w:rPr>
                      <w:rFonts w:hint="eastAsia"/>
                      <w:bCs/>
                      <w:snapToGrid w:val="0"/>
                      <w:kern w:val="0"/>
                      <w:szCs w:val="21"/>
                    </w:rPr>
                    <w:t>0.00004L</w:t>
                  </w:r>
                </w:p>
              </w:tc>
              <w:tc>
                <w:tcPr>
                  <w:tcW w:w="1305" w:type="dxa"/>
                  <w:vAlign w:val="center"/>
                </w:tcPr>
                <w:p>
                  <w:pPr>
                    <w:jc w:val="center"/>
                    <w:rPr>
                      <w:snapToGrid w:val="0"/>
                      <w:w w:val="85"/>
                      <w:kern w:val="0"/>
                      <w:szCs w:val="21"/>
                    </w:rPr>
                  </w:pPr>
                  <w:r>
                    <w:rPr>
                      <w:rFonts w:hint="eastAsia"/>
                      <w:bCs/>
                      <w:snapToGrid w:val="0"/>
                      <w:kern w:val="0"/>
                      <w:szCs w:val="21"/>
                    </w:rPr>
                    <w:t>0.00004L</w:t>
                  </w:r>
                </w:p>
              </w:tc>
              <w:tc>
                <w:tcPr>
                  <w:tcW w:w="1486" w:type="dxa"/>
                  <w:vAlign w:val="center"/>
                </w:tcPr>
                <w:p>
                  <w:pPr>
                    <w:jc w:val="center"/>
                    <w:rPr>
                      <w:bCs/>
                      <w:snapToGrid w:val="0"/>
                      <w:kern w:val="0"/>
                      <w:szCs w:val="21"/>
                    </w:rPr>
                  </w:pPr>
                  <w:r>
                    <w:rPr>
                      <w:rFonts w:hint="eastAsia"/>
                      <w:bCs/>
                      <w:snapToGrid w:val="0"/>
                      <w:kern w:val="0"/>
                      <w:szCs w:val="21"/>
                    </w:rPr>
                    <w:t>0.00004L</w:t>
                  </w:r>
                </w:p>
              </w:tc>
              <w:tc>
                <w:tcPr>
                  <w:tcW w:w="1316" w:type="dxa"/>
                  <w:vAlign w:val="center"/>
                </w:tcPr>
                <w:p>
                  <w:pPr>
                    <w:jc w:val="center"/>
                    <w:rPr>
                      <w:bCs/>
                      <w:snapToGrid w:val="0"/>
                      <w:kern w:val="0"/>
                      <w:szCs w:val="21"/>
                    </w:rPr>
                  </w:pPr>
                  <w:r>
                    <w:rPr>
                      <w:rFonts w:hint="eastAsia"/>
                      <w:bCs/>
                      <w:snapToGrid w:val="0"/>
                      <w:kern w:val="0"/>
                      <w:szCs w:val="21"/>
                    </w:rPr>
                    <w:t>≤0.001</w:t>
                  </w:r>
                </w:p>
              </w:tc>
              <w:tc>
                <w:tcPr>
                  <w:tcW w:w="682" w:type="dxa"/>
                  <w:vAlign w:val="center"/>
                </w:tcPr>
                <w:p>
                  <w:pPr>
                    <w:jc w:val="center"/>
                    <w:rPr>
                      <w:bCs/>
                      <w:snapToGrid w:val="0"/>
                      <w:kern w:val="0"/>
                      <w:szCs w:val="21"/>
                    </w:rPr>
                  </w:pPr>
                  <w:r>
                    <w:rPr>
                      <w:rFonts w:hint="eastAsia"/>
                      <w:bCs/>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17</w:t>
                  </w:r>
                </w:p>
              </w:tc>
              <w:tc>
                <w:tcPr>
                  <w:tcW w:w="1689" w:type="dxa"/>
                  <w:vAlign w:val="center"/>
                </w:tcPr>
                <w:p>
                  <w:pPr>
                    <w:jc w:val="center"/>
                    <w:rPr>
                      <w:bCs/>
                      <w:snapToGrid w:val="0"/>
                      <w:kern w:val="0"/>
                      <w:szCs w:val="21"/>
                    </w:rPr>
                  </w:pPr>
                  <w:r>
                    <w:rPr>
                      <w:rFonts w:hint="eastAsia"/>
                      <w:bCs/>
                      <w:snapToGrid w:val="0"/>
                      <w:kern w:val="0"/>
                      <w:szCs w:val="21"/>
                    </w:rPr>
                    <w:t>粪大肠菌群（个/L）</w:t>
                  </w:r>
                </w:p>
              </w:tc>
              <w:tc>
                <w:tcPr>
                  <w:tcW w:w="1844" w:type="dxa"/>
                  <w:vAlign w:val="center"/>
                </w:tcPr>
                <w:p>
                  <w:pPr>
                    <w:jc w:val="center"/>
                    <w:rPr>
                      <w:bCs/>
                      <w:snapToGrid w:val="0"/>
                      <w:kern w:val="0"/>
                      <w:szCs w:val="21"/>
                    </w:rPr>
                  </w:pPr>
                  <w:r>
                    <w:rPr>
                      <w:rFonts w:hint="eastAsia"/>
                      <w:bCs/>
                      <w:snapToGrid w:val="0"/>
                      <w:kern w:val="0"/>
                      <w:szCs w:val="21"/>
                    </w:rPr>
                    <w:t>1100~2100</w:t>
                  </w:r>
                </w:p>
              </w:tc>
              <w:tc>
                <w:tcPr>
                  <w:tcW w:w="1305" w:type="dxa"/>
                  <w:vAlign w:val="center"/>
                </w:tcPr>
                <w:p>
                  <w:pPr>
                    <w:jc w:val="center"/>
                    <w:rPr>
                      <w:bCs/>
                      <w:snapToGrid w:val="0"/>
                      <w:kern w:val="0"/>
                      <w:szCs w:val="21"/>
                    </w:rPr>
                  </w:pPr>
                  <w:r>
                    <w:rPr>
                      <w:rFonts w:hint="eastAsia"/>
                      <w:bCs/>
                      <w:snapToGrid w:val="0"/>
                      <w:kern w:val="0"/>
                      <w:szCs w:val="21"/>
                    </w:rPr>
                    <w:t>1400~1800</w:t>
                  </w:r>
                </w:p>
              </w:tc>
              <w:tc>
                <w:tcPr>
                  <w:tcW w:w="1486" w:type="dxa"/>
                  <w:vAlign w:val="center"/>
                </w:tcPr>
                <w:p>
                  <w:pPr>
                    <w:jc w:val="center"/>
                    <w:rPr>
                      <w:bCs/>
                      <w:snapToGrid w:val="0"/>
                      <w:kern w:val="0"/>
                      <w:szCs w:val="21"/>
                    </w:rPr>
                  </w:pPr>
                  <w:r>
                    <w:rPr>
                      <w:rFonts w:hint="eastAsia"/>
                      <w:bCs/>
                      <w:snapToGrid w:val="0"/>
                      <w:kern w:val="0"/>
                      <w:szCs w:val="21"/>
                    </w:rPr>
                    <w:t>1200~1800</w:t>
                  </w:r>
                </w:p>
              </w:tc>
              <w:tc>
                <w:tcPr>
                  <w:tcW w:w="1316" w:type="dxa"/>
                  <w:vAlign w:val="center"/>
                </w:tcPr>
                <w:p>
                  <w:pPr>
                    <w:jc w:val="center"/>
                    <w:rPr>
                      <w:bCs/>
                      <w:snapToGrid w:val="0"/>
                      <w:kern w:val="0"/>
                      <w:szCs w:val="21"/>
                    </w:rPr>
                  </w:pPr>
                  <w:r>
                    <w:rPr>
                      <w:rFonts w:hint="eastAsia"/>
                      <w:bCs/>
                      <w:snapToGrid w:val="0"/>
                      <w:kern w:val="0"/>
                      <w:szCs w:val="21"/>
                    </w:rPr>
                    <w:t>≤20000</w:t>
                  </w:r>
                </w:p>
              </w:tc>
              <w:tc>
                <w:tcPr>
                  <w:tcW w:w="682" w:type="dxa"/>
                  <w:vAlign w:val="center"/>
                </w:tcPr>
                <w:p>
                  <w:pPr>
                    <w:jc w:val="center"/>
                    <w:rPr>
                      <w:bCs/>
                      <w:snapToGrid w:val="0"/>
                      <w:kern w:val="0"/>
                      <w:szCs w:val="21"/>
                    </w:rPr>
                  </w:pPr>
                  <w:r>
                    <w:rPr>
                      <w:rFonts w:hint="eastAsia"/>
                      <w:bCs/>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18</w:t>
                  </w:r>
                </w:p>
              </w:tc>
              <w:tc>
                <w:tcPr>
                  <w:tcW w:w="1689" w:type="dxa"/>
                  <w:vAlign w:val="center"/>
                </w:tcPr>
                <w:p>
                  <w:pPr>
                    <w:jc w:val="center"/>
                    <w:rPr>
                      <w:bCs/>
                      <w:snapToGrid w:val="0"/>
                      <w:kern w:val="0"/>
                      <w:szCs w:val="21"/>
                    </w:rPr>
                  </w:pPr>
                  <w:r>
                    <w:rPr>
                      <w:rFonts w:hint="eastAsia"/>
                      <w:bCs/>
                      <w:snapToGrid w:val="0"/>
                      <w:kern w:val="0"/>
                      <w:szCs w:val="21"/>
                    </w:rPr>
                    <w:t>氟化物</w:t>
                  </w:r>
                </w:p>
              </w:tc>
              <w:tc>
                <w:tcPr>
                  <w:tcW w:w="1844" w:type="dxa"/>
                  <w:vAlign w:val="center"/>
                </w:tcPr>
                <w:p>
                  <w:pPr>
                    <w:jc w:val="center"/>
                    <w:rPr>
                      <w:snapToGrid w:val="0"/>
                      <w:w w:val="85"/>
                      <w:kern w:val="0"/>
                      <w:szCs w:val="21"/>
                    </w:rPr>
                  </w:pPr>
                  <w:r>
                    <w:rPr>
                      <w:rFonts w:hint="eastAsia"/>
                      <w:bCs/>
                      <w:snapToGrid w:val="0"/>
                      <w:kern w:val="0"/>
                      <w:szCs w:val="21"/>
                    </w:rPr>
                    <w:t>0.6~0.62</w:t>
                  </w:r>
                </w:p>
              </w:tc>
              <w:tc>
                <w:tcPr>
                  <w:tcW w:w="1305" w:type="dxa"/>
                  <w:vAlign w:val="center"/>
                </w:tcPr>
                <w:p>
                  <w:pPr>
                    <w:jc w:val="center"/>
                    <w:rPr>
                      <w:snapToGrid w:val="0"/>
                      <w:w w:val="85"/>
                      <w:kern w:val="0"/>
                      <w:szCs w:val="21"/>
                    </w:rPr>
                  </w:pPr>
                  <w:r>
                    <w:rPr>
                      <w:rFonts w:hint="eastAsia"/>
                      <w:bCs/>
                      <w:snapToGrid w:val="0"/>
                      <w:kern w:val="0"/>
                      <w:szCs w:val="21"/>
                    </w:rPr>
                    <w:t>0.57~0.65</w:t>
                  </w:r>
                </w:p>
              </w:tc>
              <w:tc>
                <w:tcPr>
                  <w:tcW w:w="1486" w:type="dxa"/>
                  <w:vAlign w:val="center"/>
                </w:tcPr>
                <w:p>
                  <w:pPr>
                    <w:jc w:val="center"/>
                    <w:rPr>
                      <w:bCs/>
                      <w:snapToGrid w:val="0"/>
                      <w:kern w:val="0"/>
                      <w:szCs w:val="21"/>
                    </w:rPr>
                  </w:pPr>
                  <w:r>
                    <w:rPr>
                      <w:rFonts w:hint="eastAsia"/>
                      <w:bCs/>
                      <w:snapToGrid w:val="0"/>
                      <w:kern w:val="0"/>
                      <w:szCs w:val="21"/>
                    </w:rPr>
                    <w:t>0.6~0.62</w:t>
                  </w:r>
                </w:p>
              </w:tc>
              <w:tc>
                <w:tcPr>
                  <w:tcW w:w="1316" w:type="dxa"/>
                  <w:vAlign w:val="center"/>
                </w:tcPr>
                <w:p>
                  <w:pPr>
                    <w:jc w:val="center"/>
                    <w:rPr>
                      <w:bCs/>
                      <w:snapToGrid w:val="0"/>
                      <w:kern w:val="0"/>
                      <w:szCs w:val="21"/>
                    </w:rPr>
                  </w:pPr>
                  <w:r>
                    <w:rPr>
                      <w:rFonts w:hint="eastAsia"/>
                      <w:bCs/>
                      <w:snapToGrid w:val="0"/>
                      <w:kern w:val="0"/>
                      <w:szCs w:val="21"/>
                    </w:rPr>
                    <w:t>≤1.5</w:t>
                  </w:r>
                </w:p>
              </w:tc>
              <w:tc>
                <w:tcPr>
                  <w:tcW w:w="682" w:type="dxa"/>
                  <w:vAlign w:val="center"/>
                </w:tcPr>
                <w:p>
                  <w:pPr>
                    <w:jc w:val="center"/>
                    <w:rPr>
                      <w:bCs/>
                      <w:snapToGrid w:val="0"/>
                      <w:kern w:val="0"/>
                      <w:szCs w:val="21"/>
                    </w:rPr>
                  </w:pPr>
                  <w:r>
                    <w:rPr>
                      <w:rFonts w:hint="eastAsia"/>
                      <w:bCs/>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79" w:type="dxa"/>
                  <w:vAlign w:val="center"/>
                </w:tcPr>
                <w:p>
                  <w:pPr>
                    <w:jc w:val="center"/>
                    <w:rPr>
                      <w:bCs/>
                      <w:snapToGrid w:val="0"/>
                      <w:kern w:val="0"/>
                      <w:szCs w:val="21"/>
                    </w:rPr>
                  </w:pPr>
                  <w:r>
                    <w:rPr>
                      <w:rFonts w:hint="eastAsia"/>
                      <w:bCs/>
                      <w:snapToGrid w:val="0"/>
                      <w:kern w:val="0"/>
                      <w:szCs w:val="21"/>
                    </w:rPr>
                    <w:t>19</w:t>
                  </w:r>
                </w:p>
              </w:tc>
              <w:tc>
                <w:tcPr>
                  <w:tcW w:w="1689" w:type="dxa"/>
                  <w:vAlign w:val="center"/>
                </w:tcPr>
                <w:p>
                  <w:pPr>
                    <w:jc w:val="center"/>
                    <w:rPr>
                      <w:bCs/>
                      <w:snapToGrid w:val="0"/>
                      <w:kern w:val="0"/>
                      <w:szCs w:val="21"/>
                    </w:rPr>
                  </w:pPr>
                  <w:r>
                    <w:rPr>
                      <w:rFonts w:hint="eastAsia"/>
                      <w:bCs/>
                      <w:snapToGrid w:val="0"/>
                      <w:kern w:val="0"/>
                      <w:szCs w:val="21"/>
                    </w:rPr>
                    <w:t>氰化物</w:t>
                  </w:r>
                </w:p>
              </w:tc>
              <w:tc>
                <w:tcPr>
                  <w:tcW w:w="1844" w:type="dxa"/>
                  <w:vAlign w:val="center"/>
                </w:tcPr>
                <w:p>
                  <w:pPr>
                    <w:jc w:val="center"/>
                    <w:rPr>
                      <w:snapToGrid w:val="0"/>
                      <w:w w:val="85"/>
                      <w:kern w:val="0"/>
                      <w:szCs w:val="21"/>
                    </w:rPr>
                  </w:pPr>
                  <w:r>
                    <w:rPr>
                      <w:rFonts w:hint="eastAsia"/>
                      <w:bCs/>
                      <w:snapToGrid w:val="0"/>
                      <w:kern w:val="0"/>
                      <w:szCs w:val="21"/>
                    </w:rPr>
                    <w:t>0.004L</w:t>
                  </w:r>
                </w:p>
              </w:tc>
              <w:tc>
                <w:tcPr>
                  <w:tcW w:w="1305" w:type="dxa"/>
                  <w:vAlign w:val="center"/>
                </w:tcPr>
                <w:p>
                  <w:pPr>
                    <w:jc w:val="center"/>
                    <w:rPr>
                      <w:snapToGrid w:val="0"/>
                      <w:w w:val="85"/>
                      <w:kern w:val="0"/>
                      <w:szCs w:val="21"/>
                    </w:rPr>
                  </w:pPr>
                  <w:r>
                    <w:rPr>
                      <w:rFonts w:hint="eastAsia"/>
                      <w:bCs/>
                      <w:snapToGrid w:val="0"/>
                      <w:kern w:val="0"/>
                      <w:szCs w:val="21"/>
                    </w:rPr>
                    <w:t>0.004L</w:t>
                  </w:r>
                </w:p>
              </w:tc>
              <w:tc>
                <w:tcPr>
                  <w:tcW w:w="1486" w:type="dxa"/>
                  <w:vAlign w:val="center"/>
                </w:tcPr>
                <w:p>
                  <w:pPr>
                    <w:jc w:val="center"/>
                    <w:rPr>
                      <w:bCs/>
                      <w:snapToGrid w:val="0"/>
                      <w:kern w:val="0"/>
                      <w:szCs w:val="21"/>
                    </w:rPr>
                  </w:pPr>
                  <w:r>
                    <w:rPr>
                      <w:rFonts w:hint="eastAsia"/>
                      <w:bCs/>
                      <w:snapToGrid w:val="0"/>
                      <w:kern w:val="0"/>
                      <w:szCs w:val="21"/>
                    </w:rPr>
                    <w:t>0.004L</w:t>
                  </w:r>
                </w:p>
              </w:tc>
              <w:tc>
                <w:tcPr>
                  <w:tcW w:w="1316" w:type="dxa"/>
                  <w:vAlign w:val="center"/>
                </w:tcPr>
                <w:p>
                  <w:pPr>
                    <w:jc w:val="center"/>
                    <w:rPr>
                      <w:bCs/>
                      <w:snapToGrid w:val="0"/>
                      <w:kern w:val="0"/>
                      <w:szCs w:val="21"/>
                    </w:rPr>
                  </w:pPr>
                  <w:r>
                    <w:rPr>
                      <w:rFonts w:hint="eastAsia"/>
                      <w:bCs/>
                      <w:snapToGrid w:val="0"/>
                      <w:kern w:val="0"/>
                      <w:szCs w:val="21"/>
                    </w:rPr>
                    <w:t>≤0.2</w:t>
                  </w:r>
                </w:p>
              </w:tc>
              <w:tc>
                <w:tcPr>
                  <w:tcW w:w="682" w:type="dxa"/>
                  <w:vAlign w:val="center"/>
                </w:tcPr>
                <w:p>
                  <w:pPr>
                    <w:jc w:val="center"/>
                    <w:rPr>
                      <w:bCs/>
                      <w:snapToGrid w:val="0"/>
                      <w:kern w:val="0"/>
                      <w:szCs w:val="21"/>
                    </w:rPr>
                  </w:pPr>
                  <w:r>
                    <w:rPr>
                      <w:rFonts w:hint="eastAsia"/>
                      <w:bCs/>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901" w:type="dxa"/>
                  <w:gridSpan w:val="7"/>
                  <w:vAlign w:val="center"/>
                </w:tcPr>
                <w:p>
                  <w:pPr>
                    <w:jc w:val="center"/>
                    <w:rPr>
                      <w:bCs/>
                      <w:snapToGrid w:val="0"/>
                      <w:kern w:val="0"/>
                      <w:szCs w:val="21"/>
                    </w:rPr>
                  </w:pPr>
                  <w:r>
                    <w:rPr>
                      <w:rFonts w:hint="eastAsia"/>
                      <w:bCs/>
                      <w:snapToGrid w:val="0"/>
                      <w:kern w:val="0"/>
                      <w:szCs w:val="21"/>
                    </w:rPr>
                    <w:t>注：表中“检测结果”栏中带“L”的结果表示检测结果小于最低检出限。</w:t>
                  </w:r>
                </w:p>
              </w:tc>
            </w:tr>
          </w:tbl>
          <w:p>
            <w:pPr>
              <w:spacing w:line="360" w:lineRule="auto"/>
              <w:ind w:firstLine="470" w:firstLineChars="196"/>
              <w:jc w:val="left"/>
              <w:rPr>
                <w:sz w:val="24"/>
                <w:szCs w:val="24"/>
              </w:rPr>
            </w:pPr>
            <w:r>
              <w:rPr>
                <w:rFonts w:hint="eastAsia"/>
                <w:sz w:val="24"/>
                <w:szCs w:val="24"/>
              </w:rPr>
              <w:t>由上表监测结果可知，评价区内地表水—老虎沟各监测断面监测因子浓度均满足《地表水环境质量标准》（GB3838-2002）</w:t>
            </w:r>
            <w:r>
              <w:rPr>
                <w:rFonts w:hint="eastAsia"/>
                <w:bCs/>
                <w:sz w:val="24"/>
                <w:szCs w:val="24"/>
              </w:rPr>
              <w:t>Ⅳ</w:t>
            </w:r>
            <w:r>
              <w:rPr>
                <w:rFonts w:hint="eastAsia"/>
                <w:sz w:val="24"/>
                <w:szCs w:val="24"/>
              </w:rPr>
              <w:t>类浓度限值要求。</w:t>
            </w:r>
          </w:p>
          <w:p>
            <w:pPr>
              <w:spacing w:line="360" w:lineRule="auto"/>
              <w:ind w:firstLine="472" w:firstLineChars="196"/>
              <w:rPr>
                <w:b/>
                <w:sz w:val="24"/>
                <w:szCs w:val="24"/>
              </w:rPr>
            </w:pPr>
            <w:r>
              <w:rPr>
                <w:rFonts w:hint="eastAsia"/>
                <w:b/>
                <w:sz w:val="24"/>
                <w:szCs w:val="24"/>
              </w:rPr>
              <w:t>3、地下水环境质量现状</w:t>
            </w:r>
          </w:p>
          <w:p>
            <w:pPr>
              <w:spacing w:line="360" w:lineRule="auto"/>
              <w:ind w:firstLine="470" w:firstLineChars="196"/>
              <w:rPr>
                <w:sz w:val="24"/>
                <w:szCs w:val="24"/>
              </w:rPr>
            </w:pPr>
            <w:r>
              <w:rPr>
                <w:rFonts w:hint="eastAsia"/>
                <w:sz w:val="24"/>
                <w:szCs w:val="24"/>
              </w:rPr>
              <w:t>本次地下水环境现状评价监测委托甘肃海慧安全科技有限公司现场监测。监测报告见附件6，监测点位图见附图8。</w:t>
            </w:r>
          </w:p>
          <w:p>
            <w:pPr>
              <w:spacing w:line="360" w:lineRule="auto"/>
              <w:ind w:firstLine="470" w:firstLineChars="196"/>
              <w:rPr>
                <w:sz w:val="24"/>
                <w:szCs w:val="24"/>
              </w:rPr>
            </w:pPr>
            <w:r>
              <w:rPr>
                <w:rFonts w:hint="eastAsia"/>
                <w:sz w:val="24"/>
                <w:szCs w:val="24"/>
              </w:rPr>
              <w:t>（1）监测点位</w:t>
            </w:r>
          </w:p>
          <w:p>
            <w:pPr>
              <w:spacing w:line="360" w:lineRule="auto"/>
              <w:ind w:firstLine="470" w:firstLineChars="196"/>
              <w:rPr>
                <w:sz w:val="24"/>
                <w:szCs w:val="24"/>
              </w:rPr>
            </w:pPr>
            <w:r>
              <w:rPr>
                <w:rFonts w:hint="eastAsia"/>
                <w:sz w:val="24"/>
                <w:szCs w:val="24"/>
              </w:rPr>
              <w:t>本项目所在地地下水走向为东北—西南，本次地下水现状监测点位布设在太昌镇街道在用的水井处，共2个监测断面，详见表18。</w:t>
            </w:r>
          </w:p>
          <w:p>
            <w:pPr>
              <w:spacing w:line="360" w:lineRule="auto"/>
              <w:ind w:firstLine="413" w:firstLineChars="196"/>
              <w:jc w:val="center"/>
              <w:rPr>
                <w:b/>
                <w:szCs w:val="21"/>
              </w:rPr>
            </w:pPr>
            <w:r>
              <w:rPr>
                <w:rFonts w:hint="eastAsia"/>
                <w:b/>
                <w:szCs w:val="21"/>
              </w:rPr>
              <w:t>表18  地下水质量现状监测点位</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1"/>
              <w:gridCol w:w="1700"/>
              <w:gridCol w:w="2270"/>
              <w:gridCol w:w="40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851" w:type="dxa"/>
                  <w:vAlign w:val="center"/>
                </w:tcPr>
                <w:p>
                  <w:pPr>
                    <w:jc w:val="center"/>
                    <w:rPr>
                      <w:b/>
                      <w:snapToGrid w:val="0"/>
                      <w:kern w:val="0"/>
                      <w:szCs w:val="21"/>
                    </w:rPr>
                  </w:pPr>
                  <w:r>
                    <w:rPr>
                      <w:rFonts w:hint="eastAsia"/>
                      <w:b/>
                      <w:snapToGrid w:val="0"/>
                      <w:kern w:val="0"/>
                      <w:szCs w:val="21"/>
                    </w:rPr>
                    <w:t>序号</w:t>
                  </w:r>
                </w:p>
              </w:tc>
              <w:tc>
                <w:tcPr>
                  <w:tcW w:w="1700" w:type="dxa"/>
                  <w:vAlign w:val="center"/>
                </w:tcPr>
                <w:p>
                  <w:pPr>
                    <w:jc w:val="center"/>
                    <w:rPr>
                      <w:b/>
                      <w:snapToGrid w:val="0"/>
                      <w:kern w:val="0"/>
                      <w:szCs w:val="21"/>
                    </w:rPr>
                  </w:pPr>
                  <w:r>
                    <w:rPr>
                      <w:rFonts w:hint="eastAsia"/>
                      <w:b/>
                      <w:snapToGrid w:val="0"/>
                      <w:kern w:val="0"/>
                      <w:szCs w:val="21"/>
                    </w:rPr>
                    <w:t>监测断面</w:t>
                  </w:r>
                </w:p>
              </w:tc>
              <w:tc>
                <w:tcPr>
                  <w:tcW w:w="2270" w:type="dxa"/>
                  <w:vAlign w:val="center"/>
                </w:tcPr>
                <w:p>
                  <w:pPr>
                    <w:jc w:val="center"/>
                    <w:rPr>
                      <w:b/>
                      <w:snapToGrid w:val="0"/>
                      <w:kern w:val="0"/>
                      <w:szCs w:val="21"/>
                    </w:rPr>
                  </w:pPr>
                  <w:r>
                    <w:rPr>
                      <w:rFonts w:hint="eastAsia"/>
                      <w:b/>
                      <w:snapToGrid w:val="0"/>
                      <w:kern w:val="0"/>
                      <w:szCs w:val="21"/>
                    </w:rPr>
                    <w:t>方位/距离</w:t>
                  </w:r>
                </w:p>
              </w:tc>
              <w:tc>
                <w:tcPr>
                  <w:tcW w:w="4080" w:type="dxa"/>
                  <w:vAlign w:val="center"/>
                </w:tcPr>
                <w:p>
                  <w:pPr>
                    <w:jc w:val="center"/>
                    <w:rPr>
                      <w:b/>
                      <w:snapToGrid w:val="0"/>
                      <w:kern w:val="0"/>
                      <w:szCs w:val="21"/>
                    </w:rPr>
                  </w:pPr>
                  <w:r>
                    <w:rPr>
                      <w:rFonts w:hint="eastAsia"/>
                      <w:b/>
                      <w:snapToGrid w:val="0"/>
                      <w:kern w:val="0"/>
                      <w:szCs w:val="21"/>
                    </w:rPr>
                    <w:t>采样说明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851" w:type="dxa"/>
                  <w:vAlign w:val="center"/>
                </w:tcPr>
                <w:p>
                  <w:pPr>
                    <w:jc w:val="center"/>
                    <w:rPr>
                      <w:snapToGrid w:val="0"/>
                      <w:kern w:val="0"/>
                      <w:szCs w:val="21"/>
                    </w:rPr>
                  </w:pPr>
                  <w:r>
                    <w:rPr>
                      <w:rFonts w:hint="eastAsia"/>
                      <w:snapToGrid w:val="0"/>
                      <w:kern w:val="0"/>
                      <w:szCs w:val="21"/>
                    </w:rPr>
                    <w:t>1#</w:t>
                  </w:r>
                </w:p>
              </w:tc>
              <w:tc>
                <w:tcPr>
                  <w:tcW w:w="1700" w:type="dxa"/>
                  <w:vAlign w:val="center"/>
                </w:tcPr>
                <w:p>
                  <w:pPr>
                    <w:jc w:val="center"/>
                    <w:rPr>
                      <w:snapToGrid w:val="0"/>
                      <w:kern w:val="0"/>
                      <w:szCs w:val="21"/>
                    </w:rPr>
                  </w:pPr>
                  <w:r>
                    <w:rPr>
                      <w:rFonts w:hint="eastAsia"/>
                      <w:snapToGrid w:val="0"/>
                      <w:kern w:val="0"/>
                      <w:szCs w:val="21"/>
                    </w:rPr>
                    <w:t>太昌供水站</w:t>
                  </w:r>
                </w:p>
              </w:tc>
              <w:tc>
                <w:tcPr>
                  <w:tcW w:w="2270" w:type="dxa"/>
                  <w:vAlign w:val="center"/>
                </w:tcPr>
                <w:p>
                  <w:pPr>
                    <w:jc w:val="center"/>
                    <w:rPr>
                      <w:snapToGrid w:val="0"/>
                      <w:kern w:val="0"/>
                      <w:szCs w:val="21"/>
                      <w:highlight w:val="yellow"/>
                    </w:rPr>
                  </w:pPr>
                  <w:r>
                    <w:rPr>
                      <w:rFonts w:hint="eastAsia"/>
                      <w:snapToGrid w:val="0"/>
                      <w:kern w:val="0"/>
                      <w:szCs w:val="21"/>
                    </w:rPr>
                    <w:t>N/580m</w:t>
                  </w:r>
                </w:p>
              </w:tc>
              <w:tc>
                <w:tcPr>
                  <w:tcW w:w="4080" w:type="dxa"/>
                  <w:vMerge w:val="restart"/>
                  <w:vAlign w:val="center"/>
                </w:tcPr>
                <w:p>
                  <w:pPr>
                    <w:jc w:val="center"/>
                    <w:rPr>
                      <w:snapToGrid w:val="0"/>
                      <w:kern w:val="0"/>
                      <w:szCs w:val="21"/>
                    </w:rPr>
                  </w:pPr>
                  <w:r>
                    <w:rPr>
                      <w:rFonts w:hint="eastAsia"/>
                      <w:snapToGrid w:val="0"/>
                      <w:kern w:val="0"/>
                      <w:szCs w:val="21"/>
                    </w:rPr>
                    <w:t>不降雨期，取一个水样，采样频率一次。同时测量取样点地下水位埋深和地面高程以及经纬度。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851" w:type="dxa"/>
                  <w:vAlign w:val="center"/>
                </w:tcPr>
                <w:p>
                  <w:pPr>
                    <w:jc w:val="center"/>
                    <w:rPr>
                      <w:snapToGrid w:val="0"/>
                      <w:kern w:val="0"/>
                      <w:szCs w:val="21"/>
                    </w:rPr>
                  </w:pPr>
                  <w:r>
                    <w:rPr>
                      <w:rFonts w:hint="eastAsia"/>
                      <w:snapToGrid w:val="0"/>
                      <w:kern w:val="0"/>
                      <w:szCs w:val="21"/>
                    </w:rPr>
                    <w:t>2#</w:t>
                  </w:r>
                </w:p>
              </w:tc>
              <w:tc>
                <w:tcPr>
                  <w:tcW w:w="1700" w:type="dxa"/>
                  <w:vAlign w:val="center"/>
                </w:tcPr>
                <w:p>
                  <w:pPr>
                    <w:jc w:val="center"/>
                    <w:rPr>
                      <w:snapToGrid w:val="0"/>
                      <w:kern w:val="0"/>
                      <w:szCs w:val="21"/>
                    </w:rPr>
                  </w:pPr>
                  <w:r>
                    <w:rPr>
                      <w:rFonts w:hint="eastAsia"/>
                      <w:snapToGrid w:val="0"/>
                      <w:kern w:val="0"/>
                      <w:szCs w:val="21"/>
                    </w:rPr>
                    <w:t>街道水井（王咀子水塔）</w:t>
                  </w:r>
                </w:p>
              </w:tc>
              <w:tc>
                <w:tcPr>
                  <w:tcW w:w="2270" w:type="dxa"/>
                  <w:vAlign w:val="center"/>
                </w:tcPr>
                <w:p>
                  <w:pPr>
                    <w:jc w:val="center"/>
                    <w:rPr>
                      <w:snapToGrid w:val="0"/>
                      <w:kern w:val="0"/>
                      <w:szCs w:val="21"/>
                      <w:highlight w:val="yellow"/>
                    </w:rPr>
                  </w:pPr>
                  <w:r>
                    <w:rPr>
                      <w:rFonts w:hint="eastAsia"/>
                      <w:snapToGrid w:val="0"/>
                      <w:kern w:val="0"/>
                      <w:szCs w:val="21"/>
                    </w:rPr>
                    <w:t>W/70m</w:t>
                  </w:r>
                </w:p>
              </w:tc>
              <w:tc>
                <w:tcPr>
                  <w:tcW w:w="4080" w:type="dxa"/>
                  <w:vMerge w:val="continue"/>
                  <w:vAlign w:val="center"/>
                </w:tcPr>
                <w:p>
                  <w:pPr>
                    <w:jc w:val="center"/>
                    <w:rPr>
                      <w:snapToGrid w:val="0"/>
                      <w:kern w:val="0"/>
                      <w:szCs w:val="21"/>
                    </w:rPr>
                  </w:pPr>
                </w:p>
              </w:tc>
            </w:tr>
          </w:tbl>
          <w:p>
            <w:pPr>
              <w:spacing w:line="360" w:lineRule="auto"/>
              <w:ind w:firstLine="470" w:firstLineChars="196"/>
              <w:rPr>
                <w:sz w:val="24"/>
                <w:szCs w:val="24"/>
              </w:rPr>
            </w:pPr>
            <w:r>
              <w:rPr>
                <w:rFonts w:hint="eastAsia"/>
                <w:sz w:val="24"/>
                <w:szCs w:val="24"/>
              </w:rPr>
              <w:t>（2）监测因子</w:t>
            </w:r>
          </w:p>
          <w:p>
            <w:pPr>
              <w:spacing w:line="360" w:lineRule="auto"/>
              <w:ind w:firstLine="470" w:firstLineChars="196"/>
              <w:rPr>
                <w:sz w:val="24"/>
                <w:szCs w:val="24"/>
              </w:rPr>
            </w:pPr>
            <w:r>
              <w:rPr>
                <w:rFonts w:hint="eastAsia"/>
                <w:sz w:val="24"/>
                <w:szCs w:val="24"/>
              </w:rPr>
              <w:t>①水质：pH值、钾、钠、钙、镁、CO</w:t>
            </w:r>
            <w:r>
              <w:rPr>
                <w:rFonts w:hint="eastAsia"/>
                <w:sz w:val="24"/>
                <w:szCs w:val="24"/>
                <w:vertAlign w:val="subscript"/>
              </w:rPr>
              <w:t>3</w:t>
            </w:r>
            <w:r>
              <w:rPr>
                <w:rFonts w:hint="eastAsia"/>
                <w:sz w:val="24"/>
                <w:szCs w:val="24"/>
                <w:vertAlign w:val="superscript"/>
              </w:rPr>
              <w:t>2-</w:t>
            </w:r>
            <w:r>
              <w:rPr>
                <w:rFonts w:hint="eastAsia"/>
                <w:sz w:val="24"/>
                <w:szCs w:val="24"/>
              </w:rPr>
              <w:t>、HCO</w:t>
            </w:r>
            <w:r>
              <w:rPr>
                <w:rFonts w:hint="eastAsia"/>
                <w:sz w:val="24"/>
                <w:szCs w:val="24"/>
                <w:vertAlign w:val="subscript"/>
              </w:rPr>
              <w:t>3</w:t>
            </w:r>
            <w:r>
              <w:rPr>
                <w:rFonts w:hint="eastAsia"/>
                <w:sz w:val="24"/>
                <w:szCs w:val="24"/>
                <w:vertAlign w:val="superscript"/>
              </w:rPr>
              <w:t>-</w:t>
            </w:r>
            <w:r>
              <w:rPr>
                <w:rFonts w:hint="eastAsia"/>
                <w:sz w:val="24"/>
                <w:szCs w:val="24"/>
              </w:rPr>
              <w:t>、总硬度、氨氮、硝酸盐氮、砷、汞、铁、锰、镉、铅、锌、耗氧量、硫酸盐、氯化物、总大肠菌群，共21项。</w:t>
            </w:r>
          </w:p>
          <w:p>
            <w:pPr>
              <w:spacing w:line="360" w:lineRule="auto"/>
              <w:ind w:firstLine="470" w:firstLineChars="196"/>
              <w:rPr>
                <w:sz w:val="24"/>
                <w:szCs w:val="24"/>
              </w:rPr>
            </w:pPr>
            <w:r>
              <w:rPr>
                <w:rFonts w:hint="eastAsia"/>
                <w:sz w:val="24"/>
                <w:szCs w:val="24"/>
              </w:rPr>
              <w:t>②水位：监测点经纬度、地下水位埋深、地面高程。</w:t>
            </w:r>
          </w:p>
          <w:p>
            <w:pPr>
              <w:spacing w:line="360" w:lineRule="auto"/>
              <w:ind w:firstLine="470" w:firstLineChars="196"/>
              <w:rPr>
                <w:sz w:val="24"/>
                <w:szCs w:val="24"/>
              </w:rPr>
            </w:pPr>
            <w:r>
              <w:rPr>
                <w:rFonts w:hint="eastAsia"/>
                <w:sz w:val="24"/>
                <w:szCs w:val="24"/>
              </w:rPr>
              <w:t>（3）监测时间及监测频率</w:t>
            </w:r>
          </w:p>
          <w:p>
            <w:pPr>
              <w:spacing w:line="360" w:lineRule="auto"/>
              <w:ind w:firstLine="470" w:firstLineChars="196"/>
              <w:rPr>
                <w:sz w:val="24"/>
                <w:szCs w:val="24"/>
              </w:rPr>
            </w:pPr>
            <w:r>
              <w:rPr>
                <w:rFonts w:hint="eastAsia"/>
                <w:sz w:val="24"/>
                <w:szCs w:val="24"/>
              </w:rPr>
              <w:t>2018年11月21日，共监测1天。</w:t>
            </w:r>
          </w:p>
          <w:p>
            <w:pPr>
              <w:spacing w:line="360" w:lineRule="auto"/>
              <w:ind w:firstLine="470" w:firstLineChars="196"/>
              <w:rPr>
                <w:sz w:val="24"/>
                <w:szCs w:val="24"/>
              </w:rPr>
            </w:pPr>
            <w:r>
              <w:rPr>
                <w:rFonts w:hint="eastAsia"/>
                <w:sz w:val="24"/>
                <w:szCs w:val="24"/>
              </w:rPr>
              <w:t>（4）分析方法</w:t>
            </w:r>
          </w:p>
          <w:p>
            <w:pPr>
              <w:spacing w:line="360" w:lineRule="auto"/>
              <w:ind w:firstLine="470" w:firstLineChars="196"/>
              <w:rPr>
                <w:sz w:val="24"/>
                <w:szCs w:val="24"/>
              </w:rPr>
            </w:pPr>
            <w:r>
              <w:rPr>
                <w:rFonts w:hint="eastAsia"/>
                <w:sz w:val="24"/>
                <w:szCs w:val="24"/>
              </w:rPr>
              <w:t>水样的采集、保存按《环境监测技术规范》进行。监测分析方法按照《生活饮用水标准检验方法》（GN5750-85）要求进行。</w:t>
            </w:r>
          </w:p>
          <w:p>
            <w:pPr>
              <w:spacing w:line="360" w:lineRule="auto"/>
              <w:ind w:firstLine="470" w:firstLineChars="196"/>
              <w:rPr>
                <w:sz w:val="24"/>
                <w:szCs w:val="24"/>
              </w:rPr>
            </w:pPr>
            <w:r>
              <w:rPr>
                <w:rFonts w:hint="eastAsia"/>
                <w:sz w:val="24"/>
                <w:szCs w:val="24"/>
              </w:rPr>
              <w:t>（5）监测结果</w:t>
            </w:r>
          </w:p>
          <w:p>
            <w:pPr>
              <w:spacing w:line="360" w:lineRule="auto"/>
              <w:ind w:firstLine="470" w:firstLineChars="196"/>
              <w:jc w:val="left"/>
              <w:rPr>
                <w:sz w:val="24"/>
                <w:szCs w:val="24"/>
              </w:rPr>
            </w:pPr>
            <w:r>
              <w:rPr>
                <w:rFonts w:hint="eastAsia"/>
                <w:sz w:val="24"/>
                <w:szCs w:val="24"/>
              </w:rPr>
              <w:t>监测结果统计见表19。</w:t>
            </w:r>
          </w:p>
          <w:p>
            <w:pPr>
              <w:spacing w:line="360" w:lineRule="auto"/>
              <w:ind w:firstLine="413" w:firstLineChars="196"/>
              <w:jc w:val="center"/>
              <w:rPr>
                <w:b/>
                <w:szCs w:val="21"/>
              </w:rPr>
            </w:pPr>
            <w:r>
              <w:rPr>
                <w:rFonts w:hint="eastAsia"/>
                <w:b/>
                <w:szCs w:val="21"/>
              </w:rPr>
              <w:t xml:space="preserve">表19  地下水环境质量现状评价结果表 </w:t>
            </w:r>
          </w:p>
          <w:tbl>
            <w:tblPr>
              <w:tblStyle w:val="35"/>
              <w:tblpPr w:leftFromText="180" w:rightFromText="180" w:vertAnchor="text" w:horzAnchor="page" w:tblpX="1888" w:tblpY="121"/>
              <w:tblOverlap w:val="never"/>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54"/>
              <w:gridCol w:w="1718"/>
              <w:gridCol w:w="1276"/>
              <w:gridCol w:w="1419"/>
              <w:gridCol w:w="1415"/>
              <w:gridCol w:w="1276"/>
              <w:gridCol w:w="12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16" w:hRule="atLeast"/>
                <w:tblHeader/>
              </w:trPr>
              <w:tc>
                <w:tcPr>
                  <w:tcW w:w="554" w:type="dxa"/>
                  <w:vMerge w:val="restart"/>
                  <w:vAlign w:val="center"/>
                </w:tcPr>
                <w:p>
                  <w:pPr>
                    <w:adjustRightInd w:val="0"/>
                    <w:jc w:val="center"/>
                    <w:rPr>
                      <w:b/>
                      <w:szCs w:val="21"/>
                    </w:rPr>
                  </w:pPr>
                  <w:r>
                    <w:rPr>
                      <w:rFonts w:hAnsi="宋体"/>
                      <w:b/>
                      <w:szCs w:val="21"/>
                    </w:rPr>
                    <w:t>序号</w:t>
                  </w:r>
                </w:p>
              </w:tc>
              <w:tc>
                <w:tcPr>
                  <w:tcW w:w="1718" w:type="dxa"/>
                  <w:vMerge w:val="restart"/>
                  <w:vAlign w:val="center"/>
                </w:tcPr>
                <w:p>
                  <w:pPr>
                    <w:adjustRightInd w:val="0"/>
                    <w:jc w:val="center"/>
                    <w:rPr>
                      <w:b/>
                      <w:szCs w:val="21"/>
                    </w:rPr>
                  </w:pPr>
                  <w:r>
                    <w:rPr>
                      <w:rFonts w:hAnsi="宋体"/>
                      <w:b/>
                      <w:szCs w:val="21"/>
                    </w:rPr>
                    <w:t>项目</w:t>
                  </w:r>
                </w:p>
              </w:tc>
              <w:tc>
                <w:tcPr>
                  <w:tcW w:w="2695" w:type="dxa"/>
                  <w:gridSpan w:val="2"/>
                  <w:vAlign w:val="center"/>
                </w:tcPr>
                <w:p>
                  <w:pPr>
                    <w:adjustRightInd w:val="0"/>
                    <w:jc w:val="center"/>
                    <w:rPr>
                      <w:b/>
                      <w:szCs w:val="21"/>
                    </w:rPr>
                  </w:pPr>
                  <w:r>
                    <w:rPr>
                      <w:rFonts w:hAnsi="宋体"/>
                      <w:b/>
                      <w:szCs w:val="21"/>
                    </w:rPr>
                    <w:t>监测结果（</w:t>
                  </w:r>
                  <w:r>
                    <w:rPr>
                      <w:b/>
                      <w:szCs w:val="21"/>
                    </w:rPr>
                    <w:t>mg/L</w:t>
                  </w:r>
                  <w:r>
                    <w:rPr>
                      <w:rFonts w:hAnsi="宋体"/>
                      <w:b/>
                      <w:szCs w:val="21"/>
                    </w:rPr>
                    <w:t>）</w:t>
                  </w:r>
                </w:p>
              </w:tc>
              <w:tc>
                <w:tcPr>
                  <w:tcW w:w="1415" w:type="dxa"/>
                  <w:vMerge w:val="restart"/>
                  <w:vAlign w:val="center"/>
                </w:tcPr>
                <w:p>
                  <w:pPr>
                    <w:adjustRightInd w:val="0"/>
                    <w:jc w:val="center"/>
                    <w:rPr>
                      <w:b/>
                      <w:szCs w:val="21"/>
                    </w:rPr>
                  </w:pPr>
                  <w:r>
                    <w:rPr>
                      <w:rFonts w:hAnsi="宋体"/>
                      <w:b/>
                      <w:szCs w:val="21"/>
                    </w:rPr>
                    <w:t>标准（</w:t>
                  </w:r>
                  <w:r>
                    <w:rPr>
                      <w:b/>
                      <w:szCs w:val="21"/>
                    </w:rPr>
                    <w:t>mg/L</w:t>
                  </w:r>
                  <w:r>
                    <w:rPr>
                      <w:rFonts w:hAnsi="宋体"/>
                      <w:b/>
                      <w:szCs w:val="21"/>
                    </w:rPr>
                    <w:t>）</w:t>
                  </w:r>
                </w:p>
              </w:tc>
              <w:tc>
                <w:tcPr>
                  <w:tcW w:w="2519" w:type="dxa"/>
                  <w:gridSpan w:val="2"/>
                  <w:vAlign w:val="center"/>
                </w:tcPr>
                <w:p>
                  <w:pPr>
                    <w:adjustRightInd w:val="0"/>
                    <w:jc w:val="center"/>
                    <w:rPr>
                      <w:b/>
                      <w:szCs w:val="21"/>
                    </w:rPr>
                  </w:pPr>
                  <w:r>
                    <w:rPr>
                      <w:rFonts w:hAnsi="宋体"/>
                      <w:b/>
                      <w:szCs w:val="21"/>
                    </w:rPr>
                    <w:t>标准指数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8" w:hRule="atLeast"/>
                <w:tblHeader/>
              </w:trPr>
              <w:tc>
                <w:tcPr>
                  <w:tcW w:w="554" w:type="dxa"/>
                  <w:vMerge w:val="continue"/>
                  <w:vAlign w:val="center"/>
                </w:tcPr>
                <w:p>
                  <w:pPr>
                    <w:adjustRightInd w:val="0"/>
                    <w:jc w:val="center"/>
                    <w:rPr>
                      <w:szCs w:val="21"/>
                    </w:rPr>
                  </w:pPr>
                </w:p>
              </w:tc>
              <w:tc>
                <w:tcPr>
                  <w:tcW w:w="1718" w:type="dxa"/>
                  <w:vMerge w:val="continue"/>
                  <w:vAlign w:val="center"/>
                </w:tcPr>
                <w:p>
                  <w:pPr>
                    <w:adjustRightInd w:val="0"/>
                    <w:jc w:val="center"/>
                    <w:rPr>
                      <w:szCs w:val="21"/>
                    </w:rPr>
                  </w:pPr>
                </w:p>
              </w:tc>
              <w:tc>
                <w:tcPr>
                  <w:tcW w:w="1276" w:type="dxa"/>
                  <w:vAlign w:val="center"/>
                </w:tcPr>
                <w:p>
                  <w:pPr>
                    <w:adjustRightInd w:val="0"/>
                    <w:jc w:val="center"/>
                    <w:rPr>
                      <w:szCs w:val="21"/>
                    </w:rPr>
                  </w:pPr>
                  <w:r>
                    <w:rPr>
                      <w:rFonts w:hint="eastAsia" w:hAnsi="宋体"/>
                      <w:szCs w:val="21"/>
                    </w:rPr>
                    <w:t>太昌供水站</w:t>
                  </w:r>
                </w:p>
              </w:tc>
              <w:tc>
                <w:tcPr>
                  <w:tcW w:w="1419" w:type="dxa"/>
                  <w:vAlign w:val="center"/>
                </w:tcPr>
                <w:p>
                  <w:pPr>
                    <w:adjustRightInd w:val="0"/>
                    <w:jc w:val="center"/>
                    <w:rPr>
                      <w:szCs w:val="21"/>
                    </w:rPr>
                  </w:pPr>
                  <w:r>
                    <w:rPr>
                      <w:rFonts w:hint="eastAsia" w:hAnsi="宋体"/>
                      <w:szCs w:val="21"/>
                    </w:rPr>
                    <w:t>街道水井</w:t>
                  </w:r>
                </w:p>
              </w:tc>
              <w:tc>
                <w:tcPr>
                  <w:tcW w:w="1415" w:type="dxa"/>
                  <w:vMerge w:val="continue"/>
                  <w:vAlign w:val="center"/>
                </w:tcPr>
                <w:p>
                  <w:pPr>
                    <w:adjustRightInd w:val="0"/>
                    <w:jc w:val="center"/>
                    <w:rPr>
                      <w:szCs w:val="21"/>
                    </w:rPr>
                  </w:pPr>
                </w:p>
              </w:tc>
              <w:tc>
                <w:tcPr>
                  <w:tcW w:w="1276" w:type="dxa"/>
                  <w:vAlign w:val="center"/>
                </w:tcPr>
                <w:p>
                  <w:pPr>
                    <w:adjustRightInd w:val="0"/>
                    <w:jc w:val="center"/>
                    <w:rPr>
                      <w:szCs w:val="21"/>
                    </w:rPr>
                  </w:pPr>
                  <w:r>
                    <w:rPr>
                      <w:rFonts w:hint="eastAsia" w:hAnsi="宋体"/>
                      <w:szCs w:val="21"/>
                    </w:rPr>
                    <w:t>太昌供水站</w:t>
                  </w:r>
                </w:p>
              </w:tc>
              <w:tc>
                <w:tcPr>
                  <w:tcW w:w="1243" w:type="dxa"/>
                  <w:vAlign w:val="center"/>
                </w:tcPr>
                <w:p>
                  <w:pPr>
                    <w:adjustRightInd w:val="0"/>
                    <w:jc w:val="center"/>
                    <w:rPr>
                      <w:szCs w:val="21"/>
                    </w:rPr>
                  </w:pPr>
                  <w:r>
                    <w:rPr>
                      <w:rFonts w:hint="eastAsia" w:hAnsi="宋体"/>
                      <w:szCs w:val="21"/>
                    </w:rPr>
                    <w:t>街道水井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9" w:hRule="exact"/>
              </w:trPr>
              <w:tc>
                <w:tcPr>
                  <w:tcW w:w="554" w:type="dxa"/>
                  <w:vAlign w:val="center"/>
                </w:tcPr>
                <w:p>
                  <w:pPr>
                    <w:adjustRightInd w:val="0"/>
                    <w:jc w:val="center"/>
                    <w:rPr>
                      <w:szCs w:val="21"/>
                    </w:rPr>
                  </w:pPr>
                  <w:r>
                    <w:rPr>
                      <w:szCs w:val="21"/>
                    </w:rPr>
                    <w:t>1</w:t>
                  </w:r>
                </w:p>
              </w:tc>
              <w:tc>
                <w:tcPr>
                  <w:tcW w:w="1718" w:type="dxa"/>
                  <w:vAlign w:val="center"/>
                </w:tcPr>
                <w:p>
                  <w:pPr>
                    <w:adjustRightInd w:val="0"/>
                    <w:jc w:val="center"/>
                    <w:rPr>
                      <w:szCs w:val="21"/>
                    </w:rPr>
                  </w:pPr>
                  <w:r>
                    <w:rPr>
                      <w:szCs w:val="21"/>
                    </w:rPr>
                    <w:t>pH</w:t>
                  </w:r>
                  <w:r>
                    <w:rPr>
                      <w:rFonts w:hAnsi="宋体"/>
                      <w:szCs w:val="21"/>
                    </w:rPr>
                    <w:t>值</w:t>
                  </w:r>
                </w:p>
              </w:tc>
              <w:tc>
                <w:tcPr>
                  <w:tcW w:w="1276" w:type="dxa"/>
                  <w:vAlign w:val="center"/>
                </w:tcPr>
                <w:p>
                  <w:pPr>
                    <w:adjustRightInd w:val="0"/>
                    <w:jc w:val="center"/>
                    <w:rPr>
                      <w:szCs w:val="21"/>
                    </w:rPr>
                  </w:pPr>
                  <w:r>
                    <w:rPr>
                      <w:rFonts w:hint="eastAsia"/>
                      <w:szCs w:val="21"/>
                    </w:rPr>
                    <w:t>7.69</w:t>
                  </w:r>
                </w:p>
              </w:tc>
              <w:tc>
                <w:tcPr>
                  <w:tcW w:w="1419" w:type="dxa"/>
                  <w:vAlign w:val="center"/>
                </w:tcPr>
                <w:p>
                  <w:pPr>
                    <w:adjustRightInd w:val="0"/>
                    <w:jc w:val="center"/>
                    <w:rPr>
                      <w:szCs w:val="21"/>
                    </w:rPr>
                  </w:pPr>
                  <w:r>
                    <w:rPr>
                      <w:rFonts w:hint="eastAsia"/>
                      <w:szCs w:val="21"/>
                    </w:rPr>
                    <w:t>7.79</w:t>
                  </w:r>
                </w:p>
              </w:tc>
              <w:tc>
                <w:tcPr>
                  <w:tcW w:w="1415" w:type="dxa"/>
                  <w:vAlign w:val="center"/>
                </w:tcPr>
                <w:p>
                  <w:pPr>
                    <w:adjustRightInd w:val="0"/>
                    <w:jc w:val="center"/>
                    <w:rPr>
                      <w:szCs w:val="21"/>
                    </w:rPr>
                  </w:pPr>
                  <w:r>
                    <w:rPr>
                      <w:szCs w:val="21"/>
                    </w:rPr>
                    <w:t>6.5~8.5</w:t>
                  </w:r>
                </w:p>
              </w:tc>
              <w:tc>
                <w:tcPr>
                  <w:tcW w:w="1276" w:type="dxa"/>
                  <w:vAlign w:val="center"/>
                </w:tcPr>
                <w:p>
                  <w:pPr>
                    <w:adjustRightInd w:val="0"/>
                    <w:jc w:val="center"/>
                    <w:rPr>
                      <w:szCs w:val="21"/>
                    </w:rPr>
                  </w:pPr>
                  <w:r>
                    <w:rPr>
                      <w:szCs w:val="21"/>
                    </w:rPr>
                    <w:t>/</w:t>
                  </w:r>
                </w:p>
              </w:tc>
              <w:tc>
                <w:tcPr>
                  <w:tcW w:w="1243" w:type="dxa"/>
                  <w:vAlign w:val="center"/>
                </w:tcPr>
                <w:p>
                  <w:pPr>
                    <w:adjustRightInd w:val="0"/>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2" w:hRule="exact"/>
              </w:trPr>
              <w:tc>
                <w:tcPr>
                  <w:tcW w:w="554" w:type="dxa"/>
                  <w:vAlign w:val="center"/>
                </w:tcPr>
                <w:p>
                  <w:pPr>
                    <w:adjustRightInd w:val="0"/>
                    <w:jc w:val="center"/>
                    <w:rPr>
                      <w:szCs w:val="21"/>
                    </w:rPr>
                  </w:pPr>
                  <w:r>
                    <w:rPr>
                      <w:rFonts w:hint="eastAsia"/>
                      <w:szCs w:val="21"/>
                    </w:rPr>
                    <w:t>2</w:t>
                  </w:r>
                </w:p>
              </w:tc>
              <w:tc>
                <w:tcPr>
                  <w:tcW w:w="1718" w:type="dxa"/>
                  <w:vAlign w:val="center"/>
                </w:tcPr>
                <w:p>
                  <w:pPr>
                    <w:adjustRightInd w:val="0"/>
                    <w:jc w:val="center"/>
                    <w:rPr>
                      <w:rFonts w:hAnsi="宋体"/>
                      <w:szCs w:val="21"/>
                    </w:rPr>
                  </w:pPr>
                  <w:r>
                    <w:rPr>
                      <w:rFonts w:hint="eastAsia" w:hAnsi="宋体"/>
                      <w:szCs w:val="21"/>
                    </w:rPr>
                    <w:t>耗氧量</w:t>
                  </w:r>
                </w:p>
              </w:tc>
              <w:tc>
                <w:tcPr>
                  <w:tcW w:w="1276" w:type="dxa"/>
                  <w:vAlign w:val="center"/>
                </w:tcPr>
                <w:p>
                  <w:pPr>
                    <w:adjustRightInd w:val="0"/>
                    <w:jc w:val="center"/>
                    <w:rPr>
                      <w:szCs w:val="21"/>
                    </w:rPr>
                  </w:pPr>
                  <w:r>
                    <w:rPr>
                      <w:rFonts w:hint="eastAsia"/>
                      <w:szCs w:val="21"/>
                    </w:rPr>
                    <w:t>0.5L</w:t>
                  </w:r>
                </w:p>
              </w:tc>
              <w:tc>
                <w:tcPr>
                  <w:tcW w:w="1419" w:type="dxa"/>
                  <w:vAlign w:val="center"/>
                </w:tcPr>
                <w:p>
                  <w:pPr>
                    <w:adjustRightInd w:val="0"/>
                    <w:jc w:val="center"/>
                    <w:rPr>
                      <w:szCs w:val="21"/>
                    </w:rPr>
                  </w:pPr>
                  <w:r>
                    <w:rPr>
                      <w:rFonts w:hint="eastAsia"/>
                      <w:szCs w:val="21"/>
                    </w:rPr>
                    <w:t>0.5L</w:t>
                  </w:r>
                </w:p>
              </w:tc>
              <w:tc>
                <w:tcPr>
                  <w:tcW w:w="1415" w:type="dxa"/>
                  <w:vAlign w:val="center"/>
                </w:tcPr>
                <w:p>
                  <w:pPr>
                    <w:adjustRightInd w:val="0"/>
                    <w:jc w:val="center"/>
                    <w:rPr>
                      <w:szCs w:val="21"/>
                    </w:rPr>
                  </w:pPr>
                  <w:r>
                    <w:rPr>
                      <w:szCs w:val="21"/>
                    </w:rPr>
                    <w:t>≤</w:t>
                  </w:r>
                  <w:r>
                    <w:rPr>
                      <w:rFonts w:hint="eastAsia"/>
                      <w:szCs w:val="21"/>
                    </w:rPr>
                    <w:t>3.0</w:t>
                  </w:r>
                </w:p>
              </w:tc>
              <w:tc>
                <w:tcPr>
                  <w:tcW w:w="1276" w:type="dxa"/>
                  <w:vAlign w:val="center"/>
                </w:tcPr>
                <w:p>
                  <w:pPr>
                    <w:adjustRightInd w:val="0"/>
                    <w:jc w:val="center"/>
                    <w:rPr>
                      <w:szCs w:val="21"/>
                    </w:rPr>
                  </w:pPr>
                  <w:r>
                    <w:rPr>
                      <w:rFonts w:hint="eastAsia"/>
                      <w:szCs w:val="21"/>
                    </w:rPr>
                    <w:t>/</w:t>
                  </w:r>
                </w:p>
              </w:tc>
              <w:tc>
                <w:tcPr>
                  <w:tcW w:w="1243" w:type="dxa"/>
                  <w:vAlign w:val="center"/>
                </w:tcPr>
                <w:p>
                  <w:pPr>
                    <w:adjustRightInd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2" w:hRule="exact"/>
              </w:trPr>
              <w:tc>
                <w:tcPr>
                  <w:tcW w:w="554" w:type="dxa"/>
                  <w:vAlign w:val="center"/>
                </w:tcPr>
                <w:p>
                  <w:pPr>
                    <w:adjustRightInd w:val="0"/>
                    <w:jc w:val="center"/>
                    <w:rPr>
                      <w:szCs w:val="21"/>
                    </w:rPr>
                  </w:pPr>
                  <w:r>
                    <w:rPr>
                      <w:rFonts w:hint="eastAsia"/>
                      <w:szCs w:val="21"/>
                    </w:rPr>
                    <w:t>3</w:t>
                  </w:r>
                </w:p>
              </w:tc>
              <w:tc>
                <w:tcPr>
                  <w:tcW w:w="1718" w:type="dxa"/>
                  <w:vAlign w:val="center"/>
                </w:tcPr>
                <w:p>
                  <w:pPr>
                    <w:adjustRightInd w:val="0"/>
                    <w:jc w:val="center"/>
                    <w:rPr>
                      <w:szCs w:val="21"/>
                    </w:rPr>
                  </w:pPr>
                  <w:r>
                    <w:rPr>
                      <w:rFonts w:hAnsi="宋体"/>
                      <w:szCs w:val="21"/>
                    </w:rPr>
                    <w:t>总硬度</w:t>
                  </w:r>
                </w:p>
              </w:tc>
              <w:tc>
                <w:tcPr>
                  <w:tcW w:w="1276" w:type="dxa"/>
                  <w:vAlign w:val="center"/>
                </w:tcPr>
                <w:p>
                  <w:pPr>
                    <w:adjustRightInd w:val="0"/>
                    <w:jc w:val="center"/>
                    <w:rPr>
                      <w:szCs w:val="21"/>
                    </w:rPr>
                  </w:pPr>
                  <w:r>
                    <w:rPr>
                      <w:rFonts w:hint="eastAsia"/>
                      <w:szCs w:val="21"/>
                    </w:rPr>
                    <w:t>210</w:t>
                  </w:r>
                </w:p>
              </w:tc>
              <w:tc>
                <w:tcPr>
                  <w:tcW w:w="1419" w:type="dxa"/>
                  <w:vAlign w:val="center"/>
                </w:tcPr>
                <w:p>
                  <w:pPr>
                    <w:adjustRightInd w:val="0"/>
                    <w:jc w:val="center"/>
                    <w:rPr>
                      <w:szCs w:val="21"/>
                    </w:rPr>
                  </w:pPr>
                  <w:r>
                    <w:rPr>
                      <w:rFonts w:hint="eastAsia"/>
                      <w:szCs w:val="21"/>
                    </w:rPr>
                    <w:t>150</w:t>
                  </w:r>
                </w:p>
              </w:tc>
              <w:tc>
                <w:tcPr>
                  <w:tcW w:w="1415" w:type="dxa"/>
                  <w:vAlign w:val="center"/>
                </w:tcPr>
                <w:p>
                  <w:pPr>
                    <w:adjustRightInd w:val="0"/>
                    <w:jc w:val="center"/>
                    <w:rPr>
                      <w:szCs w:val="21"/>
                    </w:rPr>
                  </w:pPr>
                  <w:r>
                    <w:rPr>
                      <w:szCs w:val="21"/>
                    </w:rPr>
                    <w:t>≤450</w:t>
                  </w:r>
                </w:p>
              </w:tc>
              <w:tc>
                <w:tcPr>
                  <w:tcW w:w="1276" w:type="dxa"/>
                  <w:vAlign w:val="center"/>
                </w:tcPr>
                <w:p>
                  <w:pPr>
                    <w:adjustRightInd w:val="0"/>
                    <w:jc w:val="center"/>
                    <w:rPr>
                      <w:szCs w:val="21"/>
                    </w:rPr>
                  </w:pPr>
                  <w:r>
                    <w:rPr>
                      <w:szCs w:val="21"/>
                    </w:rPr>
                    <w:t>0.</w:t>
                  </w:r>
                  <w:r>
                    <w:rPr>
                      <w:rFonts w:hint="eastAsia"/>
                      <w:szCs w:val="21"/>
                    </w:rPr>
                    <w:t>467</w:t>
                  </w:r>
                </w:p>
              </w:tc>
              <w:tc>
                <w:tcPr>
                  <w:tcW w:w="1243" w:type="dxa"/>
                  <w:vAlign w:val="center"/>
                </w:tcPr>
                <w:p>
                  <w:pPr>
                    <w:adjustRightInd w:val="0"/>
                    <w:jc w:val="center"/>
                    <w:rPr>
                      <w:szCs w:val="21"/>
                    </w:rPr>
                  </w:pPr>
                  <w:r>
                    <w:rPr>
                      <w:rFonts w:hint="eastAsia"/>
                      <w:szCs w:val="21"/>
                    </w:rPr>
                    <w:t>0.33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9" w:hRule="exact"/>
              </w:trPr>
              <w:tc>
                <w:tcPr>
                  <w:tcW w:w="554" w:type="dxa"/>
                  <w:vAlign w:val="center"/>
                </w:tcPr>
                <w:p>
                  <w:pPr>
                    <w:adjustRightInd w:val="0"/>
                    <w:jc w:val="center"/>
                    <w:rPr>
                      <w:szCs w:val="21"/>
                    </w:rPr>
                  </w:pPr>
                  <w:r>
                    <w:rPr>
                      <w:rFonts w:hint="eastAsia"/>
                      <w:szCs w:val="21"/>
                    </w:rPr>
                    <w:t>4</w:t>
                  </w:r>
                </w:p>
              </w:tc>
              <w:tc>
                <w:tcPr>
                  <w:tcW w:w="1718" w:type="dxa"/>
                  <w:vAlign w:val="center"/>
                </w:tcPr>
                <w:p>
                  <w:pPr>
                    <w:adjustRightInd w:val="0"/>
                    <w:jc w:val="center"/>
                    <w:rPr>
                      <w:szCs w:val="21"/>
                    </w:rPr>
                  </w:pPr>
                  <w:r>
                    <w:rPr>
                      <w:rFonts w:hAnsi="宋体"/>
                      <w:szCs w:val="21"/>
                    </w:rPr>
                    <w:t>氨氮</w:t>
                  </w:r>
                </w:p>
              </w:tc>
              <w:tc>
                <w:tcPr>
                  <w:tcW w:w="1276" w:type="dxa"/>
                  <w:vAlign w:val="center"/>
                </w:tcPr>
                <w:p>
                  <w:pPr>
                    <w:adjustRightInd w:val="0"/>
                    <w:jc w:val="center"/>
                    <w:rPr>
                      <w:szCs w:val="21"/>
                    </w:rPr>
                  </w:pPr>
                  <w:r>
                    <w:rPr>
                      <w:rFonts w:hint="eastAsia"/>
                      <w:szCs w:val="21"/>
                    </w:rPr>
                    <w:t>0.12</w:t>
                  </w:r>
                </w:p>
              </w:tc>
              <w:tc>
                <w:tcPr>
                  <w:tcW w:w="1419" w:type="dxa"/>
                  <w:vAlign w:val="center"/>
                </w:tcPr>
                <w:p>
                  <w:pPr>
                    <w:adjustRightInd w:val="0"/>
                    <w:jc w:val="center"/>
                    <w:rPr>
                      <w:szCs w:val="21"/>
                    </w:rPr>
                  </w:pPr>
                  <w:r>
                    <w:rPr>
                      <w:rFonts w:hint="eastAsia"/>
                      <w:szCs w:val="21"/>
                    </w:rPr>
                    <w:t>0.11</w:t>
                  </w:r>
                </w:p>
              </w:tc>
              <w:tc>
                <w:tcPr>
                  <w:tcW w:w="1415" w:type="dxa"/>
                  <w:vAlign w:val="center"/>
                </w:tcPr>
                <w:p>
                  <w:pPr>
                    <w:adjustRightInd w:val="0"/>
                    <w:jc w:val="center"/>
                    <w:rPr>
                      <w:szCs w:val="21"/>
                    </w:rPr>
                  </w:pPr>
                  <w:r>
                    <w:rPr>
                      <w:szCs w:val="21"/>
                    </w:rPr>
                    <w:t>≤0.50</w:t>
                  </w:r>
                </w:p>
              </w:tc>
              <w:tc>
                <w:tcPr>
                  <w:tcW w:w="1276" w:type="dxa"/>
                  <w:vAlign w:val="center"/>
                </w:tcPr>
                <w:p>
                  <w:pPr>
                    <w:adjustRightInd w:val="0"/>
                    <w:jc w:val="center"/>
                    <w:rPr>
                      <w:szCs w:val="21"/>
                    </w:rPr>
                  </w:pPr>
                  <w:r>
                    <w:rPr>
                      <w:szCs w:val="21"/>
                    </w:rPr>
                    <w:t>0.</w:t>
                  </w:r>
                  <w:r>
                    <w:rPr>
                      <w:rFonts w:hint="eastAsia"/>
                      <w:szCs w:val="21"/>
                    </w:rPr>
                    <w:t>24</w:t>
                  </w:r>
                </w:p>
              </w:tc>
              <w:tc>
                <w:tcPr>
                  <w:tcW w:w="1243" w:type="dxa"/>
                  <w:vAlign w:val="center"/>
                </w:tcPr>
                <w:p>
                  <w:pPr>
                    <w:adjustRightInd w:val="0"/>
                    <w:jc w:val="center"/>
                    <w:rPr>
                      <w:szCs w:val="21"/>
                    </w:rPr>
                  </w:pPr>
                  <w:r>
                    <w:rPr>
                      <w:szCs w:val="21"/>
                    </w:rPr>
                    <w:t>0.</w:t>
                  </w:r>
                  <w:r>
                    <w:rPr>
                      <w:rFonts w:hint="eastAsia"/>
                      <w:szCs w:val="21"/>
                    </w:rPr>
                    <w:t>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9" w:hRule="exact"/>
              </w:trPr>
              <w:tc>
                <w:tcPr>
                  <w:tcW w:w="554" w:type="dxa"/>
                  <w:vAlign w:val="center"/>
                </w:tcPr>
                <w:p>
                  <w:pPr>
                    <w:adjustRightInd w:val="0"/>
                    <w:jc w:val="center"/>
                    <w:rPr>
                      <w:szCs w:val="21"/>
                    </w:rPr>
                  </w:pPr>
                  <w:r>
                    <w:rPr>
                      <w:rFonts w:hint="eastAsia"/>
                      <w:szCs w:val="21"/>
                    </w:rPr>
                    <w:t>5</w:t>
                  </w:r>
                </w:p>
              </w:tc>
              <w:tc>
                <w:tcPr>
                  <w:tcW w:w="1718" w:type="dxa"/>
                  <w:vAlign w:val="center"/>
                </w:tcPr>
                <w:p>
                  <w:pPr>
                    <w:adjustRightInd w:val="0"/>
                    <w:jc w:val="center"/>
                    <w:rPr>
                      <w:szCs w:val="21"/>
                    </w:rPr>
                  </w:pPr>
                  <w:r>
                    <w:rPr>
                      <w:rFonts w:hAnsi="宋体"/>
                      <w:szCs w:val="21"/>
                    </w:rPr>
                    <w:t>氯化物</w:t>
                  </w:r>
                </w:p>
              </w:tc>
              <w:tc>
                <w:tcPr>
                  <w:tcW w:w="1276" w:type="dxa"/>
                  <w:vAlign w:val="center"/>
                </w:tcPr>
                <w:p>
                  <w:pPr>
                    <w:adjustRightInd w:val="0"/>
                    <w:jc w:val="center"/>
                    <w:rPr>
                      <w:szCs w:val="21"/>
                    </w:rPr>
                  </w:pPr>
                  <w:r>
                    <w:rPr>
                      <w:rFonts w:hint="eastAsia"/>
                      <w:szCs w:val="21"/>
                    </w:rPr>
                    <w:t>49.2</w:t>
                  </w:r>
                </w:p>
              </w:tc>
              <w:tc>
                <w:tcPr>
                  <w:tcW w:w="1419" w:type="dxa"/>
                  <w:vAlign w:val="center"/>
                </w:tcPr>
                <w:p>
                  <w:pPr>
                    <w:adjustRightInd w:val="0"/>
                    <w:jc w:val="center"/>
                    <w:rPr>
                      <w:szCs w:val="21"/>
                    </w:rPr>
                  </w:pPr>
                  <w:r>
                    <w:rPr>
                      <w:rFonts w:hint="eastAsia"/>
                      <w:szCs w:val="21"/>
                    </w:rPr>
                    <w:t>8.90</w:t>
                  </w:r>
                </w:p>
              </w:tc>
              <w:tc>
                <w:tcPr>
                  <w:tcW w:w="1415" w:type="dxa"/>
                  <w:vAlign w:val="center"/>
                </w:tcPr>
                <w:p>
                  <w:pPr>
                    <w:adjustRightInd w:val="0"/>
                    <w:jc w:val="center"/>
                    <w:rPr>
                      <w:szCs w:val="21"/>
                    </w:rPr>
                  </w:pPr>
                  <w:r>
                    <w:rPr>
                      <w:szCs w:val="21"/>
                    </w:rPr>
                    <w:t>≤250</w:t>
                  </w:r>
                </w:p>
              </w:tc>
              <w:tc>
                <w:tcPr>
                  <w:tcW w:w="1276" w:type="dxa"/>
                  <w:vAlign w:val="center"/>
                </w:tcPr>
                <w:p>
                  <w:pPr>
                    <w:adjustRightInd w:val="0"/>
                    <w:jc w:val="center"/>
                    <w:rPr>
                      <w:szCs w:val="21"/>
                    </w:rPr>
                  </w:pPr>
                  <w:r>
                    <w:rPr>
                      <w:szCs w:val="21"/>
                    </w:rPr>
                    <w:t>0.</w:t>
                  </w:r>
                  <w:r>
                    <w:rPr>
                      <w:rFonts w:hint="eastAsia"/>
                      <w:szCs w:val="21"/>
                    </w:rPr>
                    <w:t>1968</w:t>
                  </w:r>
                </w:p>
              </w:tc>
              <w:tc>
                <w:tcPr>
                  <w:tcW w:w="1243" w:type="dxa"/>
                  <w:vAlign w:val="center"/>
                </w:tcPr>
                <w:p>
                  <w:pPr>
                    <w:adjustRightInd w:val="0"/>
                    <w:jc w:val="center"/>
                    <w:rPr>
                      <w:szCs w:val="21"/>
                    </w:rPr>
                  </w:pPr>
                  <w:r>
                    <w:rPr>
                      <w:szCs w:val="21"/>
                    </w:rPr>
                    <w:t>0.0</w:t>
                  </w:r>
                  <w:r>
                    <w:rPr>
                      <w:rFonts w:hint="eastAsia"/>
                      <w:szCs w:val="21"/>
                    </w:rPr>
                    <w:t>356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7" w:hRule="exact"/>
              </w:trPr>
              <w:tc>
                <w:tcPr>
                  <w:tcW w:w="554" w:type="dxa"/>
                  <w:vAlign w:val="center"/>
                </w:tcPr>
                <w:p>
                  <w:pPr>
                    <w:adjustRightInd w:val="0"/>
                    <w:jc w:val="center"/>
                    <w:rPr>
                      <w:szCs w:val="21"/>
                    </w:rPr>
                  </w:pPr>
                  <w:r>
                    <w:rPr>
                      <w:rFonts w:hint="eastAsia"/>
                      <w:szCs w:val="21"/>
                    </w:rPr>
                    <w:t>6</w:t>
                  </w:r>
                </w:p>
              </w:tc>
              <w:tc>
                <w:tcPr>
                  <w:tcW w:w="1718" w:type="dxa"/>
                  <w:vAlign w:val="center"/>
                </w:tcPr>
                <w:p>
                  <w:pPr>
                    <w:adjustRightInd w:val="0"/>
                    <w:jc w:val="center"/>
                    <w:rPr>
                      <w:szCs w:val="21"/>
                    </w:rPr>
                  </w:pPr>
                  <w:r>
                    <w:rPr>
                      <w:rFonts w:hAnsi="宋体"/>
                      <w:szCs w:val="21"/>
                    </w:rPr>
                    <w:t>硫酸盐</w:t>
                  </w:r>
                </w:p>
              </w:tc>
              <w:tc>
                <w:tcPr>
                  <w:tcW w:w="1276" w:type="dxa"/>
                  <w:vAlign w:val="center"/>
                </w:tcPr>
                <w:p>
                  <w:pPr>
                    <w:adjustRightInd w:val="0"/>
                    <w:jc w:val="center"/>
                    <w:rPr>
                      <w:szCs w:val="21"/>
                    </w:rPr>
                  </w:pPr>
                  <w:r>
                    <w:rPr>
                      <w:rFonts w:hint="eastAsia"/>
                      <w:szCs w:val="21"/>
                    </w:rPr>
                    <w:t>5.42</w:t>
                  </w:r>
                </w:p>
              </w:tc>
              <w:tc>
                <w:tcPr>
                  <w:tcW w:w="1419" w:type="dxa"/>
                  <w:vAlign w:val="center"/>
                </w:tcPr>
                <w:p>
                  <w:pPr>
                    <w:adjustRightInd w:val="0"/>
                    <w:jc w:val="center"/>
                    <w:rPr>
                      <w:szCs w:val="21"/>
                    </w:rPr>
                  </w:pPr>
                  <w:r>
                    <w:rPr>
                      <w:rFonts w:hint="eastAsia"/>
                      <w:szCs w:val="21"/>
                    </w:rPr>
                    <w:t>3.33</w:t>
                  </w:r>
                </w:p>
              </w:tc>
              <w:tc>
                <w:tcPr>
                  <w:tcW w:w="1415" w:type="dxa"/>
                  <w:vAlign w:val="center"/>
                </w:tcPr>
                <w:p>
                  <w:pPr>
                    <w:adjustRightInd w:val="0"/>
                    <w:jc w:val="center"/>
                    <w:rPr>
                      <w:szCs w:val="21"/>
                    </w:rPr>
                  </w:pPr>
                  <w:r>
                    <w:rPr>
                      <w:szCs w:val="21"/>
                    </w:rPr>
                    <w:t>≤250</w:t>
                  </w:r>
                </w:p>
              </w:tc>
              <w:tc>
                <w:tcPr>
                  <w:tcW w:w="1276" w:type="dxa"/>
                  <w:vAlign w:val="center"/>
                </w:tcPr>
                <w:p>
                  <w:pPr>
                    <w:adjustRightInd w:val="0"/>
                    <w:jc w:val="center"/>
                    <w:rPr>
                      <w:szCs w:val="21"/>
                    </w:rPr>
                  </w:pPr>
                  <w:r>
                    <w:rPr>
                      <w:szCs w:val="21"/>
                    </w:rPr>
                    <w:t>0.</w:t>
                  </w:r>
                  <w:r>
                    <w:rPr>
                      <w:rFonts w:hint="eastAsia"/>
                      <w:szCs w:val="21"/>
                    </w:rPr>
                    <w:t>02168</w:t>
                  </w:r>
                </w:p>
              </w:tc>
              <w:tc>
                <w:tcPr>
                  <w:tcW w:w="1243" w:type="dxa"/>
                  <w:vAlign w:val="center"/>
                </w:tcPr>
                <w:p>
                  <w:pPr>
                    <w:adjustRightInd w:val="0"/>
                    <w:jc w:val="center"/>
                    <w:rPr>
                      <w:szCs w:val="21"/>
                    </w:rPr>
                  </w:pPr>
                  <w:r>
                    <w:rPr>
                      <w:szCs w:val="21"/>
                    </w:rPr>
                    <w:t>0.0</w:t>
                  </w:r>
                  <w:r>
                    <w:rPr>
                      <w:rFonts w:hint="eastAsia"/>
                      <w:szCs w:val="21"/>
                    </w:rPr>
                    <w:t>1332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9" w:hRule="exact"/>
              </w:trPr>
              <w:tc>
                <w:tcPr>
                  <w:tcW w:w="554" w:type="dxa"/>
                  <w:vAlign w:val="center"/>
                </w:tcPr>
                <w:p>
                  <w:pPr>
                    <w:adjustRightInd w:val="0"/>
                    <w:jc w:val="center"/>
                    <w:rPr>
                      <w:szCs w:val="21"/>
                    </w:rPr>
                  </w:pPr>
                  <w:r>
                    <w:rPr>
                      <w:rFonts w:hint="eastAsia"/>
                      <w:szCs w:val="21"/>
                    </w:rPr>
                    <w:t>7</w:t>
                  </w:r>
                </w:p>
              </w:tc>
              <w:tc>
                <w:tcPr>
                  <w:tcW w:w="1718" w:type="dxa"/>
                  <w:vAlign w:val="center"/>
                </w:tcPr>
                <w:p>
                  <w:pPr>
                    <w:adjustRightInd w:val="0"/>
                    <w:jc w:val="center"/>
                    <w:rPr>
                      <w:szCs w:val="21"/>
                    </w:rPr>
                  </w:pPr>
                  <w:r>
                    <w:rPr>
                      <w:rFonts w:hAnsi="宋体"/>
                      <w:szCs w:val="21"/>
                    </w:rPr>
                    <w:t>硝酸盐</w:t>
                  </w:r>
                  <w:r>
                    <w:rPr>
                      <w:rFonts w:hint="eastAsia" w:hAnsi="宋体"/>
                      <w:szCs w:val="21"/>
                    </w:rPr>
                    <w:t>氮</w:t>
                  </w:r>
                </w:p>
              </w:tc>
              <w:tc>
                <w:tcPr>
                  <w:tcW w:w="1276" w:type="dxa"/>
                  <w:vAlign w:val="center"/>
                </w:tcPr>
                <w:p>
                  <w:pPr>
                    <w:adjustRightInd w:val="0"/>
                    <w:jc w:val="center"/>
                    <w:rPr>
                      <w:szCs w:val="21"/>
                    </w:rPr>
                  </w:pPr>
                  <w:r>
                    <w:rPr>
                      <w:rFonts w:hint="eastAsia"/>
                      <w:szCs w:val="21"/>
                    </w:rPr>
                    <w:t>4.86</w:t>
                  </w:r>
                </w:p>
              </w:tc>
              <w:tc>
                <w:tcPr>
                  <w:tcW w:w="1419" w:type="dxa"/>
                  <w:vAlign w:val="center"/>
                </w:tcPr>
                <w:p>
                  <w:pPr>
                    <w:adjustRightInd w:val="0"/>
                    <w:jc w:val="center"/>
                    <w:rPr>
                      <w:szCs w:val="21"/>
                    </w:rPr>
                  </w:pPr>
                  <w:r>
                    <w:rPr>
                      <w:rFonts w:hint="eastAsia"/>
                      <w:szCs w:val="21"/>
                    </w:rPr>
                    <w:t>4.31</w:t>
                  </w:r>
                </w:p>
              </w:tc>
              <w:tc>
                <w:tcPr>
                  <w:tcW w:w="1415" w:type="dxa"/>
                  <w:vAlign w:val="center"/>
                </w:tcPr>
                <w:p>
                  <w:pPr>
                    <w:adjustRightInd w:val="0"/>
                    <w:jc w:val="center"/>
                    <w:rPr>
                      <w:szCs w:val="21"/>
                    </w:rPr>
                  </w:pPr>
                  <w:r>
                    <w:rPr>
                      <w:szCs w:val="21"/>
                    </w:rPr>
                    <w:t>≤20.0</w:t>
                  </w:r>
                </w:p>
              </w:tc>
              <w:tc>
                <w:tcPr>
                  <w:tcW w:w="1276" w:type="dxa"/>
                  <w:vAlign w:val="center"/>
                </w:tcPr>
                <w:p>
                  <w:pPr>
                    <w:adjustRightInd w:val="0"/>
                    <w:jc w:val="center"/>
                    <w:rPr>
                      <w:szCs w:val="21"/>
                    </w:rPr>
                  </w:pPr>
                  <w:r>
                    <w:rPr>
                      <w:rFonts w:hint="eastAsia"/>
                      <w:szCs w:val="21"/>
                    </w:rPr>
                    <w:t>0.243</w:t>
                  </w:r>
                </w:p>
              </w:tc>
              <w:tc>
                <w:tcPr>
                  <w:tcW w:w="1243" w:type="dxa"/>
                  <w:vAlign w:val="center"/>
                </w:tcPr>
                <w:p>
                  <w:pPr>
                    <w:adjustRightInd w:val="0"/>
                    <w:jc w:val="center"/>
                    <w:rPr>
                      <w:szCs w:val="21"/>
                    </w:rPr>
                  </w:pPr>
                  <w:r>
                    <w:rPr>
                      <w:rFonts w:hint="eastAsia"/>
                      <w:szCs w:val="21"/>
                    </w:rPr>
                    <w:t>0.2155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9" w:hRule="exact"/>
              </w:trPr>
              <w:tc>
                <w:tcPr>
                  <w:tcW w:w="554" w:type="dxa"/>
                  <w:vAlign w:val="center"/>
                </w:tcPr>
                <w:p>
                  <w:pPr>
                    <w:adjustRightInd w:val="0"/>
                    <w:jc w:val="center"/>
                    <w:rPr>
                      <w:szCs w:val="21"/>
                    </w:rPr>
                  </w:pPr>
                  <w:r>
                    <w:rPr>
                      <w:rFonts w:hint="eastAsia"/>
                      <w:szCs w:val="21"/>
                    </w:rPr>
                    <w:t>8</w:t>
                  </w:r>
                </w:p>
              </w:tc>
              <w:tc>
                <w:tcPr>
                  <w:tcW w:w="1718" w:type="dxa"/>
                  <w:vAlign w:val="center"/>
                </w:tcPr>
                <w:p>
                  <w:pPr>
                    <w:adjustRightInd w:val="0"/>
                    <w:jc w:val="center"/>
                    <w:rPr>
                      <w:szCs w:val="21"/>
                    </w:rPr>
                  </w:pPr>
                  <w:r>
                    <w:rPr>
                      <w:rFonts w:hAnsi="宋体"/>
                      <w:szCs w:val="21"/>
                    </w:rPr>
                    <w:t>铁</w:t>
                  </w:r>
                </w:p>
              </w:tc>
              <w:tc>
                <w:tcPr>
                  <w:tcW w:w="1276" w:type="dxa"/>
                  <w:vAlign w:val="center"/>
                </w:tcPr>
                <w:p>
                  <w:pPr>
                    <w:adjustRightInd w:val="0"/>
                    <w:jc w:val="center"/>
                    <w:rPr>
                      <w:szCs w:val="21"/>
                    </w:rPr>
                  </w:pPr>
                  <w:r>
                    <w:rPr>
                      <w:szCs w:val="21"/>
                    </w:rPr>
                    <w:t>0.03L</w:t>
                  </w:r>
                </w:p>
              </w:tc>
              <w:tc>
                <w:tcPr>
                  <w:tcW w:w="1419" w:type="dxa"/>
                  <w:vAlign w:val="center"/>
                </w:tcPr>
                <w:p>
                  <w:pPr>
                    <w:adjustRightInd w:val="0"/>
                    <w:jc w:val="center"/>
                    <w:rPr>
                      <w:szCs w:val="21"/>
                    </w:rPr>
                  </w:pPr>
                  <w:r>
                    <w:rPr>
                      <w:szCs w:val="21"/>
                    </w:rPr>
                    <w:t>0.0</w:t>
                  </w:r>
                  <w:r>
                    <w:rPr>
                      <w:rFonts w:hint="eastAsia"/>
                      <w:szCs w:val="21"/>
                    </w:rPr>
                    <w:t>3L</w:t>
                  </w:r>
                </w:p>
              </w:tc>
              <w:tc>
                <w:tcPr>
                  <w:tcW w:w="1415" w:type="dxa"/>
                  <w:vAlign w:val="center"/>
                </w:tcPr>
                <w:p>
                  <w:pPr>
                    <w:adjustRightInd w:val="0"/>
                    <w:jc w:val="center"/>
                    <w:rPr>
                      <w:szCs w:val="21"/>
                    </w:rPr>
                  </w:pPr>
                  <w:r>
                    <w:rPr>
                      <w:szCs w:val="21"/>
                    </w:rPr>
                    <w:t>≤0.3</w:t>
                  </w:r>
                </w:p>
              </w:tc>
              <w:tc>
                <w:tcPr>
                  <w:tcW w:w="1276" w:type="dxa"/>
                  <w:vAlign w:val="center"/>
                </w:tcPr>
                <w:p>
                  <w:pPr>
                    <w:adjustRightInd w:val="0"/>
                    <w:jc w:val="center"/>
                    <w:rPr>
                      <w:szCs w:val="21"/>
                    </w:rPr>
                  </w:pPr>
                  <w:r>
                    <w:rPr>
                      <w:szCs w:val="21"/>
                    </w:rPr>
                    <w:t>/</w:t>
                  </w:r>
                </w:p>
              </w:tc>
              <w:tc>
                <w:tcPr>
                  <w:tcW w:w="1243" w:type="dxa"/>
                  <w:vAlign w:val="center"/>
                </w:tcPr>
                <w:p>
                  <w:pPr>
                    <w:adjustRightInd w:val="0"/>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9" w:hRule="exact"/>
              </w:trPr>
              <w:tc>
                <w:tcPr>
                  <w:tcW w:w="554" w:type="dxa"/>
                  <w:vAlign w:val="center"/>
                </w:tcPr>
                <w:p>
                  <w:pPr>
                    <w:adjustRightInd w:val="0"/>
                    <w:jc w:val="center"/>
                    <w:rPr>
                      <w:szCs w:val="21"/>
                    </w:rPr>
                  </w:pPr>
                  <w:r>
                    <w:rPr>
                      <w:rFonts w:hint="eastAsia"/>
                      <w:szCs w:val="21"/>
                    </w:rPr>
                    <w:t>9</w:t>
                  </w:r>
                </w:p>
              </w:tc>
              <w:tc>
                <w:tcPr>
                  <w:tcW w:w="1718" w:type="dxa"/>
                  <w:vAlign w:val="center"/>
                </w:tcPr>
                <w:p>
                  <w:pPr>
                    <w:adjustRightInd w:val="0"/>
                    <w:jc w:val="center"/>
                    <w:rPr>
                      <w:szCs w:val="21"/>
                    </w:rPr>
                  </w:pPr>
                  <w:r>
                    <w:rPr>
                      <w:rFonts w:hAnsi="宋体"/>
                      <w:szCs w:val="21"/>
                    </w:rPr>
                    <w:t>锰</w:t>
                  </w:r>
                </w:p>
              </w:tc>
              <w:tc>
                <w:tcPr>
                  <w:tcW w:w="1276" w:type="dxa"/>
                  <w:vAlign w:val="center"/>
                </w:tcPr>
                <w:p>
                  <w:pPr>
                    <w:adjustRightInd w:val="0"/>
                    <w:jc w:val="center"/>
                    <w:rPr>
                      <w:szCs w:val="21"/>
                    </w:rPr>
                  </w:pPr>
                  <w:r>
                    <w:rPr>
                      <w:szCs w:val="21"/>
                    </w:rPr>
                    <w:t>0.01L</w:t>
                  </w:r>
                </w:p>
              </w:tc>
              <w:tc>
                <w:tcPr>
                  <w:tcW w:w="1419" w:type="dxa"/>
                  <w:vAlign w:val="center"/>
                </w:tcPr>
                <w:p>
                  <w:pPr>
                    <w:adjustRightInd w:val="0"/>
                    <w:jc w:val="center"/>
                    <w:rPr>
                      <w:szCs w:val="21"/>
                    </w:rPr>
                  </w:pPr>
                  <w:r>
                    <w:rPr>
                      <w:szCs w:val="21"/>
                    </w:rPr>
                    <w:t>0.01L</w:t>
                  </w:r>
                </w:p>
              </w:tc>
              <w:tc>
                <w:tcPr>
                  <w:tcW w:w="1415" w:type="dxa"/>
                  <w:vAlign w:val="center"/>
                </w:tcPr>
                <w:p>
                  <w:pPr>
                    <w:adjustRightInd w:val="0"/>
                    <w:jc w:val="center"/>
                    <w:rPr>
                      <w:szCs w:val="21"/>
                    </w:rPr>
                  </w:pPr>
                  <w:r>
                    <w:rPr>
                      <w:szCs w:val="21"/>
                    </w:rPr>
                    <w:t>≤0.10</w:t>
                  </w:r>
                </w:p>
              </w:tc>
              <w:tc>
                <w:tcPr>
                  <w:tcW w:w="1276" w:type="dxa"/>
                  <w:vAlign w:val="center"/>
                </w:tcPr>
                <w:p>
                  <w:pPr>
                    <w:adjustRightInd w:val="0"/>
                    <w:jc w:val="center"/>
                    <w:rPr>
                      <w:szCs w:val="21"/>
                    </w:rPr>
                  </w:pPr>
                  <w:r>
                    <w:rPr>
                      <w:szCs w:val="21"/>
                    </w:rPr>
                    <w:t>/</w:t>
                  </w:r>
                </w:p>
              </w:tc>
              <w:tc>
                <w:tcPr>
                  <w:tcW w:w="1243" w:type="dxa"/>
                  <w:vAlign w:val="center"/>
                </w:tcPr>
                <w:p>
                  <w:pPr>
                    <w:adjustRightInd w:val="0"/>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9" w:hRule="exact"/>
              </w:trPr>
              <w:tc>
                <w:tcPr>
                  <w:tcW w:w="554" w:type="dxa"/>
                  <w:vAlign w:val="center"/>
                </w:tcPr>
                <w:p>
                  <w:pPr>
                    <w:adjustRightInd w:val="0"/>
                    <w:jc w:val="center"/>
                    <w:rPr>
                      <w:szCs w:val="21"/>
                    </w:rPr>
                  </w:pPr>
                  <w:r>
                    <w:rPr>
                      <w:szCs w:val="21"/>
                    </w:rPr>
                    <w:t>1</w:t>
                  </w:r>
                  <w:r>
                    <w:rPr>
                      <w:rFonts w:hint="eastAsia"/>
                      <w:szCs w:val="21"/>
                    </w:rPr>
                    <w:t>0</w:t>
                  </w:r>
                </w:p>
              </w:tc>
              <w:tc>
                <w:tcPr>
                  <w:tcW w:w="1718" w:type="dxa"/>
                  <w:vAlign w:val="center"/>
                </w:tcPr>
                <w:p>
                  <w:pPr>
                    <w:adjustRightInd w:val="0"/>
                    <w:jc w:val="center"/>
                    <w:rPr>
                      <w:szCs w:val="21"/>
                    </w:rPr>
                  </w:pPr>
                  <w:r>
                    <w:rPr>
                      <w:rFonts w:hAnsi="宋体"/>
                      <w:szCs w:val="21"/>
                    </w:rPr>
                    <w:t>锌</w:t>
                  </w:r>
                </w:p>
              </w:tc>
              <w:tc>
                <w:tcPr>
                  <w:tcW w:w="1276" w:type="dxa"/>
                  <w:vAlign w:val="center"/>
                </w:tcPr>
                <w:p>
                  <w:pPr>
                    <w:adjustRightInd w:val="0"/>
                    <w:jc w:val="center"/>
                    <w:rPr>
                      <w:szCs w:val="21"/>
                    </w:rPr>
                  </w:pPr>
                  <w:r>
                    <w:rPr>
                      <w:szCs w:val="21"/>
                    </w:rPr>
                    <w:t>0.05L</w:t>
                  </w:r>
                </w:p>
              </w:tc>
              <w:tc>
                <w:tcPr>
                  <w:tcW w:w="1419" w:type="dxa"/>
                  <w:vAlign w:val="center"/>
                </w:tcPr>
                <w:p>
                  <w:pPr>
                    <w:adjustRightInd w:val="0"/>
                    <w:jc w:val="center"/>
                    <w:rPr>
                      <w:szCs w:val="21"/>
                    </w:rPr>
                  </w:pPr>
                  <w:r>
                    <w:rPr>
                      <w:szCs w:val="21"/>
                    </w:rPr>
                    <w:t>0.05L</w:t>
                  </w:r>
                </w:p>
              </w:tc>
              <w:tc>
                <w:tcPr>
                  <w:tcW w:w="1415" w:type="dxa"/>
                  <w:vAlign w:val="center"/>
                </w:tcPr>
                <w:p>
                  <w:pPr>
                    <w:adjustRightInd w:val="0"/>
                    <w:jc w:val="center"/>
                    <w:rPr>
                      <w:szCs w:val="21"/>
                    </w:rPr>
                  </w:pPr>
                  <w:r>
                    <w:rPr>
                      <w:szCs w:val="21"/>
                    </w:rPr>
                    <w:t>≤1.0</w:t>
                  </w:r>
                </w:p>
              </w:tc>
              <w:tc>
                <w:tcPr>
                  <w:tcW w:w="1276" w:type="dxa"/>
                  <w:vAlign w:val="center"/>
                </w:tcPr>
                <w:p>
                  <w:pPr>
                    <w:adjustRightInd w:val="0"/>
                    <w:jc w:val="center"/>
                    <w:rPr>
                      <w:szCs w:val="21"/>
                    </w:rPr>
                  </w:pPr>
                  <w:r>
                    <w:rPr>
                      <w:szCs w:val="21"/>
                    </w:rPr>
                    <w:t>/</w:t>
                  </w:r>
                </w:p>
              </w:tc>
              <w:tc>
                <w:tcPr>
                  <w:tcW w:w="1243" w:type="dxa"/>
                  <w:vAlign w:val="center"/>
                </w:tcPr>
                <w:p>
                  <w:pPr>
                    <w:adjustRightInd w:val="0"/>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9" w:hRule="exact"/>
              </w:trPr>
              <w:tc>
                <w:tcPr>
                  <w:tcW w:w="554" w:type="dxa"/>
                  <w:vAlign w:val="center"/>
                </w:tcPr>
                <w:p>
                  <w:pPr>
                    <w:adjustRightInd w:val="0"/>
                    <w:jc w:val="center"/>
                    <w:rPr>
                      <w:szCs w:val="21"/>
                    </w:rPr>
                  </w:pPr>
                  <w:r>
                    <w:rPr>
                      <w:szCs w:val="21"/>
                    </w:rPr>
                    <w:t>1</w:t>
                  </w:r>
                  <w:r>
                    <w:rPr>
                      <w:rFonts w:hint="eastAsia"/>
                      <w:szCs w:val="21"/>
                    </w:rPr>
                    <w:t>1</w:t>
                  </w:r>
                </w:p>
              </w:tc>
              <w:tc>
                <w:tcPr>
                  <w:tcW w:w="1718" w:type="dxa"/>
                  <w:vAlign w:val="center"/>
                </w:tcPr>
                <w:p>
                  <w:pPr>
                    <w:adjustRightInd w:val="0"/>
                    <w:jc w:val="center"/>
                    <w:rPr>
                      <w:szCs w:val="21"/>
                    </w:rPr>
                  </w:pPr>
                  <w:r>
                    <w:rPr>
                      <w:rFonts w:hAnsi="宋体"/>
                      <w:szCs w:val="21"/>
                    </w:rPr>
                    <w:t>铅</w:t>
                  </w:r>
                </w:p>
              </w:tc>
              <w:tc>
                <w:tcPr>
                  <w:tcW w:w="1276" w:type="dxa"/>
                  <w:vAlign w:val="center"/>
                </w:tcPr>
                <w:p>
                  <w:pPr>
                    <w:adjustRightInd w:val="0"/>
                    <w:jc w:val="center"/>
                    <w:rPr>
                      <w:szCs w:val="21"/>
                    </w:rPr>
                  </w:pPr>
                  <w:r>
                    <w:rPr>
                      <w:szCs w:val="21"/>
                    </w:rPr>
                    <w:t>0.01L</w:t>
                  </w:r>
                </w:p>
              </w:tc>
              <w:tc>
                <w:tcPr>
                  <w:tcW w:w="1419" w:type="dxa"/>
                  <w:vAlign w:val="center"/>
                </w:tcPr>
                <w:p>
                  <w:pPr>
                    <w:adjustRightInd w:val="0"/>
                    <w:jc w:val="center"/>
                    <w:rPr>
                      <w:szCs w:val="21"/>
                    </w:rPr>
                  </w:pPr>
                  <w:r>
                    <w:rPr>
                      <w:szCs w:val="21"/>
                    </w:rPr>
                    <w:t>0.01L</w:t>
                  </w:r>
                </w:p>
              </w:tc>
              <w:tc>
                <w:tcPr>
                  <w:tcW w:w="1415" w:type="dxa"/>
                  <w:vAlign w:val="center"/>
                </w:tcPr>
                <w:p>
                  <w:pPr>
                    <w:adjustRightInd w:val="0"/>
                    <w:jc w:val="center"/>
                    <w:rPr>
                      <w:szCs w:val="21"/>
                    </w:rPr>
                  </w:pPr>
                  <w:r>
                    <w:rPr>
                      <w:szCs w:val="21"/>
                    </w:rPr>
                    <w:t>≤0.01</w:t>
                  </w:r>
                </w:p>
              </w:tc>
              <w:tc>
                <w:tcPr>
                  <w:tcW w:w="1276" w:type="dxa"/>
                  <w:vAlign w:val="center"/>
                </w:tcPr>
                <w:p>
                  <w:pPr>
                    <w:adjustRightInd w:val="0"/>
                    <w:jc w:val="center"/>
                    <w:rPr>
                      <w:szCs w:val="21"/>
                    </w:rPr>
                  </w:pPr>
                  <w:r>
                    <w:rPr>
                      <w:szCs w:val="21"/>
                    </w:rPr>
                    <w:t>/</w:t>
                  </w:r>
                </w:p>
              </w:tc>
              <w:tc>
                <w:tcPr>
                  <w:tcW w:w="1243" w:type="dxa"/>
                  <w:vAlign w:val="center"/>
                </w:tcPr>
                <w:p>
                  <w:pPr>
                    <w:adjustRightInd w:val="0"/>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9" w:hRule="exact"/>
              </w:trPr>
              <w:tc>
                <w:tcPr>
                  <w:tcW w:w="554" w:type="dxa"/>
                  <w:vAlign w:val="center"/>
                </w:tcPr>
                <w:p>
                  <w:pPr>
                    <w:adjustRightInd w:val="0"/>
                    <w:jc w:val="center"/>
                    <w:rPr>
                      <w:szCs w:val="21"/>
                    </w:rPr>
                  </w:pPr>
                  <w:r>
                    <w:rPr>
                      <w:szCs w:val="21"/>
                    </w:rPr>
                    <w:t>1</w:t>
                  </w:r>
                  <w:r>
                    <w:rPr>
                      <w:rFonts w:hint="eastAsia"/>
                      <w:szCs w:val="21"/>
                    </w:rPr>
                    <w:t>2</w:t>
                  </w:r>
                </w:p>
              </w:tc>
              <w:tc>
                <w:tcPr>
                  <w:tcW w:w="1718" w:type="dxa"/>
                  <w:vAlign w:val="center"/>
                </w:tcPr>
                <w:p>
                  <w:pPr>
                    <w:adjustRightInd w:val="0"/>
                    <w:jc w:val="center"/>
                    <w:rPr>
                      <w:szCs w:val="21"/>
                    </w:rPr>
                  </w:pPr>
                  <w:r>
                    <w:rPr>
                      <w:rFonts w:hAnsi="宋体"/>
                      <w:szCs w:val="21"/>
                    </w:rPr>
                    <w:t>镉</w:t>
                  </w:r>
                </w:p>
              </w:tc>
              <w:tc>
                <w:tcPr>
                  <w:tcW w:w="1276" w:type="dxa"/>
                  <w:vAlign w:val="center"/>
                </w:tcPr>
                <w:p>
                  <w:pPr>
                    <w:adjustRightInd w:val="0"/>
                    <w:jc w:val="center"/>
                    <w:rPr>
                      <w:szCs w:val="21"/>
                    </w:rPr>
                  </w:pPr>
                  <w:r>
                    <w:rPr>
                      <w:szCs w:val="21"/>
                    </w:rPr>
                    <w:t>0.00</w:t>
                  </w:r>
                  <w:r>
                    <w:rPr>
                      <w:rFonts w:hint="eastAsia"/>
                      <w:szCs w:val="21"/>
                    </w:rPr>
                    <w:t>1L</w:t>
                  </w:r>
                </w:p>
              </w:tc>
              <w:tc>
                <w:tcPr>
                  <w:tcW w:w="1419" w:type="dxa"/>
                  <w:vAlign w:val="center"/>
                </w:tcPr>
                <w:p>
                  <w:pPr>
                    <w:adjustRightInd w:val="0"/>
                    <w:jc w:val="center"/>
                    <w:rPr>
                      <w:szCs w:val="21"/>
                    </w:rPr>
                  </w:pPr>
                  <w:r>
                    <w:rPr>
                      <w:szCs w:val="21"/>
                    </w:rPr>
                    <w:t>0.00</w:t>
                  </w:r>
                  <w:r>
                    <w:rPr>
                      <w:rFonts w:hint="eastAsia"/>
                      <w:szCs w:val="21"/>
                    </w:rPr>
                    <w:t>1L</w:t>
                  </w:r>
                </w:p>
              </w:tc>
              <w:tc>
                <w:tcPr>
                  <w:tcW w:w="1415" w:type="dxa"/>
                  <w:vAlign w:val="center"/>
                </w:tcPr>
                <w:p>
                  <w:pPr>
                    <w:adjustRightInd w:val="0"/>
                    <w:jc w:val="center"/>
                    <w:rPr>
                      <w:szCs w:val="21"/>
                    </w:rPr>
                  </w:pPr>
                  <w:r>
                    <w:rPr>
                      <w:szCs w:val="21"/>
                    </w:rPr>
                    <w:t>≤0.005</w:t>
                  </w:r>
                </w:p>
              </w:tc>
              <w:tc>
                <w:tcPr>
                  <w:tcW w:w="1276" w:type="dxa"/>
                  <w:vAlign w:val="center"/>
                </w:tcPr>
                <w:p>
                  <w:pPr>
                    <w:adjustRightInd w:val="0"/>
                    <w:jc w:val="center"/>
                    <w:rPr>
                      <w:szCs w:val="21"/>
                    </w:rPr>
                  </w:pPr>
                  <w:r>
                    <w:rPr>
                      <w:rFonts w:hint="eastAsia"/>
                      <w:szCs w:val="21"/>
                    </w:rPr>
                    <w:t>/</w:t>
                  </w:r>
                </w:p>
              </w:tc>
              <w:tc>
                <w:tcPr>
                  <w:tcW w:w="1243" w:type="dxa"/>
                  <w:vAlign w:val="center"/>
                </w:tcPr>
                <w:p>
                  <w:pPr>
                    <w:adjustRightInd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9" w:hRule="exact"/>
              </w:trPr>
              <w:tc>
                <w:tcPr>
                  <w:tcW w:w="554" w:type="dxa"/>
                  <w:vAlign w:val="center"/>
                </w:tcPr>
                <w:p>
                  <w:pPr>
                    <w:adjustRightInd w:val="0"/>
                    <w:jc w:val="center"/>
                    <w:rPr>
                      <w:szCs w:val="21"/>
                    </w:rPr>
                  </w:pPr>
                  <w:r>
                    <w:rPr>
                      <w:szCs w:val="21"/>
                    </w:rPr>
                    <w:t>1</w:t>
                  </w:r>
                  <w:r>
                    <w:rPr>
                      <w:rFonts w:hint="eastAsia"/>
                      <w:szCs w:val="21"/>
                    </w:rPr>
                    <w:t>3</w:t>
                  </w:r>
                </w:p>
              </w:tc>
              <w:tc>
                <w:tcPr>
                  <w:tcW w:w="1718" w:type="dxa"/>
                  <w:vAlign w:val="center"/>
                </w:tcPr>
                <w:p>
                  <w:pPr>
                    <w:adjustRightInd w:val="0"/>
                    <w:jc w:val="center"/>
                    <w:rPr>
                      <w:szCs w:val="21"/>
                    </w:rPr>
                  </w:pPr>
                  <w:r>
                    <w:rPr>
                      <w:rFonts w:hAnsi="宋体"/>
                      <w:szCs w:val="21"/>
                    </w:rPr>
                    <w:t>砷</w:t>
                  </w:r>
                </w:p>
              </w:tc>
              <w:tc>
                <w:tcPr>
                  <w:tcW w:w="1276" w:type="dxa"/>
                  <w:vAlign w:val="center"/>
                </w:tcPr>
                <w:p>
                  <w:pPr>
                    <w:adjustRightInd w:val="0"/>
                    <w:jc w:val="center"/>
                    <w:rPr>
                      <w:szCs w:val="21"/>
                    </w:rPr>
                  </w:pPr>
                  <w:r>
                    <w:rPr>
                      <w:szCs w:val="21"/>
                    </w:rPr>
                    <w:t>0.00</w:t>
                  </w:r>
                  <w:r>
                    <w:rPr>
                      <w:rFonts w:hint="eastAsia"/>
                      <w:szCs w:val="21"/>
                    </w:rPr>
                    <w:t>38</w:t>
                  </w:r>
                </w:p>
              </w:tc>
              <w:tc>
                <w:tcPr>
                  <w:tcW w:w="1419" w:type="dxa"/>
                  <w:vAlign w:val="center"/>
                </w:tcPr>
                <w:p>
                  <w:pPr>
                    <w:adjustRightInd w:val="0"/>
                    <w:jc w:val="center"/>
                    <w:rPr>
                      <w:szCs w:val="21"/>
                    </w:rPr>
                  </w:pPr>
                  <w:r>
                    <w:rPr>
                      <w:szCs w:val="21"/>
                    </w:rPr>
                    <w:t>0.00</w:t>
                  </w:r>
                  <w:r>
                    <w:rPr>
                      <w:rFonts w:hint="eastAsia"/>
                      <w:szCs w:val="21"/>
                    </w:rPr>
                    <w:t>38</w:t>
                  </w:r>
                </w:p>
              </w:tc>
              <w:tc>
                <w:tcPr>
                  <w:tcW w:w="1415" w:type="dxa"/>
                  <w:vAlign w:val="center"/>
                </w:tcPr>
                <w:p>
                  <w:pPr>
                    <w:adjustRightInd w:val="0"/>
                    <w:jc w:val="center"/>
                    <w:rPr>
                      <w:szCs w:val="21"/>
                    </w:rPr>
                  </w:pPr>
                  <w:r>
                    <w:rPr>
                      <w:szCs w:val="21"/>
                    </w:rPr>
                    <w:t>≤0.01</w:t>
                  </w:r>
                </w:p>
              </w:tc>
              <w:tc>
                <w:tcPr>
                  <w:tcW w:w="1276" w:type="dxa"/>
                  <w:vAlign w:val="center"/>
                </w:tcPr>
                <w:p>
                  <w:pPr>
                    <w:adjustRightInd w:val="0"/>
                    <w:jc w:val="center"/>
                    <w:rPr>
                      <w:szCs w:val="21"/>
                    </w:rPr>
                  </w:pPr>
                  <w:r>
                    <w:rPr>
                      <w:szCs w:val="21"/>
                    </w:rPr>
                    <w:t>0.</w:t>
                  </w:r>
                  <w:r>
                    <w:rPr>
                      <w:rFonts w:hint="eastAsia"/>
                      <w:szCs w:val="21"/>
                    </w:rPr>
                    <w:t>38</w:t>
                  </w:r>
                </w:p>
              </w:tc>
              <w:tc>
                <w:tcPr>
                  <w:tcW w:w="1243" w:type="dxa"/>
                  <w:vAlign w:val="center"/>
                </w:tcPr>
                <w:p>
                  <w:pPr>
                    <w:adjustRightInd w:val="0"/>
                    <w:jc w:val="center"/>
                    <w:rPr>
                      <w:szCs w:val="21"/>
                    </w:rPr>
                  </w:pPr>
                  <w:r>
                    <w:rPr>
                      <w:rFonts w:hint="eastAsia"/>
                      <w:szCs w:val="21"/>
                    </w:rPr>
                    <w:t>0.38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9" w:hRule="exact"/>
              </w:trPr>
              <w:tc>
                <w:tcPr>
                  <w:tcW w:w="554" w:type="dxa"/>
                  <w:vAlign w:val="center"/>
                </w:tcPr>
                <w:p>
                  <w:pPr>
                    <w:adjustRightInd w:val="0"/>
                    <w:jc w:val="center"/>
                    <w:rPr>
                      <w:szCs w:val="21"/>
                    </w:rPr>
                  </w:pPr>
                  <w:r>
                    <w:rPr>
                      <w:szCs w:val="21"/>
                    </w:rPr>
                    <w:t>1</w:t>
                  </w:r>
                  <w:r>
                    <w:rPr>
                      <w:rFonts w:hint="eastAsia"/>
                      <w:szCs w:val="21"/>
                    </w:rPr>
                    <w:t>4</w:t>
                  </w:r>
                </w:p>
              </w:tc>
              <w:tc>
                <w:tcPr>
                  <w:tcW w:w="1718" w:type="dxa"/>
                  <w:vAlign w:val="center"/>
                </w:tcPr>
                <w:p>
                  <w:pPr>
                    <w:adjustRightInd w:val="0"/>
                    <w:jc w:val="center"/>
                    <w:rPr>
                      <w:szCs w:val="21"/>
                    </w:rPr>
                  </w:pPr>
                  <w:r>
                    <w:rPr>
                      <w:rFonts w:hAnsi="宋体"/>
                      <w:szCs w:val="21"/>
                    </w:rPr>
                    <w:t>汞</w:t>
                  </w:r>
                </w:p>
              </w:tc>
              <w:tc>
                <w:tcPr>
                  <w:tcW w:w="1276" w:type="dxa"/>
                  <w:vAlign w:val="center"/>
                </w:tcPr>
                <w:p>
                  <w:pPr>
                    <w:adjustRightInd w:val="0"/>
                    <w:jc w:val="center"/>
                    <w:rPr>
                      <w:szCs w:val="21"/>
                    </w:rPr>
                  </w:pPr>
                  <w:r>
                    <w:rPr>
                      <w:szCs w:val="21"/>
                    </w:rPr>
                    <w:t>0.00004L</w:t>
                  </w:r>
                </w:p>
              </w:tc>
              <w:tc>
                <w:tcPr>
                  <w:tcW w:w="1419" w:type="dxa"/>
                  <w:vAlign w:val="center"/>
                </w:tcPr>
                <w:p>
                  <w:pPr>
                    <w:adjustRightInd w:val="0"/>
                    <w:jc w:val="center"/>
                    <w:rPr>
                      <w:szCs w:val="21"/>
                    </w:rPr>
                  </w:pPr>
                  <w:r>
                    <w:rPr>
                      <w:szCs w:val="21"/>
                    </w:rPr>
                    <w:t>0.00004L</w:t>
                  </w:r>
                </w:p>
              </w:tc>
              <w:tc>
                <w:tcPr>
                  <w:tcW w:w="1415" w:type="dxa"/>
                  <w:vAlign w:val="center"/>
                </w:tcPr>
                <w:p>
                  <w:pPr>
                    <w:adjustRightInd w:val="0"/>
                    <w:jc w:val="center"/>
                    <w:rPr>
                      <w:szCs w:val="21"/>
                    </w:rPr>
                  </w:pPr>
                  <w:r>
                    <w:rPr>
                      <w:szCs w:val="21"/>
                    </w:rPr>
                    <w:t>≤0.001</w:t>
                  </w:r>
                </w:p>
              </w:tc>
              <w:tc>
                <w:tcPr>
                  <w:tcW w:w="1276" w:type="dxa"/>
                  <w:vAlign w:val="center"/>
                </w:tcPr>
                <w:p>
                  <w:pPr>
                    <w:adjustRightInd w:val="0"/>
                    <w:jc w:val="center"/>
                    <w:rPr>
                      <w:szCs w:val="21"/>
                    </w:rPr>
                  </w:pPr>
                  <w:r>
                    <w:rPr>
                      <w:szCs w:val="21"/>
                    </w:rPr>
                    <w:t>/</w:t>
                  </w:r>
                </w:p>
              </w:tc>
              <w:tc>
                <w:tcPr>
                  <w:tcW w:w="1243" w:type="dxa"/>
                  <w:vAlign w:val="center"/>
                </w:tcPr>
                <w:p>
                  <w:pPr>
                    <w:adjustRightInd w:val="0"/>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34" w:hRule="exact"/>
              </w:trPr>
              <w:tc>
                <w:tcPr>
                  <w:tcW w:w="554" w:type="dxa"/>
                  <w:vAlign w:val="center"/>
                </w:tcPr>
                <w:p>
                  <w:pPr>
                    <w:adjustRightInd w:val="0"/>
                    <w:jc w:val="center"/>
                    <w:rPr>
                      <w:szCs w:val="21"/>
                    </w:rPr>
                  </w:pPr>
                  <w:r>
                    <w:rPr>
                      <w:rFonts w:hint="eastAsia"/>
                      <w:szCs w:val="21"/>
                    </w:rPr>
                    <w:t>15</w:t>
                  </w:r>
                </w:p>
              </w:tc>
              <w:tc>
                <w:tcPr>
                  <w:tcW w:w="1718" w:type="dxa"/>
                  <w:vAlign w:val="center"/>
                </w:tcPr>
                <w:p>
                  <w:pPr>
                    <w:adjustRightInd w:val="0"/>
                    <w:jc w:val="center"/>
                    <w:rPr>
                      <w:rFonts w:hAnsi="宋体"/>
                      <w:szCs w:val="21"/>
                    </w:rPr>
                  </w:pPr>
                  <w:r>
                    <w:rPr>
                      <w:rFonts w:hint="eastAsia" w:hAnsi="宋体"/>
                      <w:szCs w:val="21"/>
                    </w:rPr>
                    <w:t>总大肠菌群</w:t>
                  </w:r>
                  <w:r>
                    <w:rPr>
                      <w:rFonts w:hAnsi="宋体"/>
                      <w:szCs w:val="21"/>
                    </w:rPr>
                    <w:t>（</w:t>
                  </w:r>
                  <w:r>
                    <w:rPr>
                      <w:rFonts w:hint="eastAsia"/>
                      <w:szCs w:val="21"/>
                    </w:rPr>
                    <w:t>MPN</w:t>
                  </w:r>
                  <w:r>
                    <w:rPr>
                      <w:szCs w:val="21"/>
                    </w:rPr>
                    <w:t>/</w:t>
                  </w:r>
                  <w:r>
                    <w:rPr>
                      <w:rFonts w:hint="eastAsia"/>
                      <w:szCs w:val="21"/>
                    </w:rPr>
                    <w:t>100ml）</w:t>
                  </w:r>
                </w:p>
              </w:tc>
              <w:tc>
                <w:tcPr>
                  <w:tcW w:w="1276" w:type="dxa"/>
                  <w:vAlign w:val="center"/>
                </w:tcPr>
                <w:p>
                  <w:pPr>
                    <w:adjustRightInd w:val="0"/>
                    <w:jc w:val="center"/>
                    <w:rPr>
                      <w:szCs w:val="21"/>
                    </w:rPr>
                  </w:pPr>
                  <w:r>
                    <w:rPr>
                      <w:rFonts w:hint="eastAsia"/>
                      <w:szCs w:val="21"/>
                    </w:rPr>
                    <w:t>未检出</w:t>
                  </w:r>
                </w:p>
              </w:tc>
              <w:tc>
                <w:tcPr>
                  <w:tcW w:w="1419" w:type="dxa"/>
                  <w:vAlign w:val="center"/>
                </w:tcPr>
                <w:p>
                  <w:pPr>
                    <w:adjustRightInd w:val="0"/>
                    <w:jc w:val="center"/>
                    <w:rPr>
                      <w:szCs w:val="21"/>
                    </w:rPr>
                  </w:pPr>
                  <w:r>
                    <w:rPr>
                      <w:rFonts w:hint="eastAsia"/>
                      <w:szCs w:val="21"/>
                    </w:rPr>
                    <w:t>未检出</w:t>
                  </w:r>
                </w:p>
              </w:tc>
              <w:tc>
                <w:tcPr>
                  <w:tcW w:w="1415" w:type="dxa"/>
                  <w:vAlign w:val="center"/>
                </w:tcPr>
                <w:p>
                  <w:pPr>
                    <w:adjustRightInd w:val="0"/>
                    <w:jc w:val="center"/>
                    <w:rPr>
                      <w:szCs w:val="21"/>
                    </w:rPr>
                  </w:pPr>
                  <w:r>
                    <w:rPr>
                      <w:szCs w:val="21"/>
                    </w:rPr>
                    <w:t>≤</w:t>
                  </w:r>
                  <w:r>
                    <w:rPr>
                      <w:rFonts w:hint="eastAsia"/>
                      <w:szCs w:val="21"/>
                    </w:rPr>
                    <w:t>3.0</w:t>
                  </w:r>
                </w:p>
              </w:tc>
              <w:tc>
                <w:tcPr>
                  <w:tcW w:w="1276" w:type="dxa"/>
                  <w:vAlign w:val="center"/>
                </w:tcPr>
                <w:p>
                  <w:pPr>
                    <w:adjustRightInd w:val="0"/>
                    <w:jc w:val="center"/>
                    <w:rPr>
                      <w:szCs w:val="21"/>
                    </w:rPr>
                  </w:pPr>
                  <w:r>
                    <w:rPr>
                      <w:rFonts w:hint="eastAsia"/>
                      <w:szCs w:val="21"/>
                    </w:rPr>
                    <w:t>/</w:t>
                  </w:r>
                </w:p>
              </w:tc>
              <w:tc>
                <w:tcPr>
                  <w:tcW w:w="1243" w:type="dxa"/>
                  <w:vAlign w:val="center"/>
                </w:tcPr>
                <w:p>
                  <w:pPr>
                    <w:adjustRightInd w:val="0"/>
                    <w:jc w:val="center"/>
                    <w:rPr>
                      <w:szCs w:val="21"/>
                    </w:rPr>
                  </w:pPr>
                  <w:r>
                    <w:rPr>
                      <w:rFonts w:hint="eastAsia"/>
                      <w:szCs w:val="21"/>
                    </w:rPr>
                    <w:t>/</w:t>
                  </w:r>
                </w:p>
              </w:tc>
            </w:tr>
          </w:tbl>
          <w:p>
            <w:pPr>
              <w:spacing w:line="360" w:lineRule="auto"/>
              <w:ind w:firstLine="480" w:firstLineChars="200"/>
              <w:rPr>
                <w:sz w:val="24"/>
                <w:szCs w:val="24"/>
              </w:rPr>
            </w:pPr>
            <w:r>
              <w:rPr>
                <w:rFonts w:hint="eastAsia"/>
                <w:sz w:val="24"/>
                <w:szCs w:val="24"/>
              </w:rPr>
              <w:t>由表19可知，项目区域地下水各监测点位各监测因子浓度均满足《地下水质量标准》（GB/T14848-2017）</w:t>
            </w:r>
            <w:r>
              <w:rPr>
                <w:sz w:val="24"/>
                <w:szCs w:val="24"/>
              </w:rPr>
              <w:fldChar w:fldCharType="begin"/>
            </w:r>
            <w:r>
              <w:rPr>
                <w:sz w:val="24"/>
                <w:szCs w:val="24"/>
              </w:rPr>
              <w:instrText xml:space="preserve"> = 4 \* ROMAN \* MERGEFORMAT </w:instrText>
            </w:r>
            <w:r>
              <w:rPr>
                <w:sz w:val="24"/>
                <w:szCs w:val="24"/>
              </w:rPr>
              <w:fldChar w:fldCharType="separate"/>
            </w:r>
            <w:r>
              <w:rPr>
                <w:rFonts w:hint="eastAsia"/>
                <w:sz w:val="24"/>
                <w:szCs w:val="24"/>
              </w:rPr>
              <w:t>Ⅲ</w:t>
            </w:r>
            <w:r>
              <w:rPr>
                <w:sz w:val="24"/>
                <w:szCs w:val="24"/>
              </w:rPr>
              <w:fldChar w:fldCharType="end"/>
            </w:r>
            <w:r>
              <w:rPr>
                <w:rFonts w:hint="eastAsia"/>
                <w:sz w:val="24"/>
                <w:szCs w:val="24"/>
              </w:rPr>
              <w:t>类标准限值要求。</w:t>
            </w:r>
          </w:p>
          <w:p>
            <w:pPr>
              <w:spacing w:line="360" w:lineRule="auto"/>
              <w:ind w:firstLine="482" w:firstLineChars="200"/>
              <w:contextualSpacing/>
              <w:rPr>
                <w:b/>
                <w:sz w:val="24"/>
                <w:szCs w:val="24"/>
              </w:rPr>
            </w:pPr>
            <w:r>
              <w:rPr>
                <w:rFonts w:hint="eastAsia"/>
                <w:b/>
                <w:sz w:val="24"/>
                <w:szCs w:val="24"/>
              </w:rPr>
              <w:t>4、声环境质量现状</w:t>
            </w:r>
          </w:p>
          <w:p>
            <w:pPr>
              <w:spacing w:line="360" w:lineRule="auto"/>
              <w:ind w:firstLine="480" w:firstLineChars="200"/>
              <w:contextualSpacing/>
              <w:rPr>
                <w:sz w:val="24"/>
                <w:szCs w:val="24"/>
              </w:rPr>
            </w:pPr>
            <w:r>
              <w:rPr>
                <w:rFonts w:hint="eastAsia"/>
                <w:sz w:val="24"/>
                <w:szCs w:val="24"/>
              </w:rPr>
              <w:t>本次环境噪声现状监测委托甘肃海慧安全科技有限公司，于</w:t>
            </w:r>
            <w:r>
              <w:rPr>
                <w:sz w:val="24"/>
                <w:szCs w:val="24"/>
              </w:rPr>
              <w:t>201</w:t>
            </w:r>
            <w:r>
              <w:rPr>
                <w:rFonts w:hint="eastAsia"/>
                <w:sz w:val="24"/>
                <w:szCs w:val="24"/>
              </w:rPr>
              <w:t>8年11月20日和21日对项目拟建地处声环境进行现场监测。监测报告见附件6，监测点位见附图8。</w:t>
            </w:r>
          </w:p>
          <w:p>
            <w:pPr>
              <w:spacing w:line="360" w:lineRule="auto"/>
              <w:ind w:firstLine="480" w:firstLineChars="200"/>
              <w:contextualSpacing/>
              <w:rPr>
                <w:sz w:val="24"/>
                <w:szCs w:val="24"/>
              </w:rPr>
            </w:pPr>
            <w:r>
              <w:rPr>
                <w:rFonts w:hint="eastAsia"/>
                <w:sz w:val="24"/>
                <w:szCs w:val="24"/>
              </w:rPr>
              <w:t>（1）监测点布设</w:t>
            </w:r>
          </w:p>
          <w:p>
            <w:pPr>
              <w:spacing w:line="360" w:lineRule="auto"/>
              <w:ind w:firstLine="480" w:firstLineChars="200"/>
              <w:contextualSpacing/>
              <w:rPr>
                <w:sz w:val="24"/>
                <w:szCs w:val="24"/>
              </w:rPr>
            </w:pPr>
            <w:r>
              <w:rPr>
                <w:rFonts w:hint="eastAsia"/>
                <w:sz w:val="24"/>
                <w:szCs w:val="24"/>
              </w:rPr>
              <w:t>拟建项目共布设5个噪声监测点位，具体监测点位见表20。</w:t>
            </w:r>
          </w:p>
          <w:p>
            <w:pPr>
              <w:spacing w:line="360" w:lineRule="auto"/>
              <w:ind w:firstLine="422" w:firstLineChars="200"/>
              <w:contextualSpacing/>
              <w:jc w:val="center"/>
              <w:rPr>
                <w:b/>
                <w:szCs w:val="21"/>
              </w:rPr>
            </w:pPr>
            <w:r>
              <w:rPr>
                <w:rFonts w:hint="eastAsia"/>
                <w:b/>
                <w:szCs w:val="21"/>
              </w:rPr>
              <w:t>表20   项目声环境监测点位一览表</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5412"/>
              <w:gridCol w:w="22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90" w:hRule="atLeast"/>
                <w:jc w:val="center"/>
              </w:trPr>
              <w:tc>
                <w:tcPr>
                  <w:tcW w:w="1260" w:type="dxa"/>
                  <w:vAlign w:val="center"/>
                </w:tcPr>
                <w:p>
                  <w:pPr>
                    <w:adjustRightInd w:val="0"/>
                    <w:jc w:val="center"/>
                    <w:rPr>
                      <w:rFonts w:ascii="宋体" w:hAnsi="宋体"/>
                      <w:b/>
                      <w:szCs w:val="21"/>
                    </w:rPr>
                  </w:pPr>
                  <w:r>
                    <w:rPr>
                      <w:rFonts w:hint="eastAsia" w:ascii="宋体" w:hAnsi="宋体"/>
                      <w:b/>
                      <w:szCs w:val="21"/>
                    </w:rPr>
                    <w:t>序 号</w:t>
                  </w:r>
                </w:p>
              </w:tc>
              <w:tc>
                <w:tcPr>
                  <w:tcW w:w="5412" w:type="dxa"/>
                  <w:vAlign w:val="center"/>
                </w:tcPr>
                <w:p>
                  <w:pPr>
                    <w:adjustRightInd w:val="0"/>
                    <w:jc w:val="center"/>
                    <w:rPr>
                      <w:rFonts w:ascii="宋体" w:hAnsi="宋体"/>
                      <w:b/>
                      <w:szCs w:val="21"/>
                    </w:rPr>
                  </w:pPr>
                  <w:r>
                    <w:rPr>
                      <w:rFonts w:hint="eastAsia" w:ascii="宋体" w:hAnsi="宋体"/>
                      <w:b/>
                      <w:szCs w:val="21"/>
                    </w:rPr>
                    <w:t>监 测 点 位</w:t>
                  </w:r>
                </w:p>
              </w:tc>
              <w:tc>
                <w:tcPr>
                  <w:tcW w:w="2229" w:type="dxa"/>
                  <w:vAlign w:val="center"/>
                </w:tcPr>
                <w:p>
                  <w:pPr>
                    <w:adjustRightInd w:val="0"/>
                    <w:jc w:val="center"/>
                    <w:rPr>
                      <w:rFonts w:ascii="宋体" w:hAnsi="宋体"/>
                      <w:b/>
                      <w:szCs w:val="21"/>
                    </w:rPr>
                  </w:pPr>
                  <w:r>
                    <w:rPr>
                      <w:rFonts w:hint="eastAsia" w:ascii="宋体" w:hAnsi="宋体"/>
                      <w:b/>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44" w:hRule="atLeast"/>
                <w:jc w:val="center"/>
              </w:trPr>
              <w:tc>
                <w:tcPr>
                  <w:tcW w:w="1260" w:type="dxa"/>
                  <w:vAlign w:val="center"/>
                </w:tcPr>
                <w:p>
                  <w:pPr>
                    <w:adjustRightInd w:val="0"/>
                    <w:jc w:val="center"/>
                    <w:rPr>
                      <w:rFonts w:ascii="宋体" w:hAnsi="宋体"/>
                      <w:szCs w:val="21"/>
                    </w:rPr>
                  </w:pPr>
                  <w:r>
                    <w:rPr>
                      <w:rFonts w:hint="eastAsia"/>
                    </w:rPr>
                    <w:t>1#</w:t>
                  </w:r>
                </w:p>
              </w:tc>
              <w:tc>
                <w:tcPr>
                  <w:tcW w:w="5412" w:type="dxa"/>
                  <w:vAlign w:val="center"/>
                </w:tcPr>
                <w:p>
                  <w:pPr>
                    <w:adjustRightInd w:val="0"/>
                    <w:jc w:val="center"/>
                    <w:rPr>
                      <w:rFonts w:ascii="宋体" w:hAnsi="宋体"/>
                      <w:szCs w:val="21"/>
                    </w:rPr>
                  </w:pPr>
                  <w:r>
                    <w:rPr>
                      <w:rFonts w:hint="eastAsia" w:ascii="宋体" w:hAnsi="宋体"/>
                      <w:szCs w:val="21"/>
                    </w:rPr>
                    <w:t>污水站处</w:t>
                  </w:r>
                </w:p>
              </w:tc>
              <w:tc>
                <w:tcPr>
                  <w:tcW w:w="2229" w:type="dxa"/>
                  <w:vAlign w:val="center"/>
                </w:tcPr>
                <w:p>
                  <w:pPr>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44" w:hRule="atLeast"/>
                <w:jc w:val="center"/>
              </w:trPr>
              <w:tc>
                <w:tcPr>
                  <w:tcW w:w="1260" w:type="dxa"/>
                  <w:vAlign w:val="center"/>
                </w:tcPr>
                <w:p>
                  <w:pPr>
                    <w:adjustRightInd w:val="0"/>
                    <w:jc w:val="center"/>
                    <w:rPr>
                      <w:rFonts w:ascii="宋体" w:hAnsi="宋体"/>
                      <w:szCs w:val="21"/>
                    </w:rPr>
                  </w:pPr>
                  <w:r>
                    <w:rPr>
                      <w:rFonts w:hint="eastAsia"/>
                    </w:rPr>
                    <w:t>2#</w:t>
                  </w:r>
                </w:p>
              </w:tc>
              <w:tc>
                <w:tcPr>
                  <w:tcW w:w="5412" w:type="dxa"/>
                  <w:vAlign w:val="center"/>
                </w:tcPr>
                <w:p>
                  <w:pPr>
                    <w:adjustRightInd w:val="0"/>
                    <w:jc w:val="center"/>
                    <w:rPr>
                      <w:rFonts w:ascii="宋体" w:hAnsi="宋体"/>
                      <w:szCs w:val="21"/>
                    </w:rPr>
                  </w:pPr>
                  <w:r>
                    <w:rPr>
                      <w:rFonts w:hint="eastAsia" w:ascii="宋体" w:hAnsi="宋体"/>
                      <w:szCs w:val="21"/>
                    </w:rPr>
                    <w:t>东风村居民</w:t>
                  </w:r>
                </w:p>
              </w:tc>
              <w:tc>
                <w:tcPr>
                  <w:tcW w:w="2229" w:type="dxa"/>
                  <w:vAlign w:val="center"/>
                </w:tcPr>
                <w:p>
                  <w:pPr>
                    <w:jc w:val="center"/>
                  </w:pPr>
                  <w:r>
                    <w:rPr>
                      <w:rFonts w:hint="eastAsia"/>
                    </w:rPr>
                    <w:t>敏感点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44" w:hRule="atLeast"/>
                <w:jc w:val="center"/>
              </w:trPr>
              <w:tc>
                <w:tcPr>
                  <w:tcW w:w="1260" w:type="dxa"/>
                  <w:vAlign w:val="center"/>
                </w:tcPr>
                <w:p>
                  <w:pPr>
                    <w:adjustRightInd w:val="0"/>
                    <w:jc w:val="center"/>
                    <w:rPr>
                      <w:rFonts w:ascii="宋体" w:hAnsi="宋体"/>
                      <w:szCs w:val="21"/>
                    </w:rPr>
                  </w:pPr>
                  <w:r>
                    <w:rPr>
                      <w:rFonts w:hint="eastAsia"/>
                    </w:rPr>
                    <w:t>3#</w:t>
                  </w:r>
                </w:p>
              </w:tc>
              <w:tc>
                <w:tcPr>
                  <w:tcW w:w="5412" w:type="dxa"/>
                  <w:vAlign w:val="center"/>
                </w:tcPr>
                <w:p>
                  <w:pPr>
                    <w:adjustRightInd w:val="0"/>
                    <w:jc w:val="center"/>
                    <w:rPr>
                      <w:rFonts w:ascii="宋体" w:hAnsi="宋体"/>
                      <w:szCs w:val="21"/>
                    </w:rPr>
                  </w:pPr>
                  <w:r>
                    <w:rPr>
                      <w:rFonts w:hint="eastAsia" w:ascii="宋体" w:hAnsi="宋体"/>
                      <w:szCs w:val="21"/>
                    </w:rPr>
                    <w:t>广场处</w:t>
                  </w:r>
                </w:p>
              </w:tc>
              <w:tc>
                <w:tcPr>
                  <w:tcW w:w="2229" w:type="dxa"/>
                  <w:vAlign w:val="center"/>
                </w:tcPr>
                <w:p>
                  <w:pPr>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8" w:hRule="atLeast"/>
                <w:jc w:val="center"/>
              </w:trPr>
              <w:tc>
                <w:tcPr>
                  <w:tcW w:w="1260" w:type="dxa"/>
                  <w:vAlign w:val="center"/>
                </w:tcPr>
                <w:p>
                  <w:pPr>
                    <w:adjustRightInd w:val="0"/>
                    <w:jc w:val="center"/>
                    <w:rPr>
                      <w:rFonts w:ascii="宋体" w:hAnsi="宋体"/>
                      <w:szCs w:val="21"/>
                    </w:rPr>
                  </w:pPr>
                  <w:r>
                    <w:rPr>
                      <w:rFonts w:hint="eastAsia"/>
                    </w:rPr>
                    <w:t>4#</w:t>
                  </w:r>
                </w:p>
              </w:tc>
              <w:tc>
                <w:tcPr>
                  <w:tcW w:w="5412" w:type="dxa"/>
                  <w:vAlign w:val="center"/>
                </w:tcPr>
                <w:p>
                  <w:pPr>
                    <w:jc w:val="center"/>
                  </w:pPr>
                  <w:r>
                    <w:rPr>
                      <w:rFonts w:hint="eastAsia"/>
                    </w:rPr>
                    <w:t>太昌镇政府</w:t>
                  </w:r>
                </w:p>
              </w:tc>
              <w:tc>
                <w:tcPr>
                  <w:tcW w:w="2229" w:type="dxa"/>
                  <w:vAlign w:val="center"/>
                </w:tcPr>
                <w:p>
                  <w:pPr>
                    <w:jc w:val="center"/>
                  </w:pPr>
                  <w:r>
                    <w:rPr>
                      <w:rFonts w:hint="eastAsia"/>
                    </w:rPr>
                    <w:t>敏感点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8" w:hRule="atLeast"/>
                <w:jc w:val="center"/>
              </w:trPr>
              <w:tc>
                <w:tcPr>
                  <w:tcW w:w="1260" w:type="dxa"/>
                  <w:vAlign w:val="center"/>
                </w:tcPr>
                <w:p>
                  <w:pPr>
                    <w:adjustRightInd w:val="0"/>
                    <w:jc w:val="center"/>
                  </w:pPr>
                  <w:r>
                    <w:rPr>
                      <w:rFonts w:hint="eastAsia"/>
                    </w:rPr>
                    <w:t>5#</w:t>
                  </w:r>
                </w:p>
              </w:tc>
              <w:tc>
                <w:tcPr>
                  <w:tcW w:w="5412" w:type="dxa"/>
                  <w:vAlign w:val="center"/>
                </w:tcPr>
                <w:p>
                  <w:pPr>
                    <w:jc w:val="center"/>
                  </w:pPr>
                  <w:r>
                    <w:rPr>
                      <w:rFonts w:hint="eastAsia"/>
                    </w:rPr>
                    <w:t>韩家庄居民</w:t>
                  </w:r>
                </w:p>
              </w:tc>
              <w:tc>
                <w:tcPr>
                  <w:tcW w:w="2229" w:type="dxa"/>
                  <w:vAlign w:val="center"/>
                </w:tcPr>
                <w:p>
                  <w:pPr>
                    <w:jc w:val="center"/>
                  </w:pPr>
                  <w:r>
                    <w:rPr>
                      <w:rFonts w:hint="eastAsia"/>
                    </w:rPr>
                    <w:t>敏感点</w:t>
                  </w:r>
                </w:p>
              </w:tc>
            </w:tr>
          </w:tbl>
          <w:p>
            <w:pPr>
              <w:spacing w:line="360" w:lineRule="auto"/>
              <w:ind w:firstLine="480" w:firstLineChars="200"/>
              <w:contextualSpacing/>
              <w:rPr>
                <w:sz w:val="24"/>
                <w:szCs w:val="24"/>
              </w:rPr>
            </w:pPr>
            <w:r>
              <w:rPr>
                <w:rFonts w:hint="eastAsia"/>
                <w:sz w:val="24"/>
                <w:szCs w:val="24"/>
              </w:rPr>
              <w:t>（2）监测项目及频率</w:t>
            </w:r>
          </w:p>
          <w:p>
            <w:pPr>
              <w:spacing w:line="360" w:lineRule="auto"/>
              <w:ind w:firstLine="480" w:firstLineChars="200"/>
              <w:contextualSpacing/>
              <w:rPr>
                <w:sz w:val="24"/>
                <w:szCs w:val="24"/>
              </w:rPr>
            </w:pPr>
            <w:r>
              <w:rPr>
                <w:rFonts w:hint="eastAsia"/>
                <w:sz w:val="24"/>
                <w:szCs w:val="24"/>
              </w:rPr>
              <w:t>监测项目：等效连续</w:t>
            </w:r>
            <w:r>
              <w:rPr>
                <w:sz w:val="24"/>
                <w:szCs w:val="24"/>
              </w:rPr>
              <w:t>A</w:t>
            </w:r>
            <w:r>
              <w:rPr>
                <w:rFonts w:hint="eastAsia"/>
                <w:sz w:val="24"/>
                <w:szCs w:val="24"/>
              </w:rPr>
              <w:t>声级</w:t>
            </w:r>
          </w:p>
          <w:p>
            <w:pPr>
              <w:spacing w:line="360" w:lineRule="auto"/>
              <w:ind w:firstLine="480" w:firstLineChars="200"/>
              <w:contextualSpacing/>
              <w:rPr>
                <w:sz w:val="24"/>
                <w:szCs w:val="24"/>
              </w:rPr>
            </w:pPr>
            <w:r>
              <w:rPr>
                <w:rFonts w:hint="eastAsia"/>
                <w:sz w:val="24"/>
                <w:szCs w:val="24"/>
              </w:rPr>
              <w:t>监测时间和频率：</w:t>
            </w:r>
            <w:r>
              <w:rPr>
                <w:sz w:val="24"/>
                <w:szCs w:val="24"/>
              </w:rPr>
              <w:t>201</w:t>
            </w:r>
            <w:r>
              <w:rPr>
                <w:rFonts w:hint="eastAsia"/>
                <w:sz w:val="24"/>
                <w:szCs w:val="24"/>
              </w:rPr>
              <w:t>8年11月20日～21日，昼、夜间各监测</w:t>
            </w:r>
            <w:r>
              <w:rPr>
                <w:sz w:val="24"/>
                <w:szCs w:val="24"/>
              </w:rPr>
              <w:t>1</w:t>
            </w:r>
            <w:r>
              <w:rPr>
                <w:rFonts w:hint="eastAsia"/>
                <w:sz w:val="24"/>
                <w:szCs w:val="24"/>
              </w:rPr>
              <w:t>次。</w:t>
            </w:r>
          </w:p>
          <w:p>
            <w:pPr>
              <w:spacing w:line="360" w:lineRule="auto"/>
              <w:ind w:firstLine="480" w:firstLineChars="200"/>
              <w:contextualSpacing/>
              <w:rPr>
                <w:sz w:val="24"/>
                <w:szCs w:val="24"/>
              </w:rPr>
            </w:pPr>
            <w:r>
              <w:rPr>
                <w:rFonts w:hint="eastAsia"/>
                <w:sz w:val="24"/>
                <w:szCs w:val="24"/>
              </w:rPr>
              <w:t>（3）监测方法</w:t>
            </w:r>
          </w:p>
          <w:p>
            <w:pPr>
              <w:spacing w:line="360" w:lineRule="auto"/>
              <w:ind w:firstLine="480" w:firstLineChars="200"/>
              <w:contextualSpacing/>
              <w:rPr>
                <w:sz w:val="24"/>
                <w:szCs w:val="24"/>
              </w:rPr>
            </w:pPr>
            <w:r>
              <w:rPr>
                <w:rFonts w:hint="eastAsia"/>
                <w:sz w:val="24"/>
                <w:szCs w:val="24"/>
              </w:rPr>
              <w:t>按照《声环境质量标准》（</w:t>
            </w:r>
            <w:r>
              <w:rPr>
                <w:sz w:val="24"/>
                <w:szCs w:val="24"/>
              </w:rPr>
              <w:t>GB3096-2008</w:t>
            </w:r>
            <w:r>
              <w:rPr>
                <w:rFonts w:hint="eastAsia"/>
                <w:sz w:val="24"/>
                <w:szCs w:val="24"/>
              </w:rPr>
              <w:t>）中规定进行。</w:t>
            </w:r>
          </w:p>
          <w:p>
            <w:pPr>
              <w:spacing w:line="360" w:lineRule="auto"/>
              <w:ind w:firstLine="480" w:firstLineChars="200"/>
              <w:contextualSpacing/>
              <w:rPr>
                <w:sz w:val="24"/>
                <w:szCs w:val="24"/>
              </w:rPr>
            </w:pPr>
            <w:r>
              <w:rPr>
                <w:rFonts w:hint="eastAsia"/>
                <w:sz w:val="24"/>
                <w:szCs w:val="24"/>
              </w:rPr>
              <w:t>（4）评价标准</w:t>
            </w:r>
          </w:p>
          <w:p>
            <w:pPr>
              <w:spacing w:line="360" w:lineRule="auto"/>
              <w:ind w:firstLine="480" w:firstLineChars="200"/>
              <w:contextualSpacing/>
              <w:rPr>
                <w:sz w:val="24"/>
                <w:szCs w:val="24"/>
              </w:rPr>
            </w:pPr>
            <w:r>
              <w:rPr>
                <w:rFonts w:hint="eastAsia"/>
                <w:sz w:val="24"/>
                <w:szCs w:val="24"/>
              </w:rPr>
              <w:t>《声环境质量标准》（</w:t>
            </w:r>
            <w:r>
              <w:rPr>
                <w:sz w:val="24"/>
                <w:szCs w:val="24"/>
              </w:rPr>
              <w:t>GB3096-2008</w:t>
            </w:r>
            <w:r>
              <w:rPr>
                <w:rFonts w:hint="eastAsia"/>
                <w:sz w:val="24"/>
                <w:szCs w:val="24"/>
              </w:rPr>
              <w:t>）2类和4a类标准。</w:t>
            </w:r>
          </w:p>
          <w:p>
            <w:pPr>
              <w:spacing w:line="360" w:lineRule="auto"/>
              <w:ind w:firstLine="480" w:firstLineChars="200"/>
              <w:contextualSpacing/>
              <w:rPr>
                <w:sz w:val="24"/>
                <w:szCs w:val="24"/>
              </w:rPr>
            </w:pPr>
            <w:r>
              <w:rPr>
                <w:rFonts w:hint="eastAsia"/>
                <w:sz w:val="24"/>
                <w:szCs w:val="24"/>
              </w:rPr>
              <w:t>（5）监测结果</w:t>
            </w:r>
          </w:p>
          <w:p>
            <w:pPr>
              <w:spacing w:line="360" w:lineRule="auto"/>
              <w:ind w:firstLine="480" w:firstLineChars="200"/>
              <w:contextualSpacing/>
              <w:rPr>
                <w:sz w:val="24"/>
                <w:szCs w:val="24"/>
                <w:lang w:val="en-GB"/>
              </w:rPr>
            </w:pPr>
            <w:r>
              <w:rPr>
                <w:rFonts w:hint="eastAsia"/>
                <w:sz w:val="24"/>
                <w:szCs w:val="24"/>
                <w:lang w:val="en-GB"/>
              </w:rPr>
              <w:t>声环境质量现状监测结果见表</w:t>
            </w:r>
            <w:r>
              <w:rPr>
                <w:rFonts w:hint="eastAsia"/>
                <w:sz w:val="24"/>
                <w:szCs w:val="24"/>
              </w:rPr>
              <w:t>21</w:t>
            </w:r>
            <w:r>
              <w:rPr>
                <w:rFonts w:hint="eastAsia"/>
                <w:sz w:val="24"/>
                <w:szCs w:val="24"/>
                <w:lang w:val="en-GB"/>
              </w:rPr>
              <w:t>。</w:t>
            </w:r>
          </w:p>
          <w:p>
            <w:pPr>
              <w:spacing w:line="360" w:lineRule="auto"/>
              <w:ind w:firstLine="422" w:firstLineChars="200"/>
              <w:contextualSpacing/>
              <w:jc w:val="center"/>
              <w:rPr>
                <w:b/>
                <w:szCs w:val="21"/>
              </w:rPr>
            </w:pPr>
            <w:r>
              <w:rPr>
                <w:rFonts w:hint="eastAsia"/>
                <w:b/>
                <w:szCs w:val="21"/>
              </w:rPr>
              <w:t>表21</w:t>
            </w:r>
            <w:r>
              <w:rPr>
                <w:b/>
                <w:szCs w:val="21"/>
              </w:rPr>
              <w:t xml:space="preserve">   </w:t>
            </w:r>
            <w:r>
              <w:rPr>
                <w:rFonts w:hint="eastAsia"/>
                <w:b/>
                <w:szCs w:val="21"/>
              </w:rPr>
              <w:t>环境噪声监测结果表</w:t>
            </w:r>
            <w:r>
              <w:rPr>
                <w:b/>
                <w:szCs w:val="21"/>
              </w:rPr>
              <w:t xml:space="preserve">   </w:t>
            </w:r>
            <w:r>
              <w:rPr>
                <w:rFonts w:hint="eastAsia"/>
                <w:b/>
                <w:bCs/>
                <w:szCs w:val="21"/>
              </w:rPr>
              <w:t>单位：</w:t>
            </w:r>
            <w:r>
              <w:rPr>
                <w:b/>
                <w:bCs/>
                <w:szCs w:val="21"/>
              </w:rPr>
              <w:t>dB(A)</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25"/>
              <w:gridCol w:w="1186"/>
              <w:gridCol w:w="1335"/>
              <w:gridCol w:w="1777"/>
              <w:gridCol w:w="1036"/>
              <w:gridCol w:w="94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restart"/>
                  <w:vAlign w:val="center"/>
                </w:tcPr>
                <w:p>
                  <w:pPr>
                    <w:contextualSpacing/>
                    <w:jc w:val="center"/>
                    <w:rPr>
                      <w:b/>
                      <w:bCs/>
                      <w:szCs w:val="21"/>
                    </w:rPr>
                  </w:pPr>
                  <w:r>
                    <w:rPr>
                      <w:rFonts w:hint="eastAsia"/>
                      <w:b/>
                      <w:bCs/>
                      <w:szCs w:val="21"/>
                    </w:rPr>
                    <w:t>测点名称</w:t>
                  </w:r>
                </w:p>
              </w:tc>
              <w:tc>
                <w:tcPr>
                  <w:tcW w:w="1186" w:type="dxa"/>
                  <w:vMerge w:val="restart"/>
                  <w:vAlign w:val="center"/>
                </w:tcPr>
                <w:p>
                  <w:pPr>
                    <w:contextualSpacing/>
                    <w:jc w:val="center"/>
                    <w:rPr>
                      <w:b/>
                      <w:bCs/>
                      <w:szCs w:val="21"/>
                    </w:rPr>
                  </w:pPr>
                  <w:r>
                    <w:rPr>
                      <w:rFonts w:hint="eastAsia"/>
                      <w:b/>
                      <w:bCs/>
                      <w:szCs w:val="21"/>
                    </w:rPr>
                    <w:t>时间</w:t>
                  </w:r>
                </w:p>
              </w:tc>
              <w:tc>
                <w:tcPr>
                  <w:tcW w:w="3112" w:type="dxa"/>
                  <w:gridSpan w:val="2"/>
                  <w:vAlign w:val="center"/>
                </w:tcPr>
                <w:p>
                  <w:pPr>
                    <w:contextualSpacing/>
                    <w:jc w:val="center"/>
                    <w:rPr>
                      <w:b/>
                      <w:szCs w:val="21"/>
                    </w:rPr>
                  </w:pPr>
                  <w:bookmarkStart w:id="4" w:name="_Toc60692399"/>
                  <w:bookmarkStart w:id="5" w:name="_Toc340771162"/>
                  <w:bookmarkStart w:id="6" w:name="_Toc275171717"/>
                  <w:bookmarkStart w:id="7" w:name="_Toc343947293"/>
                  <w:bookmarkStart w:id="8" w:name="_Toc340754573"/>
                  <w:bookmarkStart w:id="9" w:name="_Toc275170861"/>
                  <w:bookmarkStart w:id="10" w:name="_Toc343773981"/>
                  <w:r>
                    <w:rPr>
                      <w:b/>
                      <w:szCs w:val="21"/>
                    </w:rPr>
                    <w:t>Leq</w:t>
                  </w:r>
                  <w:bookmarkEnd w:id="4"/>
                  <w:bookmarkEnd w:id="5"/>
                  <w:bookmarkEnd w:id="6"/>
                  <w:bookmarkEnd w:id="7"/>
                  <w:bookmarkEnd w:id="8"/>
                  <w:bookmarkEnd w:id="9"/>
                  <w:bookmarkEnd w:id="10"/>
                  <w:r>
                    <w:rPr>
                      <w:rFonts w:hint="eastAsia"/>
                      <w:b/>
                      <w:szCs w:val="21"/>
                    </w:rPr>
                    <w:t>（</w:t>
                  </w:r>
                  <w:r>
                    <w:rPr>
                      <w:b/>
                      <w:szCs w:val="21"/>
                    </w:rPr>
                    <w:t>A</w:t>
                  </w:r>
                  <w:r>
                    <w:rPr>
                      <w:rFonts w:hint="eastAsia"/>
                      <w:b/>
                      <w:szCs w:val="21"/>
                    </w:rPr>
                    <w:t>）</w:t>
                  </w:r>
                </w:p>
              </w:tc>
              <w:tc>
                <w:tcPr>
                  <w:tcW w:w="1036" w:type="dxa"/>
                  <w:vMerge w:val="restart"/>
                  <w:vAlign w:val="center"/>
                </w:tcPr>
                <w:p>
                  <w:pPr>
                    <w:contextualSpacing/>
                    <w:jc w:val="center"/>
                    <w:rPr>
                      <w:b/>
                      <w:bCs/>
                      <w:szCs w:val="21"/>
                    </w:rPr>
                  </w:pPr>
                  <w:r>
                    <w:rPr>
                      <w:rFonts w:hint="eastAsia"/>
                      <w:b/>
                      <w:bCs/>
                      <w:szCs w:val="21"/>
                    </w:rPr>
                    <w:t>标准值</w:t>
                  </w:r>
                </w:p>
              </w:tc>
              <w:tc>
                <w:tcPr>
                  <w:tcW w:w="942" w:type="dxa"/>
                  <w:vMerge w:val="restart"/>
                  <w:vAlign w:val="center"/>
                </w:tcPr>
                <w:p>
                  <w:pPr>
                    <w:contextualSpacing/>
                    <w:jc w:val="center"/>
                    <w:rPr>
                      <w:b/>
                      <w:bCs/>
                      <w:szCs w:val="21"/>
                    </w:rPr>
                  </w:pPr>
                  <w:bookmarkStart w:id="11" w:name="_Toc60692400"/>
                  <w:bookmarkStart w:id="12" w:name="_Toc275171718"/>
                  <w:bookmarkStart w:id="13" w:name="_Toc340771163"/>
                  <w:bookmarkStart w:id="14" w:name="_Toc275170862"/>
                  <w:bookmarkStart w:id="15" w:name="_Toc343947294"/>
                  <w:bookmarkStart w:id="16" w:name="_Toc340754574"/>
                  <w:bookmarkStart w:id="17" w:name="_Toc343773982"/>
                  <w:r>
                    <w:rPr>
                      <w:rFonts w:hint="eastAsia"/>
                      <w:b/>
                      <w:bCs/>
                      <w:szCs w:val="21"/>
                    </w:rPr>
                    <w:t>超标值</w:t>
                  </w:r>
                  <w:bookmarkEnd w:id="11"/>
                  <w:bookmarkEnd w:id="12"/>
                  <w:bookmarkEnd w:id="13"/>
                  <w:bookmarkEnd w:id="14"/>
                  <w:bookmarkEnd w:id="15"/>
                  <w:bookmarkEnd w:id="16"/>
                  <w:bookmarkEnd w:id="17"/>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continue"/>
                  <w:vAlign w:val="center"/>
                </w:tcPr>
                <w:p>
                  <w:pPr>
                    <w:ind w:firstLine="420" w:firstLineChars="200"/>
                    <w:contextualSpacing/>
                    <w:jc w:val="center"/>
                    <w:rPr>
                      <w:bCs/>
                      <w:szCs w:val="21"/>
                    </w:rPr>
                  </w:pPr>
                </w:p>
              </w:tc>
              <w:tc>
                <w:tcPr>
                  <w:tcW w:w="1186" w:type="dxa"/>
                  <w:vMerge w:val="continue"/>
                  <w:vAlign w:val="center"/>
                </w:tcPr>
                <w:p>
                  <w:pPr>
                    <w:ind w:firstLine="420" w:firstLineChars="200"/>
                    <w:contextualSpacing/>
                    <w:jc w:val="center"/>
                    <w:rPr>
                      <w:bCs/>
                      <w:szCs w:val="21"/>
                    </w:rPr>
                  </w:pPr>
                </w:p>
              </w:tc>
              <w:tc>
                <w:tcPr>
                  <w:tcW w:w="1335" w:type="dxa"/>
                  <w:vAlign w:val="center"/>
                </w:tcPr>
                <w:p>
                  <w:pPr>
                    <w:contextualSpacing/>
                    <w:jc w:val="center"/>
                    <w:rPr>
                      <w:bCs/>
                      <w:szCs w:val="21"/>
                    </w:rPr>
                  </w:pPr>
                  <w:r>
                    <w:rPr>
                      <w:rFonts w:hint="eastAsia"/>
                      <w:bCs/>
                      <w:szCs w:val="21"/>
                    </w:rPr>
                    <w:t>11月20日</w:t>
                  </w:r>
                </w:p>
              </w:tc>
              <w:tc>
                <w:tcPr>
                  <w:tcW w:w="1777" w:type="dxa"/>
                  <w:vAlign w:val="center"/>
                </w:tcPr>
                <w:p>
                  <w:pPr>
                    <w:contextualSpacing/>
                    <w:jc w:val="center"/>
                    <w:rPr>
                      <w:bCs/>
                      <w:szCs w:val="21"/>
                    </w:rPr>
                  </w:pPr>
                  <w:r>
                    <w:rPr>
                      <w:rFonts w:hint="eastAsia"/>
                      <w:bCs/>
                      <w:szCs w:val="21"/>
                    </w:rPr>
                    <w:t>11月21日</w:t>
                  </w:r>
                </w:p>
              </w:tc>
              <w:tc>
                <w:tcPr>
                  <w:tcW w:w="1036" w:type="dxa"/>
                  <w:vMerge w:val="continue"/>
                  <w:vAlign w:val="center"/>
                </w:tcPr>
                <w:p>
                  <w:pPr>
                    <w:ind w:firstLine="420" w:firstLineChars="200"/>
                    <w:contextualSpacing/>
                    <w:jc w:val="center"/>
                    <w:rPr>
                      <w:bCs/>
                      <w:szCs w:val="21"/>
                    </w:rPr>
                  </w:pPr>
                </w:p>
              </w:tc>
              <w:tc>
                <w:tcPr>
                  <w:tcW w:w="942" w:type="dxa"/>
                  <w:vMerge w:val="continue"/>
                  <w:vAlign w:val="center"/>
                </w:tcPr>
                <w:p>
                  <w:pPr>
                    <w:ind w:firstLine="422" w:firstLineChars="200"/>
                    <w:contextualSpacing/>
                    <w:jc w:val="center"/>
                    <w:rPr>
                      <w:b/>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restart"/>
                  <w:vAlign w:val="center"/>
                </w:tcPr>
                <w:p>
                  <w:pPr>
                    <w:contextualSpacing/>
                    <w:jc w:val="center"/>
                    <w:rPr>
                      <w:bCs/>
                      <w:szCs w:val="21"/>
                    </w:rPr>
                  </w:pPr>
                  <w:r>
                    <w:rPr>
                      <w:bCs/>
                      <w:szCs w:val="21"/>
                    </w:rPr>
                    <w:t>1#</w:t>
                  </w:r>
                  <w:r>
                    <w:rPr>
                      <w:rFonts w:hint="eastAsia"/>
                      <w:bCs/>
                      <w:szCs w:val="21"/>
                    </w:rPr>
                    <w:t>（</w:t>
                  </w:r>
                  <w:r>
                    <w:rPr>
                      <w:rFonts w:hint="eastAsia" w:ascii="宋体" w:hAnsi="宋体"/>
                      <w:szCs w:val="21"/>
                    </w:rPr>
                    <w:t>污水站处</w:t>
                  </w:r>
                  <w:r>
                    <w:rPr>
                      <w:rFonts w:hint="eastAsia"/>
                      <w:bCs/>
                      <w:szCs w:val="21"/>
                    </w:rPr>
                    <w:t>）</w:t>
                  </w:r>
                </w:p>
              </w:tc>
              <w:tc>
                <w:tcPr>
                  <w:tcW w:w="1186" w:type="dxa"/>
                  <w:vAlign w:val="center"/>
                </w:tcPr>
                <w:p>
                  <w:pPr>
                    <w:contextualSpacing/>
                    <w:jc w:val="center"/>
                    <w:rPr>
                      <w:bCs/>
                      <w:szCs w:val="21"/>
                    </w:rPr>
                  </w:pPr>
                  <w:r>
                    <w:rPr>
                      <w:rFonts w:hint="eastAsia"/>
                      <w:bCs/>
                      <w:szCs w:val="21"/>
                    </w:rPr>
                    <w:t>昼间</w:t>
                  </w:r>
                </w:p>
              </w:tc>
              <w:tc>
                <w:tcPr>
                  <w:tcW w:w="1335" w:type="dxa"/>
                  <w:vAlign w:val="center"/>
                </w:tcPr>
                <w:p>
                  <w:pPr>
                    <w:contextualSpacing/>
                    <w:jc w:val="center"/>
                    <w:rPr>
                      <w:szCs w:val="21"/>
                    </w:rPr>
                  </w:pPr>
                  <w:r>
                    <w:rPr>
                      <w:rFonts w:hint="eastAsia"/>
                      <w:szCs w:val="21"/>
                    </w:rPr>
                    <w:t>49.4</w:t>
                  </w:r>
                </w:p>
              </w:tc>
              <w:tc>
                <w:tcPr>
                  <w:tcW w:w="1777" w:type="dxa"/>
                  <w:vAlign w:val="center"/>
                </w:tcPr>
                <w:p>
                  <w:pPr>
                    <w:contextualSpacing/>
                    <w:jc w:val="center"/>
                    <w:rPr>
                      <w:szCs w:val="21"/>
                    </w:rPr>
                  </w:pPr>
                  <w:r>
                    <w:rPr>
                      <w:rFonts w:hint="eastAsia"/>
                      <w:szCs w:val="21"/>
                    </w:rPr>
                    <w:t>47.6</w:t>
                  </w:r>
                </w:p>
              </w:tc>
              <w:tc>
                <w:tcPr>
                  <w:tcW w:w="1036" w:type="dxa"/>
                  <w:vAlign w:val="center"/>
                </w:tcPr>
                <w:p>
                  <w:pPr>
                    <w:contextualSpacing/>
                    <w:jc w:val="center"/>
                    <w:rPr>
                      <w:szCs w:val="21"/>
                    </w:rPr>
                  </w:pPr>
                  <w:r>
                    <w:rPr>
                      <w:rFonts w:hint="eastAsia"/>
                      <w:szCs w:val="21"/>
                    </w:rPr>
                    <w:t>60</w:t>
                  </w:r>
                </w:p>
              </w:tc>
              <w:tc>
                <w:tcPr>
                  <w:tcW w:w="942" w:type="dxa"/>
                  <w:vAlign w:val="center"/>
                </w:tcPr>
                <w:p>
                  <w:pPr>
                    <w:contextualSpacing/>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continue"/>
                  <w:vAlign w:val="center"/>
                </w:tcPr>
                <w:p>
                  <w:pPr>
                    <w:ind w:firstLine="420" w:firstLineChars="200"/>
                    <w:contextualSpacing/>
                    <w:jc w:val="center"/>
                    <w:rPr>
                      <w:bCs/>
                      <w:szCs w:val="21"/>
                    </w:rPr>
                  </w:pPr>
                </w:p>
              </w:tc>
              <w:tc>
                <w:tcPr>
                  <w:tcW w:w="1186" w:type="dxa"/>
                  <w:vAlign w:val="center"/>
                </w:tcPr>
                <w:p>
                  <w:pPr>
                    <w:contextualSpacing/>
                    <w:jc w:val="center"/>
                    <w:rPr>
                      <w:bCs/>
                      <w:szCs w:val="21"/>
                    </w:rPr>
                  </w:pPr>
                  <w:r>
                    <w:rPr>
                      <w:rFonts w:hint="eastAsia"/>
                      <w:bCs/>
                      <w:szCs w:val="21"/>
                    </w:rPr>
                    <w:t>夜间</w:t>
                  </w:r>
                </w:p>
              </w:tc>
              <w:tc>
                <w:tcPr>
                  <w:tcW w:w="1335" w:type="dxa"/>
                  <w:vAlign w:val="center"/>
                </w:tcPr>
                <w:p>
                  <w:pPr>
                    <w:contextualSpacing/>
                    <w:jc w:val="center"/>
                    <w:rPr>
                      <w:szCs w:val="21"/>
                    </w:rPr>
                  </w:pPr>
                  <w:r>
                    <w:rPr>
                      <w:rFonts w:hint="eastAsia"/>
                      <w:szCs w:val="21"/>
                    </w:rPr>
                    <w:t>39.5</w:t>
                  </w:r>
                </w:p>
              </w:tc>
              <w:tc>
                <w:tcPr>
                  <w:tcW w:w="1777" w:type="dxa"/>
                  <w:vAlign w:val="center"/>
                </w:tcPr>
                <w:p>
                  <w:pPr>
                    <w:contextualSpacing/>
                    <w:jc w:val="center"/>
                    <w:rPr>
                      <w:szCs w:val="21"/>
                    </w:rPr>
                  </w:pPr>
                  <w:r>
                    <w:rPr>
                      <w:rFonts w:hint="eastAsia"/>
                      <w:szCs w:val="21"/>
                    </w:rPr>
                    <w:t>40.0</w:t>
                  </w:r>
                </w:p>
              </w:tc>
              <w:tc>
                <w:tcPr>
                  <w:tcW w:w="1036" w:type="dxa"/>
                  <w:vAlign w:val="center"/>
                </w:tcPr>
                <w:p>
                  <w:pPr>
                    <w:contextualSpacing/>
                    <w:jc w:val="center"/>
                    <w:rPr>
                      <w:szCs w:val="21"/>
                    </w:rPr>
                  </w:pPr>
                  <w:r>
                    <w:rPr>
                      <w:szCs w:val="21"/>
                    </w:rPr>
                    <w:t>5</w:t>
                  </w:r>
                  <w:r>
                    <w:rPr>
                      <w:rFonts w:hint="eastAsia"/>
                      <w:szCs w:val="21"/>
                    </w:rPr>
                    <w:t>0</w:t>
                  </w:r>
                </w:p>
              </w:tc>
              <w:tc>
                <w:tcPr>
                  <w:tcW w:w="942" w:type="dxa"/>
                  <w:vAlign w:val="center"/>
                </w:tcPr>
                <w:p>
                  <w:pPr>
                    <w:contextualSpacing/>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restart"/>
                  <w:vAlign w:val="center"/>
                </w:tcPr>
                <w:p>
                  <w:pPr>
                    <w:contextualSpacing/>
                    <w:jc w:val="center"/>
                    <w:rPr>
                      <w:bCs/>
                      <w:szCs w:val="21"/>
                    </w:rPr>
                  </w:pPr>
                  <w:r>
                    <w:rPr>
                      <w:bCs/>
                      <w:szCs w:val="21"/>
                    </w:rPr>
                    <w:t>2#</w:t>
                  </w:r>
                  <w:r>
                    <w:rPr>
                      <w:rFonts w:hint="eastAsia"/>
                      <w:bCs/>
                      <w:szCs w:val="21"/>
                    </w:rPr>
                    <w:t>（</w:t>
                  </w:r>
                  <w:r>
                    <w:rPr>
                      <w:rFonts w:hint="eastAsia" w:ascii="宋体" w:hAnsi="宋体"/>
                      <w:szCs w:val="21"/>
                    </w:rPr>
                    <w:t>东风村居民</w:t>
                  </w:r>
                  <w:r>
                    <w:rPr>
                      <w:rFonts w:hint="eastAsia"/>
                      <w:bCs/>
                      <w:szCs w:val="21"/>
                    </w:rPr>
                    <w:t>）</w:t>
                  </w:r>
                </w:p>
              </w:tc>
              <w:tc>
                <w:tcPr>
                  <w:tcW w:w="1186" w:type="dxa"/>
                  <w:vAlign w:val="center"/>
                </w:tcPr>
                <w:p>
                  <w:pPr>
                    <w:contextualSpacing/>
                    <w:jc w:val="center"/>
                    <w:rPr>
                      <w:bCs/>
                      <w:szCs w:val="21"/>
                    </w:rPr>
                  </w:pPr>
                  <w:r>
                    <w:rPr>
                      <w:rFonts w:hint="eastAsia"/>
                      <w:bCs/>
                      <w:szCs w:val="21"/>
                    </w:rPr>
                    <w:t>昼间</w:t>
                  </w:r>
                </w:p>
              </w:tc>
              <w:tc>
                <w:tcPr>
                  <w:tcW w:w="1335" w:type="dxa"/>
                  <w:vAlign w:val="center"/>
                </w:tcPr>
                <w:p>
                  <w:pPr>
                    <w:contextualSpacing/>
                    <w:jc w:val="center"/>
                    <w:rPr>
                      <w:szCs w:val="21"/>
                    </w:rPr>
                  </w:pPr>
                  <w:r>
                    <w:rPr>
                      <w:rFonts w:hint="eastAsia"/>
                      <w:szCs w:val="21"/>
                    </w:rPr>
                    <w:t>48.8</w:t>
                  </w:r>
                </w:p>
              </w:tc>
              <w:tc>
                <w:tcPr>
                  <w:tcW w:w="1777" w:type="dxa"/>
                  <w:vAlign w:val="center"/>
                </w:tcPr>
                <w:p>
                  <w:pPr>
                    <w:contextualSpacing/>
                    <w:jc w:val="center"/>
                    <w:rPr>
                      <w:szCs w:val="21"/>
                    </w:rPr>
                  </w:pPr>
                  <w:r>
                    <w:rPr>
                      <w:rFonts w:hint="eastAsia"/>
                      <w:szCs w:val="21"/>
                    </w:rPr>
                    <w:t>47.2</w:t>
                  </w:r>
                </w:p>
              </w:tc>
              <w:tc>
                <w:tcPr>
                  <w:tcW w:w="1036" w:type="dxa"/>
                  <w:vAlign w:val="center"/>
                </w:tcPr>
                <w:p>
                  <w:pPr>
                    <w:contextualSpacing/>
                    <w:jc w:val="center"/>
                    <w:rPr>
                      <w:szCs w:val="21"/>
                    </w:rPr>
                  </w:pPr>
                  <w:r>
                    <w:rPr>
                      <w:rFonts w:hint="eastAsia"/>
                      <w:szCs w:val="21"/>
                    </w:rPr>
                    <w:t>60</w:t>
                  </w:r>
                </w:p>
              </w:tc>
              <w:tc>
                <w:tcPr>
                  <w:tcW w:w="942" w:type="dxa"/>
                  <w:vAlign w:val="center"/>
                </w:tcPr>
                <w:p>
                  <w:pPr>
                    <w:contextualSpacing/>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continue"/>
                  <w:vAlign w:val="center"/>
                </w:tcPr>
                <w:p>
                  <w:pPr>
                    <w:ind w:firstLine="420" w:firstLineChars="200"/>
                    <w:contextualSpacing/>
                    <w:jc w:val="center"/>
                    <w:rPr>
                      <w:bCs/>
                      <w:szCs w:val="21"/>
                    </w:rPr>
                  </w:pPr>
                </w:p>
              </w:tc>
              <w:tc>
                <w:tcPr>
                  <w:tcW w:w="1186" w:type="dxa"/>
                  <w:vAlign w:val="center"/>
                </w:tcPr>
                <w:p>
                  <w:pPr>
                    <w:contextualSpacing/>
                    <w:jc w:val="center"/>
                    <w:rPr>
                      <w:bCs/>
                      <w:szCs w:val="21"/>
                    </w:rPr>
                  </w:pPr>
                  <w:r>
                    <w:rPr>
                      <w:rFonts w:hint="eastAsia"/>
                      <w:bCs/>
                      <w:szCs w:val="21"/>
                    </w:rPr>
                    <w:t>夜间</w:t>
                  </w:r>
                </w:p>
              </w:tc>
              <w:tc>
                <w:tcPr>
                  <w:tcW w:w="1335" w:type="dxa"/>
                  <w:vAlign w:val="center"/>
                </w:tcPr>
                <w:p>
                  <w:pPr>
                    <w:contextualSpacing/>
                    <w:jc w:val="center"/>
                    <w:rPr>
                      <w:szCs w:val="21"/>
                    </w:rPr>
                  </w:pPr>
                  <w:r>
                    <w:rPr>
                      <w:rFonts w:hint="eastAsia"/>
                      <w:szCs w:val="21"/>
                    </w:rPr>
                    <w:t>39.8</w:t>
                  </w:r>
                </w:p>
              </w:tc>
              <w:tc>
                <w:tcPr>
                  <w:tcW w:w="1777" w:type="dxa"/>
                  <w:vAlign w:val="center"/>
                </w:tcPr>
                <w:p>
                  <w:pPr>
                    <w:contextualSpacing/>
                    <w:jc w:val="center"/>
                    <w:rPr>
                      <w:szCs w:val="21"/>
                    </w:rPr>
                  </w:pPr>
                  <w:r>
                    <w:rPr>
                      <w:rFonts w:hint="eastAsia"/>
                      <w:szCs w:val="21"/>
                    </w:rPr>
                    <w:t>39.3</w:t>
                  </w:r>
                </w:p>
              </w:tc>
              <w:tc>
                <w:tcPr>
                  <w:tcW w:w="1036" w:type="dxa"/>
                  <w:vAlign w:val="center"/>
                </w:tcPr>
                <w:p>
                  <w:pPr>
                    <w:contextualSpacing/>
                    <w:jc w:val="center"/>
                    <w:rPr>
                      <w:szCs w:val="21"/>
                    </w:rPr>
                  </w:pPr>
                  <w:r>
                    <w:rPr>
                      <w:szCs w:val="21"/>
                    </w:rPr>
                    <w:t>5</w:t>
                  </w:r>
                  <w:r>
                    <w:rPr>
                      <w:rFonts w:hint="eastAsia"/>
                      <w:szCs w:val="21"/>
                    </w:rPr>
                    <w:t>0</w:t>
                  </w:r>
                </w:p>
              </w:tc>
              <w:tc>
                <w:tcPr>
                  <w:tcW w:w="942" w:type="dxa"/>
                  <w:vAlign w:val="center"/>
                </w:tcPr>
                <w:p>
                  <w:pPr>
                    <w:contextualSpacing/>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restart"/>
                  <w:vAlign w:val="center"/>
                </w:tcPr>
                <w:p>
                  <w:pPr>
                    <w:contextualSpacing/>
                    <w:jc w:val="center"/>
                    <w:rPr>
                      <w:bCs/>
                      <w:szCs w:val="21"/>
                    </w:rPr>
                  </w:pPr>
                  <w:r>
                    <w:rPr>
                      <w:bCs/>
                      <w:szCs w:val="21"/>
                    </w:rPr>
                    <w:t>3#</w:t>
                  </w:r>
                  <w:r>
                    <w:rPr>
                      <w:rFonts w:hint="eastAsia"/>
                      <w:bCs/>
                      <w:szCs w:val="21"/>
                    </w:rPr>
                    <w:t>（</w:t>
                  </w:r>
                  <w:r>
                    <w:rPr>
                      <w:rFonts w:hint="eastAsia" w:ascii="宋体" w:hAnsi="宋体"/>
                      <w:szCs w:val="21"/>
                    </w:rPr>
                    <w:t>广场处</w:t>
                  </w:r>
                  <w:r>
                    <w:rPr>
                      <w:rFonts w:hint="eastAsia"/>
                      <w:bCs/>
                      <w:szCs w:val="21"/>
                    </w:rPr>
                    <w:t>）</w:t>
                  </w:r>
                </w:p>
              </w:tc>
              <w:tc>
                <w:tcPr>
                  <w:tcW w:w="1186" w:type="dxa"/>
                  <w:vAlign w:val="center"/>
                </w:tcPr>
                <w:p>
                  <w:pPr>
                    <w:contextualSpacing/>
                    <w:jc w:val="center"/>
                    <w:rPr>
                      <w:bCs/>
                      <w:szCs w:val="21"/>
                    </w:rPr>
                  </w:pPr>
                  <w:r>
                    <w:rPr>
                      <w:rFonts w:hint="eastAsia"/>
                      <w:bCs/>
                      <w:szCs w:val="21"/>
                    </w:rPr>
                    <w:t>昼间</w:t>
                  </w:r>
                </w:p>
              </w:tc>
              <w:tc>
                <w:tcPr>
                  <w:tcW w:w="1335" w:type="dxa"/>
                  <w:vAlign w:val="center"/>
                </w:tcPr>
                <w:p>
                  <w:pPr>
                    <w:contextualSpacing/>
                    <w:jc w:val="center"/>
                    <w:rPr>
                      <w:szCs w:val="21"/>
                    </w:rPr>
                  </w:pPr>
                  <w:r>
                    <w:rPr>
                      <w:rFonts w:hint="eastAsia"/>
                      <w:szCs w:val="21"/>
                    </w:rPr>
                    <w:t>54.4</w:t>
                  </w:r>
                </w:p>
              </w:tc>
              <w:tc>
                <w:tcPr>
                  <w:tcW w:w="1777" w:type="dxa"/>
                  <w:vAlign w:val="center"/>
                </w:tcPr>
                <w:p>
                  <w:pPr>
                    <w:contextualSpacing/>
                    <w:jc w:val="center"/>
                    <w:rPr>
                      <w:szCs w:val="21"/>
                    </w:rPr>
                  </w:pPr>
                  <w:r>
                    <w:rPr>
                      <w:rFonts w:hint="eastAsia"/>
                      <w:szCs w:val="21"/>
                    </w:rPr>
                    <w:t>54.3</w:t>
                  </w:r>
                </w:p>
              </w:tc>
              <w:tc>
                <w:tcPr>
                  <w:tcW w:w="1036" w:type="dxa"/>
                  <w:vAlign w:val="center"/>
                </w:tcPr>
                <w:p>
                  <w:pPr>
                    <w:contextualSpacing/>
                    <w:jc w:val="center"/>
                    <w:rPr>
                      <w:szCs w:val="21"/>
                    </w:rPr>
                  </w:pPr>
                  <w:r>
                    <w:rPr>
                      <w:rFonts w:hint="eastAsia"/>
                      <w:szCs w:val="21"/>
                    </w:rPr>
                    <w:t>70</w:t>
                  </w:r>
                </w:p>
              </w:tc>
              <w:tc>
                <w:tcPr>
                  <w:tcW w:w="942" w:type="dxa"/>
                  <w:vAlign w:val="center"/>
                </w:tcPr>
                <w:p>
                  <w:pPr>
                    <w:contextualSpacing/>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continue"/>
                  <w:vAlign w:val="center"/>
                </w:tcPr>
                <w:p>
                  <w:pPr>
                    <w:ind w:firstLine="420" w:firstLineChars="200"/>
                    <w:contextualSpacing/>
                    <w:jc w:val="center"/>
                    <w:rPr>
                      <w:bCs/>
                      <w:szCs w:val="21"/>
                    </w:rPr>
                  </w:pPr>
                </w:p>
              </w:tc>
              <w:tc>
                <w:tcPr>
                  <w:tcW w:w="1186" w:type="dxa"/>
                  <w:vAlign w:val="center"/>
                </w:tcPr>
                <w:p>
                  <w:pPr>
                    <w:contextualSpacing/>
                    <w:jc w:val="center"/>
                    <w:rPr>
                      <w:bCs/>
                      <w:szCs w:val="21"/>
                    </w:rPr>
                  </w:pPr>
                  <w:r>
                    <w:rPr>
                      <w:rFonts w:hint="eastAsia"/>
                      <w:bCs/>
                      <w:szCs w:val="21"/>
                    </w:rPr>
                    <w:t>夜间</w:t>
                  </w:r>
                </w:p>
              </w:tc>
              <w:tc>
                <w:tcPr>
                  <w:tcW w:w="1335" w:type="dxa"/>
                  <w:vAlign w:val="center"/>
                </w:tcPr>
                <w:p>
                  <w:pPr>
                    <w:contextualSpacing/>
                    <w:jc w:val="center"/>
                    <w:rPr>
                      <w:szCs w:val="21"/>
                    </w:rPr>
                  </w:pPr>
                  <w:r>
                    <w:rPr>
                      <w:rFonts w:hint="eastAsia"/>
                      <w:szCs w:val="21"/>
                    </w:rPr>
                    <w:t>44.7</w:t>
                  </w:r>
                </w:p>
              </w:tc>
              <w:tc>
                <w:tcPr>
                  <w:tcW w:w="1777" w:type="dxa"/>
                  <w:vAlign w:val="center"/>
                </w:tcPr>
                <w:p>
                  <w:pPr>
                    <w:contextualSpacing/>
                    <w:jc w:val="center"/>
                    <w:rPr>
                      <w:szCs w:val="21"/>
                    </w:rPr>
                  </w:pPr>
                  <w:r>
                    <w:rPr>
                      <w:rFonts w:hint="eastAsia"/>
                      <w:szCs w:val="21"/>
                    </w:rPr>
                    <w:t>44.4</w:t>
                  </w:r>
                </w:p>
              </w:tc>
              <w:tc>
                <w:tcPr>
                  <w:tcW w:w="1036" w:type="dxa"/>
                  <w:vAlign w:val="center"/>
                </w:tcPr>
                <w:p>
                  <w:pPr>
                    <w:contextualSpacing/>
                    <w:jc w:val="center"/>
                    <w:rPr>
                      <w:szCs w:val="21"/>
                    </w:rPr>
                  </w:pPr>
                  <w:r>
                    <w:rPr>
                      <w:rFonts w:hint="eastAsia"/>
                      <w:szCs w:val="21"/>
                    </w:rPr>
                    <w:t>55</w:t>
                  </w:r>
                </w:p>
              </w:tc>
              <w:tc>
                <w:tcPr>
                  <w:tcW w:w="942" w:type="dxa"/>
                  <w:vAlign w:val="center"/>
                </w:tcPr>
                <w:p>
                  <w:pPr>
                    <w:contextualSpacing/>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restart"/>
                  <w:vAlign w:val="center"/>
                </w:tcPr>
                <w:p>
                  <w:pPr>
                    <w:contextualSpacing/>
                    <w:jc w:val="center"/>
                    <w:rPr>
                      <w:bCs/>
                      <w:szCs w:val="21"/>
                    </w:rPr>
                  </w:pPr>
                  <w:r>
                    <w:rPr>
                      <w:bCs/>
                      <w:szCs w:val="21"/>
                    </w:rPr>
                    <w:t>4#</w:t>
                  </w:r>
                  <w:r>
                    <w:rPr>
                      <w:rFonts w:hint="eastAsia"/>
                      <w:bCs/>
                      <w:szCs w:val="21"/>
                    </w:rPr>
                    <w:t>（</w:t>
                  </w:r>
                  <w:r>
                    <w:rPr>
                      <w:rFonts w:hint="eastAsia"/>
                    </w:rPr>
                    <w:t>太昌镇政府</w:t>
                  </w:r>
                  <w:r>
                    <w:rPr>
                      <w:rFonts w:hint="eastAsia"/>
                      <w:bCs/>
                      <w:szCs w:val="21"/>
                    </w:rPr>
                    <w:t>）</w:t>
                  </w:r>
                </w:p>
              </w:tc>
              <w:tc>
                <w:tcPr>
                  <w:tcW w:w="1186" w:type="dxa"/>
                  <w:vAlign w:val="center"/>
                </w:tcPr>
                <w:p>
                  <w:pPr>
                    <w:contextualSpacing/>
                    <w:jc w:val="center"/>
                    <w:rPr>
                      <w:bCs/>
                      <w:szCs w:val="21"/>
                    </w:rPr>
                  </w:pPr>
                  <w:r>
                    <w:rPr>
                      <w:rFonts w:hint="eastAsia"/>
                      <w:bCs/>
                      <w:szCs w:val="21"/>
                    </w:rPr>
                    <w:t>昼间</w:t>
                  </w:r>
                </w:p>
              </w:tc>
              <w:tc>
                <w:tcPr>
                  <w:tcW w:w="1335" w:type="dxa"/>
                  <w:vAlign w:val="center"/>
                </w:tcPr>
                <w:p>
                  <w:pPr>
                    <w:contextualSpacing/>
                    <w:jc w:val="center"/>
                    <w:rPr>
                      <w:szCs w:val="21"/>
                    </w:rPr>
                  </w:pPr>
                  <w:r>
                    <w:rPr>
                      <w:rFonts w:hint="eastAsia"/>
                      <w:szCs w:val="21"/>
                    </w:rPr>
                    <w:t>50.3</w:t>
                  </w:r>
                </w:p>
              </w:tc>
              <w:tc>
                <w:tcPr>
                  <w:tcW w:w="1777" w:type="dxa"/>
                  <w:vAlign w:val="center"/>
                </w:tcPr>
                <w:p>
                  <w:pPr>
                    <w:contextualSpacing/>
                    <w:jc w:val="center"/>
                    <w:rPr>
                      <w:szCs w:val="21"/>
                    </w:rPr>
                  </w:pPr>
                  <w:r>
                    <w:rPr>
                      <w:rFonts w:hint="eastAsia"/>
                      <w:szCs w:val="21"/>
                    </w:rPr>
                    <w:t>52.9</w:t>
                  </w:r>
                </w:p>
              </w:tc>
              <w:tc>
                <w:tcPr>
                  <w:tcW w:w="1036" w:type="dxa"/>
                  <w:vAlign w:val="center"/>
                </w:tcPr>
                <w:p>
                  <w:pPr>
                    <w:contextualSpacing/>
                    <w:jc w:val="center"/>
                    <w:rPr>
                      <w:szCs w:val="21"/>
                    </w:rPr>
                  </w:pPr>
                  <w:r>
                    <w:rPr>
                      <w:rFonts w:hint="eastAsia"/>
                      <w:szCs w:val="21"/>
                    </w:rPr>
                    <w:t>70</w:t>
                  </w:r>
                </w:p>
              </w:tc>
              <w:tc>
                <w:tcPr>
                  <w:tcW w:w="942" w:type="dxa"/>
                  <w:vAlign w:val="center"/>
                </w:tcPr>
                <w:p>
                  <w:pPr>
                    <w:contextualSpacing/>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continue"/>
                  <w:vAlign w:val="center"/>
                </w:tcPr>
                <w:p>
                  <w:pPr>
                    <w:ind w:firstLine="420" w:firstLineChars="200"/>
                    <w:contextualSpacing/>
                    <w:jc w:val="center"/>
                    <w:rPr>
                      <w:bCs/>
                      <w:szCs w:val="21"/>
                    </w:rPr>
                  </w:pPr>
                </w:p>
              </w:tc>
              <w:tc>
                <w:tcPr>
                  <w:tcW w:w="1186" w:type="dxa"/>
                  <w:vAlign w:val="center"/>
                </w:tcPr>
                <w:p>
                  <w:pPr>
                    <w:contextualSpacing/>
                    <w:jc w:val="center"/>
                    <w:rPr>
                      <w:bCs/>
                      <w:szCs w:val="21"/>
                    </w:rPr>
                  </w:pPr>
                  <w:r>
                    <w:rPr>
                      <w:rFonts w:hint="eastAsia"/>
                      <w:bCs/>
                      <w:szCs w:val="21"/>
                    </w:rPr>
                    <w:t>夜间</w:t>
                  </w:r>
                </w:p>
              </w:tc>
              <w:tc>
                <w:tcPr>
                  <w:tcW w:w="1335" w:type="dxa"/>
                  <w:vAlign w:val="center"/>
                </w:tcPr>
                <w:p>
                  <w:pPr>
                    <w:contextualSpacing/>
                    <w:jc w:val="center"/>
                    <w:rPr>
                      <w:szCs w:val="21"/>
                    </w:rPr>
                  </w:pPr>
                  <w:r>
                    <w:rPr>
                      <w:rFonts w:hint="eastAsia"/>
                      <w:szCs w:val="21"/>
                    </w:rPr>
                    <w:t>43.3</w:t>
                  </w:r>
                </w:p>
              </w:tc>
              <w:tc>
                <w:tcPr>
                  <w:tcW w:w="1777" w:type="dxa"/>
                  <w:vAlign w:val="center"/>
                </w:tcPr>
                <w:p>
                  <w:pPr>
                    <w:contextualSpacing/>
                    <w:jc w:val="center"/>
                    <w:rPr>
                      <w:szCs w:val="21"/>
                    </w:rPr>
                  </w:pPr>
                  <w:r>
                    <w:rPr>
                      <w:rFonts w:hint="eastAsia"/>
                      <w:szCs w:val="21"/>
                    </w:rPr>
                    <w:t>42.6</w:t>
                  </w:r>
                </w:p>
              </w:tc>
              <w:tc>
                <w:tcPr>
                  <w:tcW w:w="1036" w:type="dxa"/>
                  <w:vAlign w:val="center"/>
                </w:tcPr>
                <w:p>
                  <w:pPr>
                    <w:contextualSpacing/>
                    <w:jc w:val="center"/>
                    <w:rPr>
                      <w:szCs w:val="21"/>
                    </w:rPr>
                  </w:pPr>
                  <w:r>
                    <w:rPr>
                      <w:rFonts w:hint="eastAsia"/>
                      <w:szCs w:val="21"/>
                    </w:rPr>
                    <w:t>55</w:t>
                  </w:r>
                </w:p>
              </w:tc>
              <w:tc>
                <w:tcPr>
                  <w:tcW w:w="942" w:type="dxa"/>
                  <w:vAlign w:val="center"/>
                </w:tcPr>
                <w:p>
                  <w:pPr>
                    <w:contextualSpacing/>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restart"/>
                  <w:vAlign w:val="center"/>
                </w:tcPr>
                <w:p>
                  <w:pPr>
                    <w:contextualSpacing/>
                    <w:jc w:val="center"/>
                    <w:rPr>
                      <w:bCs/>
                      <w:szCs w:val="21"/>
                    </w:rPr>
                  </w:pPr>
                  <w:r>
                    <w:rPr>
                      <w:rFonts w:hint="eastAsia"/>
                      <w:bCs/>
                      <w:szCs w:val="21"/>
                    </w:rPr>
                    <w:t>5#（</w:t>
                  </w:r>
                  <w:r>
                    <w:rPr>
                      <w:rFonts w:hint="eastAsia"/>
                    </w:rPr>
                    <w:t>韩家庄居民</w:t>
                  </w:r>
                  <w:r>
                    <w:rPr>
                      <w:rFonts w:hint="eastAsia"/>
                      <w:bCs/>
                      <w:szCs w:val="21"/>
                    </w:rPr>
                    <w:t>）</w:t>
                  </w:r>
                </w:p>
              </w:tc>
              <w:tc>
                <w:tcPr>
                  <w:tcW w:w="1186" w:type="dxa"/>
                  <w:vAlign w:val="center"/>
                </w:tcPr>
                <w:p>
                  <w:pPr>
                    <w:contextualSpacing/>
                    <w:jc w:val="center"/>
                    <w:rPr>
                      <w:bCs/>
                      <w:szCs w:val="21"/>
                    </w:rPr>
                  </w:pPr>
                  <w:r>
                    <w:rPr>
                      <w:rFonts w:hint="eastAsia"/>
                      <w:bCs/>
                      <w:szCs w:val="21"/>
                    </w:rPr>
                    <w:t>昼间</w:t>
                  </w:r>
                </w:p>
              </w:tc>
              <w:tc>
                <w:tcPr>
                  <w:tcW w:w="1335" w:type="dxa"/>
                  <w:vAlign w:val="center"/>
                </w:tcPr>
                <w:p>
                  <w:pPr>
                    <w:contextualSpacing/>
                    <w:jc w:val="center"/>
                    <w:rPr>
                      <w:szCs w:val="21"/>
                    </w:rPr>
                  </w:pPr>
                  <w:r>
                    <w:rPr>
                      <w:rFonts w:hint="eastAsia"/>
                      <w:szCs w:val="21"/>
                    </w:rPr>
                    <w:t>54.5</w:t>
                  </w:r>
                </w:p>
              </w:tc>
              <w:tc>
                <w:tcPr>
                  <w:tcW w:w="1777" w:type="dxa"/>
                  <w:vAlign w:val="center"/>
                </w:tcPr>
                <w:p>
                  <w:pPr>
                    <w:contextualSpacing/>
                    <w:jc w:val="center"/>
                    <w:rPr>
                      <w:szCs w:val="21"/>
                    </w:rPr>
                  </w:pPr>
                  <w:r>
                    <w:rPr>
                      <w:rFonts w:hint="eastAsia"/>
                      <w:szCs w:val="21"/>
                    </w:rPr>
                    <w:t>54.4</w:t>
                  </w:r>
                </w:p>
              </w:tc>
              <w:tc>
                <w:tcPr>
                  <w:tcW w:w="1036" w:type="dxa"/>
                  <w:vAlign w:val="center"/>
                </w:tcPr>
                <w:p>
                  <w:pPr>
                    <w:contextualSpacing/>
                    <w:jc w:val="center"/>
                    <w:rPr>
                      <w:szCs w:val="21"/>
                    </w:rPr>
                  </w:pPr>
                  <w:r>
                    <w:rPr>
                      <w:rFonts w:hint="eastAsia"/>
                      <w:szCs w:val="21"/>
                    </w:rPr>
                    <w:t>70</w:t>
                  </w:r>
                </w:p>
              </w:tc>
              <w:tc>
                <w:tcPr>
                  <w:tcW w:w="942" w:type="dxa"/>
                  <w:vAlign w:val="center"/>
                </w:tcPr>
                <w:p>
                  <w:pPr>
                    <w:contextualSpacing/>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continue"/>
                  <w:vAlign w:val="center"/>
                </w:tcPr>
                <w:p>
                  <w:pPr>
                    <w:ind w:firstLine="420" w:firstLineChars="200"/>
                    <w:contextualSpacing/>
                    <w:jc w:val="center"/>
                    <w:rPr>
                      <w:bCs/>
                      <w:szCs w:val="21"/>
                    </w:rPr>
                  </w:pPr>
                </w:p>
              </w:tc>
              <w:tc>
                <w:tcPr>
                  <w:tcW w:w="1186" w:type="dxa"/>
                  <w:vAlign w:val="center"/>
                </w:tcPr>
                <w:p>
                  <w:pPr>
                    <w:contextualSpacing/>
                    <w:jc w:val="center"/>
                    <w:rPr>
                      <w:bCs/>
                      <w:szCs w:val="21"/>
                    </w:rPr>
                  </w:pPr>
                  <w:r>
                    <w:rPr>
                      <w:rFonts w:hint="eastAsia"/>
                      <w:bCs/>
                      <w:szCs w:val="21"/>
                    </w:rPr>
                    <w:t>夜间</w:t>
                  </w:r>
                </w:p>
              </w:tc>
              <w:tc>
                <w:tcPr>
                  <w:tcW w:w="1335" w:type="dxa"/>
                  <w:vAlign w:val="center"/>
                </w:tcPr>
                <w:p>
                  <w:pPr>
                    <w:contextualSpacing/>
                    <w:jc w:val="center"/>
                    <w:rPr>
                      <w:szCs w:val="21"/>
                    </w:rPr>
                  </w:pPr>
                  <w:r>
                    <w:rPr>
                      <w:rFonts w:hint="eastAsia"/>
                      <w:szCs w:val="21"/>
                    </w:rPr>
                    <w:t>44.5</w:t>
                  </w:r>
                </w:p>
              </w:tc>
              <w:tc>
                <w:tcPr>
                  <w:tcW w:w="1777" w:type="dxa"/>
                  <w:vAlign w:val="center"/>
                </w:tcPr>
                <w:p>
                  <w:pPr>
                    <w:contextualSpacing/>
                    <w:jc w:val="center"/>
                    <w:rPr>
                      <w:szCs w:val="21"/>
                    </w:rPr>
                  </w:pPr>
                  <w:r>
                    <w:rPr>
                      <w:rFonts w:hint="eastAsia"/>
                      <w:szCs w:val="21"/>
                    </w:rPr>
                    <w:t>44.7</w:t>
                  </w:r>
                </w:p>
              </w:tc>
              <w:tc>
                <w:tcPr>
                  <w:tcW w:w="1036" w:type="dxa"/>
                  <w:vAlign w:val="center"/>
                </w:tcPr>
                <w:p>
                  <w:pPr>
                    <w:contextualSpacing/>
                    <w:jc w:val="center"/>
                    <w:rPr>
                      <w:szCs w:val="21"/>
                    </w:rPr>
                  </w:pPr>
                  <w:r>
                    <w:rPr>
                      <w:rFonts w:hint="eastAsia"/>
                      <w:szCs w:val="21"/>
                    </w:rPr>
                    <w:t>55</w:t>
                  </w:r>
                </w:p>
              </w:tc>
              <w:tc>
                <w:tcPr>
                  <w:tcW w:w="942" w:type="dxa"/>
                  <w:vAlign w:val="center"/>
                </w:tcPr>
                <w:p>
                  <w:pPr>
                    <w:contextualSpacing/>
                    <w:jc w:val="center"/>
                    <w:rPr>
                      <w:szCs w:val="21"/>
                    </w:rPr>
                  </w:pPr>
                  <w:r>
                    <w:rPr>
                      <w:rFonts w:hint="eastAsia"/>
                      <w:szCs w:val="21"/>
                    </w:rPr>
                    <w:t>/</w:t>
                  </w:r>
                </w:p>
              </w:tc>
            </w:tr>
          </w:tbl>
          <w:p>
            <w:pPr>
              <w:spacing w:line="360" w:lineRule="auto"/>
              <w:ind w:firstLine="422" w:firstLineChars="200"/>
              <w:contextualSpacing/>
              <w:rPr>
                <w:sz w:val="24"/>
                <w:szCs w:val="24"/>
              </w:rPr>
            </w:pPr>
            <w:r>
              <w:rPr>
                <w:rFonts w:hint="eastAsia"/>
                <w:b/>
                <w:szCs w:val="21"/>
              </w:rPr>
              <w:t xml:space="preserve">  </w:t>
            </w:r>
            <w:r>
              <w:rPr>
                <w:rFonts w:hint="eastAsia"/>
                <w:sz w:val="24"/>
                <w:szCs w:val="24"/>
              </w:rPr>
              <w:t>由表21所示监测结果，现状噪声监测1#、2#监测点位昼间噪声为47.2~49.4</w:t>
            </w:r>
            <w:r>
              <w:rPr>
                <w:bCs/>
                <w:sz w:val="24"/>
                <w:szCs w:val="24"/>
              </w:rPr>
              <w:t>dB(A)</w:t>
            </w:r>
            <w:r>
              <w:rPr>
                <w:rFonts w:hint="eastAsia"/>
                <w:bCs/>
                <w:sz w:val="24"/>
                <w:szCs w:val="24"/>
              </w:rPr>
              <w:t>，夜间</w:t>
            </w:r>
            <w:r>
              <w:rPr>
                <w:rFonts w:hint="eastAsia"/>
                <w:sz w:val="24"/>
                <w:szCs w:val="24"/>
              </w:rPr>
              <w:t>噪声为39.3~40.0</w:t>
            </w:r>
            <w:r>
              <w:rPr>
                <w:bCs/>
                <w:sz w:val="24"/>
                <w:szCs w:val="24"/>
              </w:rPr>
              <w:t>dB(A)</w:t>
            </w:r>
            <w:r>
              <w:rPr>
                <w:rFonts w:hint="eastAsia"/>
                <w:bCs/>
                <w:sz w:val="24"/>
                <w:szCs w:val="24"/>
              </w:rPr>
              <w:t>，</w:t>
            </w:r>
            <w:r>
              <w:rPr>
                <w:rFonts w:hint="eastAsia"/>
                <w:sz w:val="24"/>
                <w:szCs w:val="24"/>
              </w:rPr>
              <w:t>均满足《声环境质量标准》（</w:t>
            </w:r>
            <w:r>
              <w:rPr>
                <w:sz w:val="24"/>
                <w:szCs w:val="24"/>
              </w:rPr>
              <w:t>GB3096-2008</w:t>
            </w:r>
            <w:r>
              <w:rPr>
                <w:rFonts w:hint="eastAsia"/>
                <w:sz w:val="24"/>
                <w:szCs w:val="24"/>
              </w:rPr>
              <w:t>）2类标准限值，现状噪声监测3#、4#、5#监测点位昼间噪声为54.5~50.0</w:t>
            </w:r>
            <w:r>
              <w:rPr>
                <w:bCs/>
                <w:sz w:val="24"/>
                <w:szCs w:val="24"/>
              </w:rPr>
              <w:t>dB(A)</w:t>
            </w:r>
            <w:r>
              <w:rPr>
                <w:rFonts w:hint="eastAsia"/>
                <w:bCs/>
                <w:sz w:val="24"/>
                <w:szCs w:val="24"/>
              </w:rPr>
              <w:t>，夜间</w:t>
            </w:r>
            <w:r>
              <w:rPr>
                <w:rFonts w:hint="eastAsia"/>
                <w:sz w:val="24"/>
                <w:szCs w:val="24"/>
              </w:rPr>
              <w:t>噪声为42.6~44.7</w:t>
            </w:r>
            <w:r>
              <w:rPr>
                <w:bCs/>
                <w:sz w:val="24"/>
                <w:szCs w:val="24"/>
              </w:rPr>
              <w:t>dB(A)</w:t>
            </w:r>
            <w:r>
              <w:rPr>
                <w:rFonts w:hint="eastAsia"/>
                <w:bCs/>
                <w:sz w:val="24"/>
                <w:szCs w:val="24"/>
              </w:rPr>
              <w:t>，</w:t>
            </w:r>
            <w:r>
              <w:rPr>
                <w:rFonts w:hint="eastAsia"/>
                <w:sz w:val="24"/>
                <w:szCs w:val="24"/>
              </w:rPr>
              <w:t>均满足《声环境质量标准》（</w:t>
            </w:r>
            <w:r>
              <w:rPr>
                <w:sz w:val="24"/>
                <w:szCs w:val="24"/>
              </w:rPr>
              <w:t>GB3096-2008</w:t>
            </w:r>
            <w:r>
              <w:rPr>
                <w:rFonts w:hint="eastAsia"/>
                <w:sz w:val="24"/>
                <w:szCs w:val="24"/>
              </w:rPr>
              <w:t>）4a类标准限值。因此，项目所在区域声环境质量良好。</w:t>
            </w:r>
          </w:p>
          <w:p>
            <w:pPr>
              <w:spacing w:line="360" w:lineRule="auto"/>
              <w:ind w:firstLine="422" w:firstLineChars="200"/>
              <w:contextualSpacing/>
              <w:rPr>
                <w:b/>
                <w:szCs w:val="21"/>
              </w:rPr>
            </w:pPr>
          </w:p>
          <w:p>
            <w:pPr>
              <w:spacing w:beforeLines="50" w:line="360" w:lineRule="auto"/>
              <w:rPr>
                <w:b/>
                <w:sz w:val="28"/>
              </w:rPr>
            </w:pPr>
          </w:p>
          <w:p>
            <w:pPr>
              <w:spacing w:beforeLines="50" w:line="360" w:lineRule="auto"/>
              <w:rPr>
                <w:b/>
                <w:sz w:val="28"/>
              </w:rPr>
            </w:pPr>
          </w:p>
          <w:p>
            <w:pPr>
              <w:spacing w:beforeLines="50" w:line="360" w:lineRule="auto"/>
              <w:rPr>
                <w:b/>
                <w:sz w:val="28"/>
              </w:rPr>
            </w:pPr>
          </w:p>
          <w:p>
            <w:pPr>
              <w:spacing w:beforeLines="50" w:line="360" w:lineRule="auto"/>
              <w:rPr>
                <w:b/>
                <w:sz w:val="28"/>
              </w:rPr>
            </w:pPr>
          </w:p>
          <w:p>
            <w:pPr>
              <w:spacing w:beforeLines="50" w:line="360" w:lineRule="auto"/>
              <w:rPr>
                <w:b/>
                <w:sz w:val="28"/>
              </w:rPr>
            </w:pPr>
          </w:p>
          <w:p>
            <w:pPr>
              <w:spacing w:beforeLines="50" w:line="360" w:lineRule="auto"/>
              <w:rPr>
                <w:b/>
                <w:sz w:val="28"/>
              </w:rPr>
            </w:pPr>
          </w:p>
          <w:p>
            <w:pPr>
              <w:spacing w:beforeLines="50" w:line="360" w:lineRule="auto"/>
              <w:rPr>
                <w:b/>
                <w:sz w:val="28"/>
              </w:rPr>
            </w:pPr>
          </w:p>
          <w:p>
            <w:pPr>
              <w:spacing w:beforeLines="50" w:line="360" w:lineRule="auto"/>
              <w:rPr>
                <w:b/>
                <w:sz w:val="28"/>
              </w:rPr>
            </w:pPr>
          </w:p>
          <w:p>
            <w:pPr>
              <w:spacing w:beforeLines="50" w:line="360" w:lineRule="auto"/>
              <w:rPr>
                <w:b/>
                <w:sz w:val="28"/>
              </w:rPr>
            </w:pPr>
          </w:p>
          <w:p>
            <w:pPr>
              <w:spacing w:beforeLines="50" w:line="360" w:lineRule="auto"/>
              <w:rPr>
                <w:b/>
                <w:sz w:val="28"/>
              </w:rPr>
            </w:pPr>
          </w:p>
          <w:p>
            <w:pPr>
              <w:spacing w:beforeLines="50" w:line="360" w:lineRule="auto"/>
              <w:rPr>
                <w:b/>
                <w:sz w:val="28"/>
              </w:rPr>
            </w:pPr>
          </w:p>
          <w:p>
            <w:pPr>
              <w:spacing w:beforeLines="50" w:line="360" w:lineRule="auto"/>
              <w:rPr>
                <w:b/>
                <w:sz w:val="28"/>
              </w:rPr>
            </w:pPr>
          </w:p>
          <w:p>
            <w:pPr>
              <w:spacing w:beforeLines="50" w:line="360" w:lineRule="auto"/>
              <w:rPr>
                <w:b/>
                <w:sz w:val="28"/>
              </w:rPr>
            </w:pPr>
            <w:r>
              <w:rPr>
                <w:rFonts w:hint="eastAsia"/>
                <w:b/>
                <w:sz w:val="28"/>
              </w:rPr>
              <w:t>主要环境保护目标</w:t>
            </w:r>
            <w:r>
              <w:rPr>
                <w:rFonts w:hint="eastAsia"/>
                <w:b/>
                <w:sz w:val="24"/>
                <w:szCs w:val="24"/>
              </w:rPr>
              <w:t>（列出名单及保护级别）</w:t>
            </w:r>
            <w:r>
              <w:rPr>
                <w:rFonts w:hint="eastAsia"/>
                <w:b/>
                <w:sz w:val="28"/>
              </w:rPr>
              <w:t>：</w:t>
            </w:r>
          </w:p>
          <w:p>
            <w:pPr>
              <w:spacing w:line="360" w:lineRule="auto"/>
              <w:ind w:firstLine="482" w:firstLineChars="200"/>
              <w:contextualSpacing/>
              <w:rPr>
                <w:b/>
                <w:sz w:val="24"/>
                <w:szCs w:val="24"/>
              </w:rPr>
            </w:pPr>
            <w:r>
              <w:rPr>
                <w:b/>
                <w:sz w:val="24"/>
                <w:szCs w:val="24"/>
              </w:rPr>
              <w:t>1</w:t>
            </w:r>
            <w:r>
              <w:rPr>
                <w:rFonts w:hint="eastAsia"/>
                <w:b/>
                <w:sz w:val="24"/>
                <w:szCs w:val="24"/>
              </w:rPr>
              <w:t>、项目周边概况</w:t>
            </w:r>
          </w:p>
          <w:p>
            <w:pPr>
              <w:spacing w:line="360" w:lineRule="auto"/>
              <w:ind w:firstLine="480" w:firstLineChars="200"/>
              <w:contextualSpacing/>
              <w:rPr>
                <w:bCs/>
                <w:sz w:val="24"/>
                <w:szCs w:val="28"/>
              </w:rPr>
            </w:pPr>
            <w:r>
              <w:rPr>
                <w:rFonts w:hint="eastAsia"/>
                <w:sz w:val="24"/>
                <w:szCs w:val="24"/>
              </w:rPr>
              <w:t>项目道路工程主要为维修现有太昌主街道路面，起点接现有省道S202，坐标为</w:t>
            </w:r>
            <w:r>
              <w:rPr>
                <w:bCs/>
                <w:sz w:val="24"/>
                <w:szCs w:val="28"/>
              </w:rPr>
              <w:t>东经</w:t>
            </w:r>
            <w:r>
              <w:rPr>
                <w:rFonts w:hint="eastAsia"/>
                <w:bCs/>
                <w:sz w:val="24"/>
                <w:szCs w:val="28"/>
              </w:rPr>
              <w:t>107</w:t>
            </w:r>
            <w:r>
              <w:rPr>
                <w:bCs/>
                <w:sz w:val="24"/>
                <w:szCs w:val="28"/>
              </w:rPr>
              <w:t>°</w:t>
            </w:r>
            <w:r>
              <w:rPr>
                <w:rFonts w:hint="eastAsia"/>
                <w:bCs/>
                <w:sz w:val="24"/>
                <w:szCs w:val="28"/>
              </w:rPr>
              <w:t>46</w:t>
            </w:r>
            <w:r>
              <w:rPr>
                <w:bCs/>
                <w:sz w:val="24"/>
                <w:szCs w:val="28"/>
              </w:rPr>
              <w:t>′</w:t>
            </w:r>
            <w:r>
              <w:rPr>
                <w:rFonts w:hint="eastAsia"/>
                <w:bCs/>
                <w:sz w:val="24"/>
                <w:szCs w:val="28"/>
              </w:rPr>
              <w:t>22.40</w:t>
            </w:r>
            <w:r>
              <w:rPr>
                <w:bCs/>
                <w:sz w:val="24"/>
                <w:szCs w:val="28"/>
              </w:rPr>
              <w:t>″，北纬3</w:t>
            </w:r>
            <w:r>
              <w:rPr>
                <w:rFonts w:hint="eastAsia"/>
                <w:bCs/>
                <w:sz w:val="24"/>
                <w:szCs w:val="28"/>
              </w:rPr>
              <w:t>5</w:t>
            </w:r>
            <w:r>
              <w:rPr>
                <w:bCs/>
                <w:sz w:val="24"/>
                <w:szCs w:val="28"/>
              </w:rPr>
              <w:t>°</w:t>
            </w:r>
            <w:r>
              <w:rPr>
                <w:rFonts w:hint="eastAsia"/>
                <w:bCs/>
                <w:sz w:val="24"/>
                <w:szCs w:val="28"/>
              </w:rPr>
              <w:t>24</w:t>
            </w:r>
            <w:r>
              <w:rPr>
                <w:bCs/>
                <w:sz w:val="24"/>
                <w:szCs w:val="28"/>
              </w:rPr>
              <w:t>′</w:t>
            </w:r>
            <w:r>
              <w:rPr>
                <w:rFonts w:hint="eastAsia"/>
                <w:bCs/>
                <w:sz w:val="24"/>
                <w:szCs w:val="28"/>
              </w:rPr>
              <w:t>7.14</w:t>
            </w:r>
            <w:r>
              <w:rPr>
                <w:bCs/>
                <w:sz w:val="24"/>
                <w:szCs w:val="28"/>
              </w:rPr>
              <w:t>″</w:t>
            </w:r>
            <w:r>
              <w:rPr>
                <w:rFonts w:hint="eastAsia"/>
                <w:bCs/>
                <w:sz w:val="24"/>
                <w:szCs w:val="28"/>
              </w:rPr>
              <w:t>，终点接主街道南侧岔路口，坐标为</w:t>
            </w:r>
            <w:r>
              <w:rPr>
                <w:bCs/>
                <w:sz w:val="24"/>
                <w:szCs w:val="28"/>
              </w:rPr>
              <w:t>东经</w:t>
            </w:r>
            <w:r>
              <w:rPr>
                <w:rFonts w:hint="eastAsia"/>
                <w:bCs/>
                <w:sz w:val="24"/>
                <w:szCs w:val="28"/>
              </w:rPr>
              <w:t>107</w:t>
            </w:r>
            <w:r>
              <w:rPr>
                <w:bCs/>
                <w:sz w:val="24"/>
                <w:szCs w:val="28"/>
              </w:rPr>
              <w:t>°</w:t>
            </w:r>
            <w:r>
              <w:rPr>
                <w:rFonts w:hint="eastAsia"/>
                <w:bCs/>
                <w:sz w:val="24"/>
                <w:szCs w:val="28"/>
              </w:rPr>
              <w:t>46</w:t>
            </w:r>
            <w:r>
              <w:rPr>
                <w:bCs/>
                <w:sz w:val="24"/>
                <w:szCs w:val="28"/>
              </w:rPr>
              <w:t>′</w:t>
            </w:r>
            <w:r>
              <w:rPr>
                <w:rFonts w:hint="eastAsia"/>
                <w:bCs/>
                <w:sz w:val="24"/>
                <w:szCs w:val="28"/>
              </w:rPr>
              <w:t>27.93</w:t>
            </w:r>
            <w:r>
              <w:rPr>
                <w:bCs/>
                <w:sz w:val="24"/>
                <w:szCs w:val="28"/>
              </w:rPr>
              <w:t>″，北纬3</w:t>
            </w:r>
            <w:r>
              <w:rPr>
                <w:rFonts w:hint="eastAsia"/>
                <w:bCs/>
                <w:sz w:val="24"/>
                <w:szCs w:val="28"/>
              </w:rPr>
              <w:t>5</w:t>
            </w:r>
            <w:r>
              <w:rPr>
                <w:bCs/>
                <w:sz w:val="24"/>
                <w:szCs w:val="28"/>
              </w:rPr>
              <w:t>°</w:t>
            </w:r>
            <w:r>
              <w:rPr>
                <w:rFonts w:hint="eastAsia"/>
                <w:bCs/>
                <w:sz w:val="24"/>
                <w:szCs w:val="28"/>
              </w:rPr>
              <w:t>23</w:t>
            </w:r>
            <w:r>
              <w:rPr>
                <w:bCs/>
                <w:sz w:val="24"/>
                <w:szCs w:val="28"/>
              </w:rPr>
              <w:t>′</w:t>
            </w:r>
            <w:r>
              <w:rPr>
                <w:rFonts w:hint="eastAsia"/>
                <w:bCs/>
                <w:sz w:val="24"/>
                <w:szCs w:val="28"/>
              </w:rPr>
              <w:t>55.87</w:t>
            </w:r>
            <w:r>
              <w:rPr>
                <w:bCs/>
                <w:sz w:val="24"/>
                <w:szCs w:val="28"/>
              </w:rPr>
              <w:t>″</w:t>
            </w:r>
            <w:r>
              <w:rPr>
                <w:rFonts w:hint="eastAsia"/>
                <w:bCs/>
                <w:sz w:val="24"/>
                <w:szCs w:val="28"/>
              </w:rPr>
              <w:t>，此处新建广场。</w:t>
            </w:r>
          </w:p>
          <w:p>
            <w:pPr>
              <w:spacing w:line="360" w:lineRule="auto"/>
              <w:ind w:firstLine="480" w:firstLineChars="200"/>
              <w:contextualSpacing/>
              <w:rPr>
                <w:bCs/>
                <w:sz w:val="24"/>
                <w:szCs w:val="28"/>
              </w:rPr>
            </w:pPr>
            <w:r>
              <w:rPr>
                <w:rFonts w:hint="eastAsia"/>
                <w:bCs/>
                <w:sz w:val="24"/>
                <w:szCs w:val="28"/>
              </w:rPr>
              <w:t>项目给排水管网工程的起点坐标为</w:t>
            </w:r>
            <w:r>
              <w:rPr>
                <w:bCs/>
                <w:sz w:val="24"/>
                <w:szCs w:val="28"/>
              </w:rPr>
              <w:t>东经</w:t>
            </w:r>
            <w:r>
              <w:rPr>
                <w:rFonts w:hint="eastAsia"/>
                <w:bCs/>
                <w:sz w:val="24"/>
                <w:szCs w:val="28"/>
              </w:rPr>
              <w:t>108</w:t>
            </w:r>
            <w:r>
              <w:rPr>
                <w:bCs/>
                <w:sz w:val="24"/>
                <w:szCs w:val="28"/>
              </w:rPr>
              <w:t>°</w:t>
            </w:r>
            <w:r>
              <w:rPr>
                <w:rFonts w:hint="eastAsia"/>
                <w:bCs/>
                <w:sz w:val="24"/>
                <w:szCs w:val="28"/>
              </w:rPr>
              <w:t>46</w:t>
            </w:r>
            <w:r>
              <w:rPr>
                <w:bCs/>
                <w:sz w:val="24"/>
                <w:szCs w:val="28"/>
              </w:rPr>
              <w:t>′</w:t>
            </w:r>
            <w:r>
              <w:rPr>
                <w:rFonts w:hint="eastAsia"/>
                <w:bCs/>
                <w:sz w:val="24"/>
                <w:szCs w:val="28"/>
              </w:rPr>
              <w:t>21.37</w:t>
            </w:r>
            <w:r>
              <w:rPr>
                <w:bCs/>
                <w:sz w:val="24"/>
                <w:szCs w:val="28"/>
              </w:rPr>
              <w:t>″，北纬3</w:t>
            </w:r>
            <w:r>
              <w:rPr>
                <w:rFonts w:hint="eastAsia"/>
                <w:bCs/>
                <w:sz w:val="24"/>
                <w:szCs w:val="28"/>
              </w:rPr>
              <w:t>5</w:t>
            </w:r>
            <w:r>
              <w:rPr>
                <w:bCs/>
                <w:sz w:val="24"/>
                <w:szCs w:val="28"/>
              </w:rPr>
              <w:t>°</w:t>
            </w:r>
            <w:r>
              <w:rPr>
                <w:rFonts w:hint="eastAsia"/>
                <w:bCs/>
                <w:sz w:val="24"/>
                <w:szCs w:val="28"/>
              </w:rPr>
              <w:t>24</w:t>
            </w:r>
            <w:r>
              <w:rPr>
                <w:bCs/>
                <w:sz w:val="24"/>
                <w:szCs w:val="28"/>
              </w:rPr>
              <w:t>′</w:t>
            </w:r>
            <w:r>
              <w:rPr>
                <w:rFonts w:hint="eastAsia"/>
                <w:bCs/>
                <w:sz w:val="24"/>
                <w:szCs w:val="28"/>
              </w:rPr>
              <w:t>13.08</w:t>
            </w:r>
            <w:r>
              <w:rPr>
                <w:bCs/>
                <w:sz w:val="24"/>
                <w:szCs w:val="28"/>
              </w:rPr>
              <w:t>″</w:t>
            </w:r>
            <w:r>
              <w:rPr>
                <w:rFonts w:hint="eastAsia"/>
                <w:bCs/>
                <w:sz w:val="24"/>
                <w:szCs w:val="28"/>
              </w:rPr>
              <w:t>，终点坐标为</w:t>
            </w:r>
            <w:r>
              <w:rPr>
                <w:bCs/>
                <w:sz w:val="24"/>
                <w:szCs w:val="28"/>
              </w:rPr>
              <w:t>东经</w:t>
            </w:r>
            <w:r>
              <w:rPr>
                <w:rFonts w:hint="eastAsia"/>
                <w:bCs/>
                <w:sz w:val="24"/>
                <w:szCs w:val="28"/>
              </w:rPr>
              <w:t>108</w:t>
            </w:r>
            <w:r>
              <w:rPr>
                <w:bCs/>
                <w:sz w:val="24"/>
                <w:szCs w:val="28"/>
              </w:rPr>
              <w:t>°</w:t>
            </w:r>
            <w:r>
              <w:rPr>
                <w:rFonts w:hint="eastAsia"/>
                <w:bCs/>
                <w:sz w:val="24"/>
                <w:szCs w:val="28"/>
              </w:rPr>
              <w:t>46</w:t>
            </w:r>
            <w:r>
              <w:rPr>
                <w:bCs/>
                <w:sz w:val="24"/>
                <w:szCs w:val="28"/>
              </w:rPr>
              <w:t>′</w:t>
            </w:r>
            <w:r>
              <w:rPr>
                <w:rFonts w:hint="eastAsia"/>
                <w:bCs/>
                <w:sz w:val="24"/>
                <w:szCs w:val="28"/>
              </w:rPr>
              <w:t>33.03</w:t>
            </w:r>
            <w:r>
              <w:rPr>
                <w:bCs/>
                <w:sz w:val="24"/>
                <w:szCs w:val="28"/>
              </w:rPr>
              <w:t>″，北纬3</w:t>
            </w:r>
            <w:r>
              <w:rPr>
                <w:rFonts w:hint="eastAsia"/>
                <w:bCs/>
                <w:sz w:val="24"/>
                <w:szCs w:val="28"/>
              </w:rPr>
              <w:t>5</w:t>
            </w:r>
            <w:r>
              <w:rPr>
                <w:bCs/>
                <w:sz w:val="24"/>
                <w:szCs w:val="28"/>
              </w:rPr>
              <w:t>°</w:t>
            </w:r>
            <w:r>
              <w:rPr>
                <w:rFonts w:hint="eastAsia"/>
                <w:bCs/>
                <w:sz w:val="24"/>
                <w:szCs w:val="28"/>
              </w:rPr>
              <w:t>23</w:t>
            </w:r>
            <w:r>
              <w:rPr>
                <w:bCs/>
                <w:sz w:val="24"/>
                <w:szCs w:val="28"/>
              </w:rPr>
              <w:t>′</w:t>
            </w:r>
            <w:r>
              <w:rPr>
                <w:rFonts w:hint="eastAsia"/>
                <w:bCs/>
                <w:sz w:val="24"/>
                <w:szCs w:val="28"/>
              </w:rPr>
              <w:t>39.38</w:t>
            </w:r>
            <w:r>
              <w:rPr>
                <w:bCs/>
                <w:sz w:val="24"/>
                <w:szCs w:val="28"/>
              </w:rPr>
              <w:t>″</w:t>
            </w:r>
            <w:r>
              <w:rPr>
                <w:rFonts w:hint="eastAsia"/>
                <w:bCs/>
                <w:sz w:val="24"/>
                <w:szCs w:val="28"/>
              </w:rPr>
              <w:t>，管网北侧为省道S202，距离东风村居民区55m，南侧接新建污水处理站，四周为农田，东、西两侧为街道沿线居民和商铺。</w:t>
            </w:r>
          </w:p>
          <w:p>
            <w:pPr>
              <w:spacing w:line="360" w:lineRule="auto"/>
              <w:ind w:firstLine="480" w:firstLineChars="200"/>
              <w:contextualSpacing/>
              <w:rPr>
                <w:bCs/>
                <w:sz w:val="24"/>
                <w:szCs w:val="28"/>
              </w:rPr>
            </w:pPr>
            <w:r>
              <w:rPr>
                <w:rFonts w:hint="eastAsia"/>
                <w:bCs/>
                <w:sz w:val="24"/>
                <w:szCs w:val="28"/>
              </w:rPr>
              <w:t>项目广场工程的中心坐标为</w:t>
            </w:r>
            <w:r>
              <w:rPr>
                <w:bCs/>
                <w:sz w:val="24"/>
                <w:szCs w:val="28"/>
              </w:rPr>
              <w:t>东经</w:t>
            </w:r>
            <w:r>
              <w:rPr>
                <w:rFonts w:hint="eastAsia"/>
                <w:bCs/>
                <w:sz w:val="24"/>
                <w:szCs w:val="28"/>
              </w:rPr>
              <w:t>107</w:t>
            </w:r>
            <w:r>
              <w:rPr>
                <w:bCs/>
                <w:sz w:val="24"/>
                <w:szCs w:val="28"/>
              </w:rPr>
              <w:t>°</w:t>
            </w:r>
            <w:r>
              <w:rPr>
                <w:rFonts w:hint="eastAsia"/>
                <w:bCs/>
                <w:sz w:val="24"/>
                <w:szCs w:val="28"/>
              </w:rPr>
              <w:t>46</w:t>
            </w:r>
            <w:r>
              <w:rPr>
                <w:bCs/>
                <w:sz w:val="24"/>
                <w:szCs w:val="28"/>
              </w:rPr>
              <w:t>′</w:t>
            </w:r>
            <w:r>
              <w:rPr>
                <w:rFonts w:hint="eastAsia"/>
                <w:bCs/>
                <w:sz w:val="24"/>
                <w:szCs w:val="28"/>
              </w:rPr>
              <w:t>27.93</w:t>
            </w:r>
            <w:r>
              <w:rPr>
                <w:bCs/>
                <w:sz w:val="24"/>
                <w:szCs w:val="28"/>
              </w:rPr>
              <w:t>″，北纬3</w:t>
            </w:r>
            <w:r>
              <w:rPr>
                <w:rFonts w:hint="eastAsia"/>
                <w:bCs/>
                <w:sz w:val="24"/>
                <w:szCs w:val="28"/>
              </w:rPr>
              <w:t>5</w:t>
            </w:r>
            <w:r>
              <w:rPr>
                <w:bCs/>
                <w:sz w:val="24"/>
                <w:szCs w:val="28"/>
              </w:rPr>
              <w:t>°</w:t>
            </w:r>
            <w:r>
              <w:rPr>
                <w:rFonts w:hint="eastAsia"/>
                <w:bCs/>
                <w:sz w:val="24"/>
                <w:szCs w:val="28"/>
              </w:rPr>
              <w:t>23</w:t>
            </w:r>
            <w:r>
              <w:rPr>
                <w:bCs/>
                <w:sz w:val="24"/>
                <w:szCs w:val="28"/>
              </w:rPr>
              <w:t>′</w:t>
            </w:r>
            <w:r>
              <w:rPr>
                <w:rFonts w:hint="eastAsia"/>
                <w:bCs/>
                <w:sz w:val="24"/>
                <w:szCs w:val="28"/>
              </w:rPr>
              <w:t>55.87</w:t>
            </w:r>
            <w:r>
              <w:rPr>
                <w:bCs/>
                <w:sz w:val="24"/>
                <w:szCs w:val="28"/>
              </w:rPr>
              <w:t>″</w:t>
            </w:r>
            <w:r>
              <w:rPr>
                <w:rFonts w:hint="eastAsia"/>
                <w:bCs/>
                <w:sz w:val="24"/>
                <w:szCs w:val="28"/>
              </w:rPr>
              <w:t>，北侧为太昌主街道，西侧为省道S202，南侧靠近居民，北侧相邻村道。</w:t>
            </w:r>
          </w:p>
          <w:p>
            <w:pPr>
              <w:spacing w:line="360" w:lineRule="auto"/>
              <w:ind w:firstLine="480" w:firstLineChars="200"/>
              <w:contextualSpacing/>
              <w:rPr>
                <w:bCs/>
                <w:sz w:val="24"/>
                <w:szCs w:val="28"/>
              </w:rPr>
            </w:pPr>
            <w:r>
              <w:rPr>
                <w:rFonts w:hint="eastAsia"/>
                <w:bCs/>
                <w:sz w:val="24"/>
                <w:szCs w:val="28"/>
              </w:rPr>
              <w:t>项目污水处理站中心坐标为</w:t>
            </w:r>
            <w:r>
              <w:rPr>
                <w:bCs/>
                <w:sz w:val="24"/>
                <w:szCs w:val="28"/>
              </w:rPr>
              <w:t>东经</w:t>
            </w:r>
            <w:r>
              <w:rPr>
                <w:rFonts w:hint="eastAsia"/>
                <w:bCs/>
                <w:sz w:val="24"/>
                <w:szCs w:val="28"/>
              </w:rPr>
              <w:t>108</w:t>
            </w:r>
            <w:r>
              <w:rPr>
                <w:bCs/>
                <w:sz w:val="24"/>
                <w:szCs w:val="28"/>
              </w:rPr>
              <w:t>°</w:t>
            </w:r>
            <w:r>
              <w:rPr>
                <w:rFonts w:hint="eastAsia"/>
                <w:bCs/>
                <w:sz w:val="24"/>
                <w:szCs w:val="28"/>
              </w:rPr>
              <w:t>46</w:t>
            </w:r>
            <w:r>
              <w:rPr>
                <w:bCs/>
                <w:sz w:val="24"/>
                <w:szCs w:val="28"/>
              </w:rPr>
              <w:t>′</w:t>
            </w:r>
            <w:r>
              <w:rPr>
                <w:rFonts w:hint="eastAsia"/>
                <w:bCs/>
                <w:sz w:val="24"/>
                <w:szCs w:val="28"/>
              </w:rPr>
              <w:t>33.03</w:t>
            </w:r>
            <w:r>
              <w:rPr>
                <w:bCs/>
                <w:sz w:val="24"/>
                <w:szCs w:val="28"/>
              </w:rPr>
              <w:t>″，北纬3</w:t>
            </w:r>
            <w:r>
              <w:rPr>
                <w:rFonts w:hint="eastAsia"/>
                <w:bCs/>
                <w:sz w:val="24"/>
                <w:szCs w:val="28"/>
              </w:rPr>
              <w:t>5</w:t>
            </w:r>
            <w:r>
              <w:rPr>
                <w:bCs/>
                <w:sz w:val="24"/>
                <w:szCs w:val="28"/>
              </w:rPr>
              <w:t>°</w:t>
            </w:r>
            <w:r>
              <w:rPr>
                <w:rFonts w:hint="eastAsia"/>
                <w:bCs/>
                <w:sz w:val="24"/>
                <w:szCs w:val="28"/>
              </w:rPr>
              <w:t>23</w:t>
            </w:r>
            <w:r>
              <w:rPr>
                <w:bCs/>
                <w:sz w:val="24"/>
                <w:szCs w:val="28"/>
              </w:rPr>
              <w:t>′</w:t>
            </w:r>
            <w:r>
              <w:rPr>
                <w:rFonts w:hint="eastAsia"/>
                <w:bCs/>
                <w:sz w:val="24"/>
                <w:szCs w:val="28"/>
              </w:rPr>
              <w:t>39.38</w:t>
            </w:r>
            <w:r>
              <w:rPr>
                <w:bCs/>
                <w:sz w:val="24"/>
                <w:szCs w:val="28"/>
              </w:rPr>
              <w:t>″</w:t>
            </w:r>
            <w:r>
              <w:rPr>
                <w:rFonts w:hint="eastAsia"/>
                <w:bCs/>
                <w:sz w:val="24"/>
                <w:szCs w:val="28"/>
              </w:rPr>
              <w:t>，为太昌乡镇主街道南侧500m，四周均为农田，西侧靠近村道。</w:t>
            </w:r>
          </w:p>
          <w:p>
            <w:pPr>
              <w:spacing w:line="360" w:lineRule="auto"/>
              <w:ind w:firstLine="480" w:firstLineChars="200"/>
              <w:contextualSpacing/>
              <w:rPr>
                <w:sz w:val="24"/>
                <w:szCs w:val="24"/>
              </w:rPr>
            </w:pPr>
            <w:r>
              <w:rPr>
                <w:rFonts w:hint="eastAsia"/>
                <w:sz w:val="24"/>
                <w:szCs w:val="24"/>
              </w:rPr>
              <w:t>本项目外环境关系图见附图10。</w:t>
            </w:r>
          </w:p>
          <w:p>
            <w:pPr>
              <w:spacing w:line="360" w:lineRule="auto"/>
              <w:ind w:firstLine="482" w:firstLineChars="200"/>
              <w:contextualSpacing/>
              <w:rPr>
                <w:b/>
                <w:sz w:val="24"/>
                <w:szCs w:val="24"/>
              </w:rPr>
            </w:pPr>
            <w:r>
              <w:rPr>
                <w:rFonts w:hint="eastAsia"/>
                <w:b/>
                <w:sz w:val="24"/>
                <w:szCs w:val="24"/>
              </w:rPr>
              <w:t>2、主要环境保护级别</w:t>
            </w:r>
          </w:p>
          <w:p>
            <w:pPr>
              <w:spacing w:line="360" w:lineRule="auto"/>
              <w:ind w:firstLine="480" w:firstLineChars="200"/>
              <w:contextualSpacing/>
              <w:rPr>
                <w:sz w:val="24"/>
                <w:szCs w:val="24"/>
              </w:rPr>
            </w:pPr>
            <w:r>
              <w:rPr>
                <w:sz w:val="24"/>
                <w:szCs w:val="24"/>
              </w:rPr>
              <w:t>（1）地表水环境</w:t>
            </w:r>
          </w:p>
          <w:p>
            <w:pPr>
              <w:spacing w:line="360" w:lineRule="auto"/>
              <w:ind w:firstLine="480" w:firstLineChars="200"/>
              <w:contextualSpacing/>
              <w:rPr>
                <w:sz w:val="24"/>
                <w:szCs w:val="24"/>
              </w:rPr>
            </w:pPr>
            <w:bookmarkStart w:id="18" w:name="_Toc92871817"/>
            <w:bookmarkStart w:id="19" w:name="_Toc92776270"/>
            <w:bookmarkStart w:id="20" w:name="_Toc102273766"/>
            <w:bookmarkStart w:id="21" w:name="_Toc92793780"/>
            <w:bookmarkStart w:id="22" w:name="_Toc97606460"/>
            <w:bookmarkStart w:id="23" w:name="_Toc101930747"/>
            <w:bookmarkStart w:id="24" w:name="_Toc89590672"/>
            <w:bookmarkStart w:id="25" w:name="_Toc92793700"/>
            <w:bookmarkStart w:id="26" w:name="_Toc92871992"/>
            <w:bookmarkStart w:id="27" w:name="_Toc101931643"/>
            <w:bookmarkStart w:id="28" w:name="_Toc144127280"/>
            <w:bookmarkStart w:id="29" w:name="_Toc111171009"/>
            <w:bookmarkStart w:id="30" w:name="_Toc90108241"/>
            <w:bookmarkStart w:id="31" w:name="_Toc92856371"/>
            <w:bookmarkStart w:id="32" w:name="_Toc111170635"/>
            <w:bookmarkStart w:id="33" w:name="_Toc102271701"/>
            <w:r>
              <w:rPr>
                <w:sz w:val="24"/>
                <w:szCs w:val="24"/>
              </w:rPr>
              <w:t>主要保护目标是</w:t>
            </w:r>
            <w:r>
              <w:rPr>
                <w:rFonts w:hint="eastAsia"/>
                <w:sz w:val="24"/>
                <w:szCs w:val="24"/>
              </w:rPr>
              <w:t>老虎沟</w:t>
            </w:r>
            <w:r>
              <w:rPr>
                <w:sz w:val="24"/>
                <w:szCs w:val="24"/>
              </w:rPr>
              <w:t>，按《地表水环境质量标准》（GB3838-2002）中</w:t>
            </w:r>
            <w:r>
              <w:rPr>
                <w:rFonts w:hint="eastAsia" w:ascii="宋体" w:hAnsi="宋体" w:cs="宋体"/>
                <w:sz w:val="24"/>
                <w:szCs w:val="24"/>
              </w:rPr>
              <w:t>Ⅳ</w:t>
            </w:r>
            <w:r>
              <w:rPr>
                <w:sz w:val="24"/>
                <w:szCs w:val="24"/>
              </w:rPr>
              <w:t>类标准保护</w:t>
            </w:r>
            <w:r>
              <w:rPr>
                <w:rFonts w:hint="eastAsia"/>
                <w:sz w:val="24"/>
                <w:szCs w:val="24"/>
              </w:rPr>
              <w:t>，项目所在地区域老虎沟与宁县例行监测断面宁县桥头位置关系见附图11。</w:t>
            </w:r>
          </w:p>
          <w:p>
            <w:pPr>
              <w:spacing w:line="360" w:lineRule="auto"/>
              <w:ind w:firstLine="480" w:firstLineChars="200"/>
              <w:contextualSpacing/>
              <w:rPr>
                <w:sz w:val="24"/>
                <w:szCs w:val="24"/>
              </w:rPr>
            </w:pPr>
            <w:r>
              <w:rPr>
                <w:sz w:val="24"/>
                <w:szCs w:val="24"/>
              </w:rPr>
              <w:t>（2） 地下水环境</w:t>
            </w:r>
          </w:p>
          <w:p>
            <w:pPr>
              <w:spacing w:line="360" w:lineRule="auto"/>
              <w:ind w:firstLine="480" w:firstLineChars="200"/>
              <w:contextualSpacing/>
              <w:rPr>
                <w:sz w:val="24"/>
                <w:szCs w:val="24"/>
              </w:rPr>
            </w:pPr>
            <w:r>
              <w:rPr>
                <w:sz w:val="24"/>
                <w:szCs w:val="24"/>
              </w:rPr>
              <w:t>主要保护目标是本项目所在区域的地下水环境，按《地下水质量标准》（GB/T14848-</w:t>
            </w:r>
            <w:r>
              <w:rPr>
                <w:rFonts w:hint="eastAsia"/>
                <w:sz w:val="24"/>
                <w:szCs w:val="24"/>
              </w:rPr>
              <w:t>2017</w:t>
            </w:r>
            <w:r>
              <w:rPr>
                <w:sz w:val="24"/>
                <w:szCs w:val="24"/>
              </w:rPr>
              <w:t>）中</w:t>
            </w:r>
            <w:r>
              <w:rPr>
                <w:rFonts w:hint="eastAsia" w:ascii="宋体" w:hAnsi="宋体" w:cs="宋体"/>
                <w:sz w:val="24"/>
                <w:szCs w:val="24"/>
              </w:rPr>
              <w:t>Ⅲ</w:t>
            </w:r>
            <w:r>
              <w:rPr>
                <w:sz w:val="24"/>
                <w:szCs w:val="24"/>
              </w:rPr>
              <w:t>类标准保护。</w:t>
            </w:r>
          </w:p>
          <w:p>
            <w:pPr>
              <w:spacing w:line="360" w:lineRule="auto"/>
              <w:ind w:firstLine="480" w:firstLineChars="200"/>
              <w:contextualSpacing/>
              <w:rPr>
                <w:sz w:val="24"/>
                <w:szCs w:val="24"/>
              </w:rPr>
            </w:pPr>
            <w:r>
              <w:rPr>
                <w:sz w:val="24"/>
                <w:szCs w:val="24"/>
              </w:rPr>
              <w:t>（3） 空气环境</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pPr>
              <w:spacing w:line="360" w:lineRule="auto"/>
              <w:ind w:firstLine="480" w:firstLineChars="200"/>
              <w:contextualSpacing/>
              <w:rPr>
                <w:sz w:val="24"/>
                <w:szCs w:val="24"/>
              </w:rPr>
            </w:pPr>
            <w:r>
              <w:rPr>
                <w:sz w:val="24"/>
                <w:szCs w:val="24"/>
              </w:rPr>
              <w:t>环境空气保护目标主要为项目</w:t>
            </w:r>
            <w:r>
              <w:rPr>
                <w:rFonts w:hint="eastAsia"/>
                <w:sz w:val="24"/>
                <w:szCs w:val="24"/>
              </w:rPr>
              <w:t>区域</w:t>
            </w:r>
            <w:r>
              <w:rPr>
                <w:sz w:val="24"/>
                <w:szCs w:val="24"/>
              </w:rPr>
              <w:t>周边的村庄等，按照《环境空气质量标准》（GB3095-2012）二级标准保护。</w:t>
            </w:r>
            <w:r>
              <w:rPr>
                <w:rFonts w:hint="eastAsia"/>
                <w:sz w:val="24"/>
                <w:szCs w:val="24"/>
              </w:rPr>
              <w:t>氨和硫化氢按《工业企业设计卫生标准》（TJ36-1979）保护。</w:t>
            </w:r>
          </w:p>
          <w:p>
            <w:pPr>
              <w:spacing w:line="360" w:lineRule="auto"/>
              <w:ind w:firstLine="480" w:firstLineChars="200"/>
              <w:contextualSpacing/>
              <w:rPr>
                <w:sz w:val="24"/>
                <w:szCs w:val="24"/>
              </w:rPr>
            </w:pPr>
            <w:r>
              <w:rPr>
                <w:sz w:val="24"/>
                <w:szCs w:val="24"/>
              </w:rPr>
              <w:t>（4） 声环境</w:t>
            </w:r>
          </w:p>
          <w:p>
            <w:pPr>
              <w:spacing w:line="360" w:lineRule="auto"/>
              <w:ind w:firstLine="480" w:firstLineChars="200"/>
              <w:contextualSpacing/>
              <w:rPr>
                <w:sz w:val="24"/>
                <w:szCs w:val="24"/>
              </w:rPr>
            </w:pPr>
            <w:r>
              <w:rPr>
                <w:sz w:val="24"/>
                <w:szCs w:val="24"/>
              </w:rPr>
              <w:t>评价区内的声环境质量按照《声环境质量标准》（GB3096-2008）2类</w:t>
            </w:r>
            <w:r>
              <w:rPr>
                <w:rFonts w:hint="eastAsia"/>
                <w:sz w:val="24"/>
                <w:szCs w:val="24"/>
              </w:rPr>
              <w:t>和4a类</w:t>
            </w:r>
            <w:r>
              <w:rPr>
                <w:sz w:val="24"/>
                <w:szCs w:val="24"/>
              </w:rPr>
              <w:t>标准保护。</w:t>
            </w:r>
          </w:p>
          <w:p>
            <w:pPr>
              <w:spacing w:line="360" w:lineRule="auto"/>
              <w:ind w:firstLine="482" w:firstLineChars="200"/>
              <w:contextualSpacing/>
              <w:rPr>
                <w:b/>
                <w:sz w:val="24"/>
                <w:szCs w:val="24"/>
              </w:rPr>
            </w:pPr>
            <w:r>
              <w:rPr>
                <w:rFonts w:hint="eastAsia"/>
                <w:b/>
                <w:sz w:val="24"/>
                <w:szCs w:val="24"/>
              </w:rPr>
              <w:t>3、主要环境保护目标</w:t>
            </w:r>
          </w:p>
          <w:p>
            <w:pPr>
              <w:spacing w:line="360" w:lineRule="auto"/>
              <w:ind w:firstLine="480" w:firstLineChars="200"/>
              <w:contextualSpacing/>
              <w:rPr>
                <w:sz w:val="24"/>
                <w:szCs w:val="24"/>
              </w:rPr>
            </w:pPr>
            <w:r>
              <w:rPr>
                <w:rFonts w:hint="eastAsia"/>
                <w:sz w:val="24"/>
                <w:szCs w:val="24"/>
              </w:rPr>
              <w:t>拟建项目为太昌镇东风村易地扶贫搬迁附属工程，主要为街道主干道路面维修、新建活动广场、给排水管网建设、附属照明工程及污水站的建设，项目区域周围环境敏感点调查结果见表22。</w:t>
            </w:r>
          </w:p>
          <w:p>
            <w:pPr>
              <w:spacing w:line="360" w:lineRule="auto"/>
              <w:ind w:firstLine="422" w:firstLineChars="200"/>
              <w:contextualSpacing/>
              <w:jc w:val="center"/>
              <w:rPr>
                <w:b/>
                <w:bCs/>
                <w:szCs w:val="21"/>
              </w:rPr>
            </w:pPr>
            <w:r>
              <w:rPr>
                <w:rFonts w:hint="eastAsia"/>
                <w:b/>
                <w:bCs/>
                <w:szCs w:val="21"/>
              </w:rPr>
              <w:t>表22</w:t>
            </w:r>
            <w:r>
              <w:rPr>
                <w:b/>
                <w:bCs/>
                <w:szCs w:val="21"/>
              </w:rPr>
              <w:t xml:space="preserve">  </w:t>
            </w:r>
            <w:r>
              <w:rPr>
                <w:rFonts w:hint="eastAsia"/>
                <w:b/>
                <w:bCs/>
                <w:szCs w:val="21"/>
              </w:rPr>
              <w:t>环境保护目标一览表</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37"/>
              <w:gridCol w:w="894"/>
              <w:gridCol w:w="1527"/>
              <w:gridCol w:w="1549"/>
              <w:gridCol w:w="1328"/>
              <w:gridCol w:w="24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restart"/>
                  <w:vAlign w:val="center"/>
                </w:tcPr>
                <w:p>
                  <w:pPr>
                    <w:adjustRightInd w:val="0"/>
                    <w:snapToGrid w:val="0"/>
                    <w:spacing w:line="240" w:lineRule="exact"/>
                    <w:jc w:val="center"/>
                    <w:rPr>
                      <w:b/>
                      <w:szCs w:val="21"/>
                    </w:rPr>
                  </w:pPr>
                  <w:r>
                    <w:rPr>
                      <w:b/>
                      <w:szCs w:val="21"/>
                    </w:rPr>
                    <w:t>环境</w:t>
                  </w:r>
                  <w:r>
                    <w:rPr>
                      <w:rFonts w:hint="eastAsia"/>
                      <w:b/>
                      <w:szCs w:val="21"/>
                    </w:rPr>
                    <w:t>要素</w:t>
                  </w:r>
                </w:p>
              </w:tc>
              <w:tc>
                <w:tcPr>
                  <w:tcW w:w="2421" w:type="dxa"/>
                  <w:gridSpan w:val="2"/>
                  <w:vAlign w:val="center"/>
                </w:tcPr>
                <w:p>
                  <w:pPr>
                    <w:jc w:val="center"/>
                    <w:rPr>
                      <w:b/>
                      <w:szCs w:val="21"/>
                    </w:rPr>
                  </w:pPr>
                  <w:r>
                    <w:rPr>
                      <w:b/>
                      <w:snapToGrid w:val="0"/>
                      <w:w w:val="75"/>
                      <w:kern w:val="0"/>
                      <w:szCs w:val="21"/>
                    </w:rPr>
                    <w:t>保护目标性质及名称</w:t>
                  </w:r>
                </w:p>
              </w:tc>
              <w:tc>
                <w:tcPr>
                  <w:tcW w:w="1549" w:type="dxa"/>
                  <w:vMerge w:val="restart"/>
                  <w:vAlign w:val="center"/>
                </w:tcPr>
                <w:p>
                  <w:pPr>
                    <w:jc w:val="center"/>
                    <w:rPr>
                      <w:b/>
                      <w:szCs w:val="21"/>
                    </w:rPr>
                  </w:pPr>
                  <w:r>
                    <w:rPr>
                      <w:b/>
                      <w:snapToGrid w:val="0"/>
                      <w:w w:val="75"/>
                      <w:kern w:val="0"/>
                      <w:szCs w:val="21"/>
                    </w:rPr>
                    <w:t>相对厂界</w:t>
                  </w:r>
                  <w:r>
                    <w:rPr>
                      <w:rFonts w:hint="eastAsia"/>
                      <w:b/>
                      <w:snapToGrid w:val="0"/>
                      <w:w w:val="75"/>
                      <w:kern w:val="0"/>
                      <w:szCs w:val="21"/>
                    </w:rPr>
                    <w:t>方位/</w:t>
                  </w:r>
                  <w:r>
                    <w:rPr>
                      <w:b/>
                      <w:snapToGrid w:val="0"/>
                      <w:w w:val="75"/>
                      <w:kern w:val="0"/>
                      <w:szCs w:val="21"/>
                    </w:rPr>
                    <w:t>距离</w:t>
                  </w:r>
                </w:p>
              </w:tc>
              <w:tc>
                <w:tcPr>
                  <w:tcW w:w="1328" w:type="dxa"/>
                  <w:vMerge w:val="restart"/>
                  <w:vAlign w:val="center"/>
                </w:tcPr>
                <w:p>
                  <w:pPr>
                    <w:adjustRightInd w:val="0"/>
                    <w:snapToGrid w:val="0"/>
                    <w:spacing w:line="240" w:lineRule="exact"/>
                    <w:jc w:val="center"/>
                    <w:rPr>
                      <w:b/>
                      <w:szCs w:val="21"/>
                    </w:rPr>
                  </w:pPr>
                  <w:r>
                    <w:rPr>
                      <w:rFonts w:hint="eastAsia"/>
                      <w:b/>
                      <w:szCs w:val="21"/>
                    </w:rPr>
                    <w:t>规模</w:t>
                  </w:r>
                </w:p>
              </w:tc>
              <w:tc>
                <w:tcPr>
                  <w:tcW w:w="2466" w:type="dxa"/>
                  <w:vMerge w:val="restart"/>
                  <w:vAlign w:val="center"/>
                </w:tcPr>
                <w:p>
                  <w:pPr>
                    <w:adjustRightInd w:val="0"/>
                    <w:snapToGrid w:val="0"/>
                    <w:spacing w:line="240" w:lineRule="exact"/>
                    <w:jc w:val="center"/>
                    <w:rPr>
                      <w:b/>
                      <w:szCs w:val="21"/>
                    </w:rPr>
                  </w:pPr>
                  <w:r>
                    <w:rPr>
                      <w:b/>
                      <w:szCs w:val="21"/>
                    </w:rPr>
                    <w:t>保护等级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Align w:val="center"/>
                </w:tcPr>
                <w:p>
                  <w:pPr>
                    <w:adjustRightInd w:val="0"/>
                    <w:snapToGrid w:val="0"/>
                    <w:spacing w:line="240" w:lineRule="exact"/>
                    <w:jc w:val="center"/>
                    <w:rPr>
                      <w:szCs w:val="21"/>
                    </w:rPr>
                  </w:pPr>
                  <w:r>
                    <w:rPr>
                      <w:szCs w:val="21"/>
                    </w:rPr>
                    <w:t>性质</w:t>
                  </w:r>
                </w:p>
              </w:tc>
              <w:tc>
                <w:tcPr>
                  <w:tcW w:w="1527" w:type="dxa"/>
                  <w:vAlign w:val="center"/>
                </w:tcPr>
                <w:p>
                  <w:pPr>
                    <w:adjustRightInd w:val="0"/>
                    <w:snapToGrid w:val="0"/>
                    <w:spacing w:line="240" w:lineRule="exact"/>
                    <w:jc w:val="center"/>
                    <w:rPr>
                      <w:szCs w:val="21"/>
                    </w:rPr>
                  </w:pPr>
                  <w:r>
                    <w:rPr>
                      <w:szCs w:val="21"/>
                    </w:rPr>
                    <w:t>名称</w:t>
                  </w:r>
                </w:p>
              </w:tc>
              <w:tc>
                <w:tcPr>
                  <w:tcW w:w="1549" w:type="dxa"/>
                  <w:vMerge w:val="continue"/>
                  <w:vAlign w:val="center"/>
                </w:tcPr>
                <w:p>
                  <w:pPr>
                    <w:adjustRightInd w:val="0"/>
                    <w:snapToGrid w:val="0"/>
                    <w:spacing w:line="240" w:lineRule="exact"/>
                    <w:jc w:val="center"/>
                    <w:rPr>
                      <w:szCs w:val="21"/>
                    </w:rPr>
                  </w:pPr>
                </w:p>
              </w:tc>
              <w:tc>
                <w:tcPr>
                  <w:tcW w:w="1328" w:type="dxa"/>
                  <w:vMerge w:val="continue"/>
                  <w:vAlign w:val="center"/>
                </w:tcPr>
                <w:p>
                  <w:pPr>
                    <w:adjustRightInd w:val="0"/>
                    <w:snapToGrid w:val="0"/>
                    <w:spacing w:line="240" w:lineRule="exact"/>
                    <w:jc w:val="center"/>
                    <w:rPr>
                      <w:szCs w:val="21"/>
                    </w:rPr>
                  </w:pPr>
                </w:p>
              </w:tc>
              <w:tc>
                <w:tcPr>
                  <w:tcW w:w="2466" w:type="dxa"/>
                  <w:vMerge w:val="continue"/>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8901" w:type="dxa"/>
                  <w:gridSpan w:val="6"/>
                  <w:vAlign w:val="center"/>
                </w:tcPr>
                <w:p>
                  <w:pPr>
                    <w:adjustRightInd w:val="0"/>
                    <w:snapToGrid w:val="0"/>
                    <w:spacing w:line="240" w:lineRule="exact"/>
                    <w:jc w:val="center"/>
                    <w:rPr>
                      <w:b/>
                      <w:szCs w:val="21"/>
                    </w:rPr>
                  </w:pPr>
                  <w:r>
                    <w:rPr>
                      <w:rFonts w:hint="eastAsia"/>
                      <w:b/>
                      <w:szCs w:val="21"/>
                    </w:rPr>
                    <w:t>道路工程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restart"/>
                  <w:vAlign w:val="center"/>
                </w:tcPr>
                <w:p>
                  <w:pPr>
                    <w:adjustRightInd w:val="0"/>
                    <w:snapToGrid w:val="0"/>
                    <w:spacing w:line="240" w:lineRule="exact"/>
                    <w:jc w:val="center"/>
                    <w:rPr>
                      <w:szCs w:val="21"/>
                    </w:rPr>
                  </w:pPr>
                  <w:r>
                    <w:rPr>
                      <w:szCs w:val="21"/>
                    </w:rPr>
                    <w:t>环境空气</w:t>
                  </w:r>
                </w:p>
              </w:tc>
              <w:tc>
                <w:tcPr>
                  <w:tcW w:w="894" w:type="dxa"/>
                  <w:vAlign w:val="center"/>
                </w:tcPr>
                <w:p>
                  <w:pPr>
                    <w:adjustRightInd w:val="0"/>
                    <w:snapToGrid w:val="0"/>
                    <w:spacing w:line="240" w:lineRule="exact"/>
                    <w:jc w:val="center"/>
                    <w:rPr>
                      <w:szCs w:val="21"/>
                    </w:rPr>
                  </w:pPr>
                  <w:r>
                    <w:rPr>
                      <w:rFonts w:hint="eastAsia"/>
                      <w:szCs w:val="21"/>
                    </w:rPr>
                    <w:t>乡政府</w:t>
                  </w:r>
                </w:p>
              </w:tc>
              <w:tc>
                <w:tcPr>
                  <w:tcW w:w="1527" w:type="dxa"/>
                  <w:vAlign w:val="center"/>
                </w:tcPr>
                <w:p>
                  <w:pPr>
                    <w:adjustRightInd w:val="0"/>
                    <w:snapToGrid w:val="0"/>
                    <w:spacing w:line="240" w:lineRule="exact"/>
                    <w:jc w:val="center"/>
                    <w:rPr>
                      <w:szCs w:val="21"/>
                    </w:rPr>
                  </w:pPr>
                  <w:r>
                    <w:rPr>
                      <w:rFonts w:hint="eastAsia"/>
                      <w:szCs w:val="21"/>
                    </w:rPr>
                    <w:t>太昌镇政府</w:t>
                  </w:r>
                </w:p>
              </w:tc>
              <w:tc>
                <w:tcPr>
                  <w:tcW w:w="1549" w:type="dxa"/>
                  <w:vAlign w:val="center"/>
                </w:tcPr>
                <w:p>
                  <w:pPr>
                    <w:adjustRightInd w:val="0"/>
                    <w:snapToGrid w:val="0"/>
                    <w:spacing w:line="240" w:lineRule="exact"/>
                    <w:jc w:val="center"/>
                    <w:rPr>
                      <w:szCs w:val="21"/>
                    </w:rPr>
                  </w:pPr>
                  <w:r>
                    <w:rPr>
                      <w:rFonts w:hint="eastAsia"/>
                      <w:szCs w:val="21"/>
                    </w:rPr>
                    <w:t>E/15m</w:t>
                  </w:r>
                </w:p>
              </w:tc>
              <w:tc>
                <w:tcPr>
                  <w:tcW w:w="1328" w:type="dxa"/>
                  <w:vAlign w:val="center"/>
                </w:tcPr>
                <w:p>
                  <w:pPr>
                    <w:adjustRightInd w:val="0"/>
                    <w:snapToGrid w:val="0"/>
                    <w:spacing w:line="240" w:lineRule="exact"/>
                    <w:jc w:val="center"/>
                    <w:rPr>
                      <w:szCs w:val="21"/>
                    </w:rPr>
                  </w:pPr>
                  <w:r>
                    <w:rPr>
                      <w:rFonts w:hint="eastAsia"/>
                      <w:szCs w:val="21"/>
                    </w:rPr>
                    <w:t>约30人</w:t>
                  </w:r>
                </w:p>
              </w:tc>
              <w:tc>
                <w:tcPr>
                  <w:tcW w:w="2466" w:type="dxa"/>
                  <w:vMerge w:val="restart"/>
                  <w:shd w:val="clear" w:color="auto" w:fill="auto"/>
                  <w:vAlign w:val="center"/>
                </w:tcPr>
                <w:p>
                  <w:pPr>
                    <w:adjustRightInd w:val="0"/>
                    <w:snapToGrid w:val="0"/>
                    <w:spacing w:line="240" w:lineRule="exact"/>
                    <w:jc w:val="center"/>
                    <w:rPr>
                      <w:szCs w:val="21"/>
                    </w:rPr>
                  </w:pPr>
                  <w:r>
                    <w:rPr>
                      <w:szCs w:val="21"/>
                    </w:rPr>
                    <w:t>《环境空气质量标准》（GB3095-2012）二级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Align w:val="center"/>
                </w:tcPr>
                <w:p>
                  <w:pPr>
                    <w:adjustRightInd w:val="0"/>
                    <w:snapToGrid w:val="0"/>
                    <w:spacing w:line="240" w:lineRule="exact"/>
                    <w:jc w:val="center"/>
                    <w:rPr>
                      <w:szCs w:val="21"/>
                    </w:rPr>
                  </w:pPr>
                  <w:r>
                    <w:rPr>
                      <w:rFonts w:hint="eastAsia"/>
                      <w:szCs w:val="21"/>
                    </w:rPr>
                    <w:t>卫生院</w:t>
                  </w:r>
                </w:p>
              </w:tc>
              <w:tc>
                <w:tcPr>
                  <w:tcW w:w="1527" w:type="dxa"/>
                  <w:vAlign w:val="center"/>
                </w:tcPr>
                <w:p>
                  <w:pPr>
                    <w:adjustRightInd w:val="0"/>
                    <w:snapToGrid w:val="0"/>
                    <w:spacing w:line="240" w:lineRule="exact"/>
                    <w:jc w:val="center"/>
                    <w:rPr>
                      <w:szCs w:val="21"/>
                    </w:rPr>
                  </w:pPr>
                  <w:r>
                    <w:rPr>
                      <w:rFonts w:hint="eastAsia"/>
                      <w:szCs w:val="21"/>
                    </w:rPr>
                    <w:t>太昌卫生院</w:t>
                  </w:r>
                </w:p>
              </w:tc>
              <w:tc>
                <w:tcPr>
                  <w:tcW w:w="1549" w:type="dxa"/>
                  <w:vAlign w:val="center"/>
                </w:tcPr>
                <w:p>
                  <w:pPr>
                    <w:adjustRightInd w:val="0"/>
                    <w:snapToGrid w:val="0"/>
                    <w:spacing w:line="240" w:lineRule="exact"/>
                    <w:jc w:val="center"/>
                    <w:rPr>
                      <w:szCs w:val="21"/>
                    </w:rPr>
                  </w:pPr>
                  <w:r>
                    <w:rPr>
                      <w:rFonts w:hint="eastAsia"/>
                      <w:szCs w:val="21"/>
                    </w:rPr>
                    <w:t>E/20m</w:t>
                  </w:r>
                </w:p>
              </w:tc>
              <w:tc>
                <w:tcPr>
                  <w:tcW w:w="1328" w:type="dxa"/>
                  <w:vAlign w:val="center"/>
                </w:tcPr>
                <w:p>
                  <w:pPr>
                    <w:adjustRightInd w:val="0"/>
                    <w:snapToGrid w:val="0"/>
                    <w:spacing w:line="240" w:lineRule="exact"/>
                    <w:jc w:val="center"/>
                    <w:rPr>
                      <w:szCs w:val="21"/>
                    </w:rPr>
                  </w:pPr>
                  <w:r>
                    <w:rPr>
                      <w:rFonts w:hint="eastAsia"/>
                      <w:szCs w:val="21"/>
                    </w:rPr>
                    <w:t>约45人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Align w:val="center"/>
                </w:tcPr>
                <w:p>
                  <w:pPr>
                    <w:adjustRightInd w:val="0"/>
                    <w:snapToGrid w:val="0"/>
                    <w:spacing w:line="240" w:lineRule="exact"/>
                    <w:jc w:val="center"/>
                    <w:rPr>
                      <w:szCs w:val="21"/>
                    </w:rPr>
                  </w:pPr>
                  <w:r>
                    <w:rPr>
                      <w:szCs w:val="21"/>
                    </w:rPr>
                    <w:t>居住</w:t>
                  </w:r>
                </w:p>
              </w:tc>
              <w:tc>
                <w:tcPr>
                  <w:tcW w:w="1527" w:type="dxa"/>
                  <w:vAlign w:val="center"/>
                </w:tcPr>
                <w:p>
                  <w:pPr>
                    <w:adjustRightInd w:val="0"/>
                    <w:snapToGrid w:val="0"/>
                    <w:spacing w:line="240" w:lineRule="exact"/>
                    <w:jc w:val="center"/>
                    <w:rPr>
                      <w:szCs w:val="21"/>
                    </w:rPr>
                  </w:pPr>
                  <w:r>
                    <w:rPr>
                      <w:rFonts w:hint="eastAsia"/>
                      <w:szCs w:val="21"/>
                    </w:rPr>
                    <w:t>街道居民</w:t>
                  </w:r>
                </w:p>
              </w:tc>
              <w:tc>
                <w:tcPr>
                  <w:tcW w:w="1549" w:type="dxa"/>
                  <w:vAlign w:val="center"/>
                </w:tcPr>
                <w:p>
                  <w:pPr>
                    <w:adjustRightInd w:val="0"/>
                    <w:snapToGrid w:val="0"/>
                    <w:spacing w:line="240" w:lineRule="exact"/>
                    <w:jc w:val="center"/>
                    <w:rPr>
                      <w:szCs w:val="21"/>
                    </w:rPr>
                  </w:pPr>
                  <w:r>
                    <w:rPr>
                      <w:rFonts w:hint="eastAsia"/>
                      <w:szCs w:val="21"/>
                    </w:rPr>
                    <w:t>公路两侧15m</w:t>
                  </w:r>
                </w:p>
              </w:tc>
              <w:tc>
                <w:tcPr>
                  <w:tcW w:w="1328" w:type="dxa"/>
                  <w:vAlign w:val="center"/>
                </w:tcPr>
                <w:p>
                  <w:pPr>
                    <w:adjustRightInd w:val="0"/>
                    <w:snapToGrid w:val="0"/>
                    <w:spacing w:line="240" w:lineRule="exact"/>
                    <w:jc w:val="center"/>
                    <w:rPr>
                      <w:szCs w:val="21"/>
                    </w:rPr>
                  </w:pPr>
                  <w:r>
                    <w:rPr>
                      <w:rFonts w:hint="eastAsia"/>
                      <w:szCs w:val="21"/>
                    </w:rPr>
                    <w:t>约3200人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restart"/>
                  <w:vAlign w:val="center"/>
                </w:tcPr>
                <w:p>
                  <w:pPr>
                    <w:adjustRightInd w:val="0"/>
                    <w:snapToGrid w:val="0"/>
                    <w:spacing w:line="240" w:lineRule="exact"/>
                    <w:jc w:val="center"/>
                    <w:rPr>
                      <w:szCs w:val="21"/>
                    </w:rPr>
                  </w:pPr>
                  <w:r>
                    <w:rPr>
                      <w:rFonts w:hint="eastAsia"/>
                      <w:szCs w:val="21"/>
                    </w:rPr>
                    <w:t>学校</w:t>
                  </w:r>
                </w:p>
              </w:tc>
              <w:tc>
                <w:tcPr>
                  <w:tcW w:w="1527" w:type="dxa"/>
                  <w:vAlign w:val="center"/>
                </w:tcPr>
                <w:p>
                  <w:pPr>
                    <w:adjustRightInd w:val="0"/>
                    <w:snapToGrid w:val="0"/>
                    <w:spacing w:line="240" w:lineRule="exact"/>
                    <w:jc w:val="center"/>
                    <w:rPr>
                      <w:szCs w:val="21"/>
                    </w:rPr>
                  </w:pPr>
                  <w:r>
                    <w:rPr>
                      <w:rFonts w:hint="eastAsia"/>
                      <w:szCs w:val="21"/>
                    </w:rPr>
                    <w:t>联合小学</w:t>
                  </w:r>
                </w:p>
              </w:tc>
              <w:tc>
                <w:tcPr>
                  <w:tcW w:w="1549" w:type="dxa"/>
                  <w:vAlign w:val="center"/>
                </w:tcPr>
                <w:p>
                  <w:pPr>
                    <w:adjustRightInd w:val="0"/>
                    <w:snapToGrid w:val="0"/>
                    <w:spacing w:line="240" w:lineRule="exact"/>
                    <w:jc w:val="center"/>
                    <w:rPr>
                      <w:szCs w:val="21"/>
                    </w:rPr>
                  </w:pPr>
                  <w:r>
                    <w:rPr>
                      <w:rFonts w:hint="eastAsia"/>
                      <w:szCs w:val="21"/>
                    </w:rPr>
                    <w:t>W/180m</w:t>
                  </w:r>
                </w:p>
              </w:tc>
              <w:tc>
                <w:tcPr>
                  <w:tcW w:w="1328" w:type="dxa"/>
                  <w:vAlign w:val="center"/>
                </w:tcPr>
                <w:p>
                  <w:pPr>
                    <w:adjustRightInd w:val="0"/>
                    <w:snapToGrid w:val="0"/>
                    <w:spacing w:line="240" w:lineRule="exact"/>
                    <w:jc w:val="center"/>
                    <w:rPr>
                      <w:szCs w:val="21"/>
                    </w:rPr>
                  </w:pPr>
                  <w:r>
                    <w:rPr>
                      <w:rFonts w:hint="eastAsia"/>
                      <w:szCs w:val="21"/>
                    </w:rPr>
                    <w:t>约240人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太昌初级中学</w:t>
                  </w:r>
                </w:p>
              </w:tc>
              <w:tc>
                <w:tcPr>
                  <w:tcW w:w="1549" w:type="dxa"/>
                  <w:vAlign w:val="center"/>
                </w:tcPr>
                <w:p>
                  <w:pPr>
                    <w:adjustRightInd w:val="0"/>
                    <w:snapToGrid w:val="0"/>
                    <w:spacing w:line="240" w:lineRule="exact"/>
                    <w:jc w:val="center"/>
                    <w:rPr>
                      <w:szCs w:val="21"/>
                    </w:rPr>
                  </w:pPr>
                  <w:r>
                    <w:rPr>
                      <w:rFonts w:hint="eastAsia"/>
                      <w:szCs w:val="21"/>
                    </w:rPr>
                    <w:t>SE/130</w:t>
                  </w:r>
                  <w:r>
                    <w:rPr>
                      <w:szCs w:val="21"/>
                    </w:rPr>
                    <w:t>m</w:t>
                  </w:r>
                </w:p>
              </w:tc>
              <w:tc>
                <w:tcPr>
                  <w:tcW w:w="1328" w:type="dxa"/>
                  <w:vAlign w:val="center"/>
                </w:tcPr>
                <w:p>
                  <w:pPr>
                    <w:adjustRightInd w:val="0"/>
                    <w:snapToGrid w:val="0"/>
                    <w:spacing w:line="240" w:lineRule="exact"/>
                    <w:jc w:val="center"/>
                    <w:rPr>
                      <w:szCs w:val="21"/>
                    </w:rPr>
                  </w:pPr>
                  <w:r>
                    <w:rPr>
                      <w:rFonts w:hint="eastAsia"/>
                      <w:szCs w:val="21"/>
                    </w:rPr>
                    <w:t>约260人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太昌东风小学</w:t>
                  </w:r>
                </w:p>
              </w:tc>
              <w:tc>
                <w:tcPr>
                  <w:tcW w:w="1549" w:type="dxa"/>
                  <w:vAlign w:val="center"/>
                </w:tcPr>
                <w:p>
                  <w:pPr>
                    <w:adjustRightInd w:val="0"/>
                    <w:snapToGrid w:val="0"/>
                    <w:spacing w:line="240" w:lineRule="exact"/>
                    <w:jc w:val="center"/>
                    <w:rPr>
                      <w:szCs w:val="21"/>
                    </w:rPr>
                  </w:pPr>
                  <w:r>
                    <w:rPr>
                      <w:rFonts w:hint="eastAsia"/>
                      <w:szCs w:val="21"/>
                    </w:rPr>
                    <w:t>SE/170</w:t>
                  </w:r>
                  <w:r>
                    <w:rPr>
                      <w:szCs w:val="21"/>
                    </w:rPr>
                    <w:t>m</w:t>
                  </w:r>
                </w:p>
              </w:tc>
              <w:tc>
                <w:tcPr>
                  <w:tcW w:w="1328" w:type="dxa"/>
                  <w:vAlign w:val="center"/>
                </w:tcPr>
                <w:p>
                  <w:pPr>
                    <w:adjustRightInd w:val="0"/>
                    <w:snapToGrid w:val="0"/>
                    <w:spacing w:line="240" w:lineRule="exact"/>
                    <w:jc w:val="center"/>
                    <w:rPr>
                      <w:szCs w:val="21"/>
                    </w:rPr>
                  </w:pPr>
                  <w:r>
                    <w:rPr>
                      <w:rFonts w:hint="eastAsia"/>
                      <w:szCs w:val="21"/>
                    </w:rPr>
                    <w:t>约240人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restart"/>
                  <w:vAlign w:val="center"/>
                </w:tcPr>
                <w:p>
                  <w:pPr>
                    <w:adjustRightInd w:val="0"/>
                    <w:snapToGrid w:val="0"/>
                    <w:spacing w:line="240" w:lineRule="exact"/>
                    <w:jc w:val="center"/>
                    <w:rPr>
                      <w:szCs w:val="21"/>
                    </w:rPr>
                  </w:pPr>
                  <w:r>
                    <w:rPr>
                      <w:rFonts w:hint="eastAsia"/>
                      <w:szCs w:val="21"/>
                    </w:rPr>
                    <w:t>声环境</w:t>
                  </w:r>
                </w:p>
              </w:tc>
              <w:tc>
                <w:tcPr>
                  <w:tcW w:w="894" w:type="dxa"/>
                  <w:vAlign w:val="center"/>
                </w:tcPr>
                <w:p>
                  <w:pPr>
                    <w:adjustRightInd w:val="0"/>
                    <w:snapToGrid w:val="0"/>
                    <w:spacing w:line="240" w:lineRule="exact"/>
                    <w:jc w:val="center"/>
                    <w:rPr>
                      <w:szCs w:val="21"/>
                    </w:rPr>
                  </w:pPr>
                  <w:r>
                    <w:rPr>
                      <w:rFonts w:hint="eastAsia"/>
                      <w:szCs w:val="21"/>
                    </w:rPr>
                    <w:t>乡政府</w:t>
                  </w:r>
                </w:p>
              </w:tc>
              <w:tc>
                <w:tcPr>
                  <w:tcW w:w="1527" w:type="dxa"/>
                  <w:vAlign w:val="center"/>
                </w:tcPr>
                <w:p>
                  <w:pPr>
                    <w:adjustRightInd w:val="0"/>
                    <w:snapToGrid w:val="0"/>
                    <w:spacing w:line="240" w:lineRule="exact"/>
                    <w:jc w:val="center"/>
                    <w:rPr>
                      <w:szCs w:val="21"/>
                    </w:rPr>
                  </w:pPr>
                  <w:r>
                    <w:rPr>
                      <w:rFonts w:hint="eastAsia"/>
                      <w:szCs w:val="21"/>
                    </w:rPr>
                    <w:t>太昌镇政府</w:t>
                  </w:r>
                </w:p>
              </w:tc>
              <w:tc>
                <w:tcPr>
                  <w:tcW w:w="1549" w:type="dxa"/>
                  <w:vAlign w:val="center"/>
                </w:tcPr>
                <w:p>
                  <w:pPr>
                    <w:adjustRightInd w:val="0"/>
                    <w:snapToGrid w:val="0"/>
                    <w:spacing w:line="240" w:lineRule="exact"/>
                    <w:jc w:val="center"/>
                    <w:rPr>
                      <w:szCs w:val="21"/>
                    </w:rPr>
                  </w:pPr>
                  <w:r>
                    <w:rPr>
                      <w:rFonts w:hint="eastAsia"/>
                      <w:szCs w:val="21"/>
                    </w:rPr>
                    <w:t>E/15m</w:t>
                  </w:r>
                </w:p>
              </w:tc>
              <w:tc>
                <w:tcPr>
                  <w:tcW w:w="1328" w:type="dxa"/>
                  <w:vAlign w:val="center"/>
                </w:tcPr>
                <w:p>
                  <w:pPr>
                    <w:adjustRightInd w:val="0"/>
                    <w:snapToGrid w:val="0"/>
                    <w:spacing w:line="240" w:lineRule="exact"/>
                    <w:jc w:val="center"/>
                    <w:rPr>
                      <w:szCs w:val="21"/>
                    </w:rPr>
                  </w:pPr>
                  <w:r>
                    <w:rPr>
                      <w:rFonts w:hint="eastAsia"/>
                      <w:szCs w:val="21"/>
                    </w:rPr>
                    <w:t>约30人</w:t>
                  </w:r>
                </w:p>
              </w:tc>
              <w:tc>
                <w:tcPr>
                  <w:tcW w:w="2466" w:type="dxa"/>
                  <w:vMerge w:val="restart"/>
                  <w:shd w:val="clear" w:color="auto" w:fill="auto"/>
                  <w:vAlign w:val="center"/>
                </w:tcPr>
                <w:p>
                  <w:pPr>
                    <w:adjustRightInd w:val="0"/>
                    <w:snapToGrid w:val="0"/>
                    <w:spacing w:line="240" w:lineRule="exact"/>
                    <w:jc w:val="center"/>
                    <w:rPr>
                      <w:szCs w:val="21"/>
                    </w:rPr>
                  </w:pPr>
                  <w:r>
                    <w:rPr>
                      <w:rFonts w:hint="eastAsia"/>
                      <w:bCs/>
                      <w:szCs w:val="21"/>
                    </w:rPr>
                    <w:t>《声环境质量标准》</w:t>
                  </w:r>
                  <w:r>
                    <w:rPr>
                      <w:bCs/>
                      <w:szCs w:val="21"/>
                    </w:rPr>
                    <w:t>(GB3096-2008)</w:t>
                  </w:r>
                  <w:r>
                    <w:rPr>
                      <w:rFonts w:hint="eastAsia"/>
                      <w:bCs/>
                      <w:szCs w:val="21"/>
                    </w:rPr>
                    <w:t>4a类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Align w:val="center"/>
                </w:tcPr>
                <w:p>
                  <w:pPr>
                    <w:adjustRightInd w:val="0"/>
                    <w:snapToGrid w:val="0"/>
                    <w:spacing w:line="240" w:lineRule="exact"/>
                    <w:jc w:val="center"/>
                    <w:rPr>
                      <w:szCs w:val="21"/>
                    </w:rPr>
                  </w:pPr>
                  <w:r>
                    <w:rPr>
                      <w:rFonts w:hint="eastAsia"/>
                      <w:szCs w:val="21"/>
                    </w:rPr>
                    <w:t>卫生院</w:t>
                  </w:r>
                </w:p>
              </w:tc>
              <w:tc>
                <w:tcPr>
                  <w:tcW w:w="1527" w:type="dxa"/>
                  <w:vAlign w:val="center"/>
                </w:tcPr>
                <w:p>
                  <w:pPr>
                    <w:adjustRightInd w:val="0"/>
                    <w:snapToGrid w:val="0"/>
                    <w:spacing w:line="240" w:lineRule="exact"/>
                    <w:jc w:val="center"/>
                    <w:rPr>
                      <w:szCs w:val="21"/>
                    </w:rPr>
                  </w:pPr>
                  <w:r>
                    <w:rPr>
                      <w:rFonts w:hint="eastAsia"/>
                      <w:szCs w:val="21"/>
                    </w:rPr>
                    <w:t>太昌卫生院</w:t>
                  </w:r>
                </w:p>
              </w:tc>
              <w:tc>
                <w:tcPr>
                  <w:tcW w:w="1549" w:type="dxa"/>
                  <w:vAlign w:val="center"/>
                </w:tcPr>
                <w:p>
                  <w:pPr>
                    <w:adjustRightInd w:val="0"/>
                    <w:snapToGrid w:val="0"/>
                    <w:spacing w:line="240" w:lineRule="exact"/>
                    <w:jc w:val="center"/>
                    <w:rPr>
                      <w:szCs w:val="21"/>
                    </w:rPr>
                  </w:pPr>
                  <w:r>
                    <w:rPr>
                      <w:rFonts w:hint="eastAsia"/>
                      <w:szCs w:val="21"/>
                    </w:rPr>
                    <w:t>E/20m</w:t>
                  </w:r>
                </w:p>
              </w:tc>
              <w:tc>
                <w:tcPr>
                  <w:tcW w:w="1328" w:type="dxa"/>
                  <w:vAlign w:val="center"/>
                </w:tcPr>
                <w:p>
                  <w:pPr>
                    <w:adjustRightInd w:val="0"/>
                    <w:snapToGrid w:val="0"/>
                    <w:spacing w:line="240" w:lineRule="exact"/>
                    <w:jc w:val="center"/>
                    <w:rPr>
                      <w:szCs w:val="21"/>
                    </w:rPr>
                  </w:pPr>
                  <w:r>
                    <w:rPr>
                      <w:rFonts w:hint="eastAsia"/>
                      <w:szCs w:val="21"/>
                    </w:rPr>
                    <w:t>约45人</w:t>
                  </w:r>
                </w:p>
              </w:tc>
              <w:tc>
                <w:tcPr>
                  <w:tcW w:w="2466" w:type="dxa"/>
                  <w:vMerge w:val="continue"/>
                  <w:shd w:val="clear" w:color="auto" w:fill="auto"/>
                  <w:vAlign w:val="center"/>
                </w:tcPr>
                <w:p>
                  <w:pPr>
                    <w:adjustRightInd w:val="0"/>
                    <w:snapToGrid w:val="0"/>
                    <w:spacing w:line="24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Align w:val="center"/>
                </w:tcPr>
                <w:p>
                  <w:pPr>
                    <w:adjustRightInd w:val="0"/>
                    <w:snapToGrid w:val="0"/>
                    <w:spacing w:line="240" w:lineRule="exact"/>
                    <w:jc w:val="center"/>
                    <w:rPr>
                      <w:szCs w:val="21"/>
                    </w:rPr>
                  </w:pPr>
                  <w:r>
                    <w:rPr>
                      <w:szCs w:val="21"/>
                    </w:rPr>
                    <w:t>居住</w:t>
                  </w:r>
                </w:p>
              </w:tc>
              <w:tc>
                <w:tcPr>
                  <w:tcW w:w="1527" w:type="dxa"/>
                  <w:vAlign w:val="center"/>
                </w:tcPr>
                <w:p>
                  <w:pPr>
                    <w:adjustRightInd w:val="0"/>
                    <w:snapToGrid w:val="0"/>
                    <w:spacing w:line="240" w:lineRule="exact"/>
                    <w:jc w:val="center"/>
                    <w:rPr>
                      <w:szCs w:val="21"/>
                    </w:rPr>
                  </w:pPr>
                  <w:r>
                    <w:rPr>
                      <w:rFonts w:hint="eastAsia"/>
                      <w:szCs w:val="21"/>
                    </w:rPr>
                    <w:t>街道居民</w:t>
                  </w:r>
                </w:p>
              </w:tc>
              <w:tc>
                <w:tcPr>
                  <w:tcW w:w="1549" w:type="dxa"/>
                  <w:vAlign w:val="center"/>
                </w:tcPr>
                <w:p>
                  <w:pPr>
                    <w:adjustRightInd w:val="0"/>
                    <w:snapToGrid w:val="0"/>
                    <w:spacing w:line="240" w:lineRule="exact"/>
                    <w:jc w:val="center"/>
                    <w:rPr>
                      <w:szCs w:val="21"/>
                    </w:rPr>
                  </w:pPr>
                  <w:r>
                    <w:rPr>
                      <w:rFonts w:hint="eastAsia"/>
                      <w:szCs w:val="21"/>
                    </w:rPr>
                    <w:t>公路两侧15m</w:t>
                  </w:r>
                </w:p>
              </w:tc>
              <w:tc>
                <w:tcPr>
                  <w:tcW w:w="1328" w:type="dxa"/>
                  <w:vAlign w:val="center"/>
                </w:tcPr>
                <w:p>
                  <w:pPr>
                    <w:adjustRightInd w:val="0"/>
                    <w:snapToGrid w:val="0"/>
                    <w:spacing w:line="240" w:lineRule="exact"/>
                    <w:jc w:val="center"/>
                    <w:rPr>
                      <w:szCs w:val="21"/>
                    </w:rPr>
                  </w:pPr>
                  <w:r>
                    <w:rPr>
                      <w:rFonts w:hint="eastAsia"/>
                      <w:szCs w:val="21"/>
                    </w:rPr>
                    <w:t>约3200人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restart"/>
                  <w:vAlign w:val="center"/>
                </w:tcPr>
                <w:p>
                  <w:pPr>
                    <w:adjustRightInd w:val="0"/>
                    <w:snapToGrid w:val="0"/>
                    <w:spacing w:line="240" w:lineRule="exact"/>
                    <w:jc w:val="center"/>
                    <w:rPr>
                      <w:szCs w:val="21"/>
                    </w:rPr>
                  </w:pPr>
                  <w:r>
                    <w:rPr>
                      <w:rFonts w:hint="eastAsia"/>
                      <w:szCs w:val="21"/>
                    </w:rPr>
                    <w:t>学校</w:t>
                  </w:r>
                </w:p>
              </w:tc>
              <w:tc>
                <w:tcPr>
                  <w:tcW w:w="1527" w:type="dxa"/>
                  <w:vAlign w:val="center"/>
                </w:tcPr>
                <w:p>
                  <w:pPr>
                    <w:adjustRightInd w:val="0"/>
                    <w:snapToGrid w:val="0"/>
                    <w:spacing w:line="240" w:lineRule="exact"/>
                    <w:jc w:val="center"/>
                    <w:rPr>
                      <w:szCs w:val="21"/>
                    </w:rPr>
                  </w:pPr>
                  <w:r>
                    <w:rPr>
                      <w:rFonts w:hint="eastAsia"/>
                      <w:szCs w:val="21"/>
                    </w:rPr>
                    <w:t>联合小学</w:t>
                  </w:r>
                </w:p>
              </w:tc>
              <w:tc>
                <w:tcPr>
                  <w:tcW w:w="1549" w:type="dxa"/>
                  <w:vAlign w:val="center"/>
                </w:tcPr>
                <w:p>
                  <w:pPr>
                    <w:adjustRightInd w:val="0"/>
                    <w:snapToGrid w:val="0"/>
                    <w:spacing w:line="240" w:lineRule="exact"/>
                    <w:jc w:val="center"/>
                    <w:rPr>
                      <w:szCs w:val="21"/>
                    </w:rPr>
                  </w:pPr>
                  <w:r>
                    <w:rPr>
                      <w:rFonts w:hint="eastAsia"/>
                      <w:szCs w:val="21"/>
                    </w:rPr>
                    <w:t>W/180m</w:t>
                  </w:r>
                </w:p>
              </w:tc>
              <w:tc>
                <w:tcPr>
                  <w:tcW w:w="1328" w:type="dxa"/>
                  <w:vAlign w:val="center"/>
                </w:tcPr>
                <w:p>
                  <w:pPr>
                    <w:adjustRightInd w:val="0"/>
                    <w:snapToGrid w:val="0"/>
                    <w:spacing w:line="240" w:lineRule="exact"/>
                    <w:jc w:val="center"/>
                    <w:rPr>
                      <w:szCs w:val="21"/>
                    </w:rPr>
                  </w:pPr>
                  <w:r>
                    <w:rPr>
                      <w:rFonts w:hint="eastAsia"/>
                      <w:szCs w:val="21"/>
                    </w:rPr>
                    <w:t>约240人</w:t>
                  </w:r>
                </w:p>
              </w:tc>
              <w:tc>
                <w:tcPr>
                  <w:tcW w:w="2466" w:type="dxa"/>
                  <w:vMerge w:val="restart"/>
                  <w:shd w:val="clear" w:color="auto" w:fill="auto"/>
                  <w:vAlign w:val="center"/>
                </w:tcPr>
                <w:p>
                  <w:pPr>
                    <w:adjustRightInd w:val="0"/>
                    <w:snapToGrid w:val="0"/>
                    <w:spacing w:line="240" w:lineRule="exact"/>
                    <w:jc w:val="center"/>
                    <w:rPr>
                      <w:szCs w:val="21"/>
                    </w:rPr>
                  </w:pPr>
                  <w:r>
                    <w:rPr>
                      <w:rFonts w:hint="eastAsia"/>
                      <w:bCs/>
                      <w:szCs w:val="21"/>
                    </w:rPr>
                    <w:t>《声环境质量标准》</w:t>
                  </w:r>
                  <w:r>
                    <w:rPr>
                      <w:bCs/>
                      <w:szCs w:val="21"/>
                    </w:rPr>
                    <w:t>(GB3096-2008)</w:t>
                  </w:r>
                  <w:r>
                    <w:rPr>
                      <w:rFonts w:hint="eastAsia"/>
                      <w:bCs/>
                      <w:szCs w:val="21"/>
                    </w:rPr>
                    <w:t>2类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太昌初级中学</w:t>
                  </w:r>
                </w:p>
              </w:tc>
              <w:tc>
                <w:tcPr>
                  <w:tcW w:w="1549" w:type="dxa"/>
                  <w:vAlign w:val="center"/>
                </w:tcPr>
                <w:p>
                  <w:pPr>
                    <w:adjustRightInd w:val="0"/>
                    <w:snapToGrid w:val="0"/>
                    <w:spacing w:line="240" w:lineRule="exact"/>
                    <w:jc w:val="center"/>
                    <w:rPr>
                      <w:szCs w:val="21"/>
                    </w:rPr>
                  </w:pPr>
                  <w:r>
                    <w:rPr>
                      <w:rFonts w:hint="eastAsia"/>
                      <w:szCs w:val="21"/>
                    </w:rPr>
                    <w:t>SE/130</w:t>
                  </w:r>
                  <w:r>
                    <w:rPr>
                      <w:szCs w:val="21"/>
                    </w:rPr>
                    <w:t>m</w:t>
                  </w:r>
                </w:p>
              </w:tc>
              <w:tc>
                <w:tcPr>
                  <w:tcW w:w="1328" w:type="dxa"/>
                  <w:vAlign w:val="center"/>
                </w:tcPr>
                <w:p>
                  <w:pPr>
                    <w:adjustRightInd w:val="0"/>
                    <w:snapToGrid w:val="0"/>
                    <w:spacing w:line="240" w:lineRule="exact"/>
                    <w:jc w:val="center"/>
                    <w:rPr>
                      <w:szCs w:val="21"/>
                    </w:rPr>
                  </w:pPr>
                  <w:r>
                    <w:rPr>
                      <w:rFonts w:hint="eastAsia"/>
                      <w:szCs w:val="21"/>
                    </w:rPr>
                    <w:t>约260人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太昌东风小学</w:t>
                  </w:r>
                </w:p>
              </w:tc>
              <w:tc>
                <w:tcPr>
                  <w:tcW w:w="1549" w:type="dxa"/>
                  <w:vAlign w:val="center"/>
                </w:tcPr>
                <w:p>
                  <w:pPr>
                    <w:adjustRightInd w:val="0"/>
                    <w:snapToGrid w:val="0"/>
                    <w:spacing w:line="240" w:lineRule="exact"/>
                    <w:jc w:val="center"/>
                    <w:rPr>
                      <w:szCs w:val="21"/>
                    </w:rPr>
                  </w:pPr>
                  <w:r>
                    <w:rPr>
                      <w:rFonts w:hint="eastAsia"/>
                      <w:szCs w:val="21"/>
                    </w:rPr>
                    <w:t>SE/170</w:t>
                  </w:r>
                  <w:r>
                    <w:rPr>
                      <w:szCs w:val="21"/>
                    </w:rPr>
                    <w:t>m</w:t>
                  </w:r>
                </w:p>
              </w:tc>
              <w:tc>
                <w:tcPr>
                  <w:tcW w:w="1328" w:type="dxa"/>
                  <w:vAlign w:val="center"/>
                </w:tcPr>
                <w:p>
                  <w:pPr>
                    <w:adjustRightInd w:val="0"/>
                    <w:snapToGrid w:val="0"/>
                    <w:spacing w:line="240" w:lineRule="exact"/>
                    <w:jc w:val="center"/>
                    <w:rPr>
                      <w:szCs w:val="21"/>
                    </w:rPr>
                  </w:pPr>
                  <w:r>
                    <w:rPr>
                      <w:rFonts w:hint="eastAsia"/>
                      <w:szCs w:val="21"/>
                    </w:rPr>
                    <w:t>约240人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8901" w:type="dxa"/>
                  <w:gridSpan w:val="6"/>
                  <w:vAlign w:val="center"/>
                </w:tcPr>
                <w:p>
                  <w:pPr>
                    <w:adjustRightInd w:val="0"/>
                    <w:snapToGrid w:val="0"/>
                    <w:spacing w:line="240" w:lineRule="exact"/>
                    <w:jc w:val="center"/>
                    <w:rPr>
                      <w:b/>
                      <w:szCs w:val="21"/>
                    </w:rPr>
                  </w:pPr>
                  <w:r>
                    <w:rPr>
                      <w:rFonts w:hint="eastAsia"/>
                      <w:b/>
                      <w:szCs w:val="21"/>
                    </w:rPr>
                    <w:t>广场工程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restart"/>
                  <w:vAlign w:val="center"/>
                </w:tcPr>
                <w:p>
                  <w:pPr>
                    <w:adjustRightInd w:val="0"/>
                    <w:snapToGrid w:val="0"/>
                    <w:spacing w:line="240" w:lineRule="exact"/>
                    <w:jc w:val="center"/>
                    <w:rPr>
                      <w:szCs w:val="21"/>
                    </w:rPr>
                  </w:pPr>
                  <w:r>
                    <w:rPr>
                      <w:szCs w:val="21"/>
                    </w:rPr>
                    <w:t>环境空气</w:t>
                  </w:r>
                </w:p>
              </w:tc>
              <w:tc>
                <w:tcPr>
                  <w:tcW w:w="894" w:type="dxa"/>
                  <w:vAlign w:val="center"/>
                </w:tcPr>
                <w:p>
                  <w:pPr>
                    <w:adjustRightInd w:val="0"/>
                    <w:snapToGrid w:val="0"/>
                    <w:spacing w:line="240" w:lineRule="exact"/>
                    <w:jc w:val="center"/>
                    <w:rPr>
                      <w:szCs w:val="21"/>
                    </w:rPr>
                  </w:pPr>
                  <w:r>
                    <w:rPr>
                      <w:rFonts w:hint="eastAsia"/>
                      <w:szCs w:val="21"/>
                    </w:rPr>
                    <w:t>乡政府</w:t>
                  </w:r>
                </w:p>
              </w:tc>
              <w:tc>
                <w:tcPr>
                  <w:tcW w:w="1527" w:type="dxa"/>
                  <w:vAlign w:val="center"/>
                </w:tcPr>
                <w:p>
                  <w:pPr>
                    <w:adjustRightInd w:val="0"/>
                    <w:snapToGrid w:val="0"/>
                    <w:spacing w:line="240" w:lineRule="exact"/>
                    <w:jc w:val="center"/>
                    <w:rPr>
                      <w:szCs w:val="21"/>
                    </w:rPr>
                  </w:pPr>
                  <w:r>
                    <w:rPr>
                      <w:rFonts w:hint="eastAsia"/>
                      <w:szCs w:val="21"/>
                    </w:rPr>
                    <w:t>太昌镇政府</w:t>
                  </w:r>
                </w:p>
              </w:tc>
              <w:tc>
                <w:tcPr>
                  <w:tcW w:w="1549" w:type="dxa"/>
                  <w:vAlign w:val="center"/>
                </w:tcPr>
                <w:p>
                  <w:pPr>
                    <w:adjustRightInd w:val="0"/>
                    <w:snapToGrid w:val="0"/>
                    <w:spacing w:line="240" w:lineRule="exact"/>
                    <w:jc w:val="center"/>
                    <w:rPr>
                      <w:szCs w:val="21"/>
                    </w:rPr>
                  </w:pPr>
                  <w:r>
                    <w:rPr>
                      <w:rFonts w:hint="eastAsia"/>
                      <w:szCs w:val="21"/>
                    </w:rPr>
                    <w:t>N/140m</w:t>
                  </w:r>
                </w:p>
              </w:tc>
              <w:tc>
                <w:tcPr>
                  <w:tcW w:w="1328" w:type="dxa"/>
                  <w:vAlign w:val="center"/>
                </w:tcPr>
                <w:p>
                  <w:pPr>
                    <w:adjustRightInd w:val="0"/>
                    <w:snapToGrid w:val="0"/>
                    <w:spacing w:line="240" w:lineRule="exact"/>
                    <w:jc w:val="center"/>
                    <w:rPr>
                      <w:szCs w:val="21"/>
                    </w:rPr>
                  </w:pPr>
                  <w:r>
                    <w:rPr>
                      <w:rFonts w:hint="eastAsia"/>
                      <w:szCs w:val="21"/>
                    </w:rPr>
                    <w:t>约30人</w:t>
                  </w:r>
                </w:p>
              </w:tc>
              <w:tc>
                <w:tcPr>
                  <w:tcW w:w="2466" w:type="dxa"/>
                  <w:vMerge w:val="restart"/>
                  <w:shd w:val="clear" w:color="auto" w:fill="auto"/>
                  <w:vAlign w:val="center"/>
                </w:tcPr>
                <w:p>
                  <w:pPr>
                    <w:adjustRightInd w:val="0"/>
                    <w:snapToGrid w:val="0"/>
                    <w:spacing w:line="240" w:lineRule="exact"/>
                    <w:jc w:val="center"/>
                    <w:rPr>
                      <w:szCs w:val="21"/>
                    </w:rPr>
                  </w:pPr>
                  <w:r>
                    <w:rPr>
                      <w:szCs w:val="21"/>
                    </w:rPr>
                    <w:t>《环境空气质量标准》（GB3095-2012）二级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Align w:val="center"/>
                </w:tcPr>
                <w:p>
                  <w:pPr>
                    <w:adjustRightInd w:val="0"/>
                    <w:snapToGrid w:val="0"/>
                    <w:spacing w:line="240" w:lineRule="exact"/>
                    <w:jc w:val="center"/>
                    <w:rPr>
                      <w:szCs w:val="21"/>
                    </w:rPr>
                  </w:pPr>
                  <w:r>
                    <w:rPr>
                      <w:rFonts w:hint="eastAsia"/>
                      <w:szCs w:val="21"/>
                    </w:rPr>
                    <w:t>卫生院</w:t>
                  </w:r>
                </w:p>
              </w:tc>
              <w:tc>
                <w:tcPr>
                  <w:tcW w:w="1527" w:type="dxa"/>
                  <w:vAlign w:val="center"/>
                </w:tcPr>
                <w:p>
                  <w:pPr>
                    <w:adjustRightInd w:val="0"/>
                    <w:snapToGrid w:val="0"/>
                    <w:spacing w:line="240" w:lineRule="exact"/>
                    <w:jc w:val="center"/>
                    <w:rPr>
                      <w:szCs w:val="21"/>
                    </w:rPr>
                  </w:pPr>
                  <w:r>
                    <w:rPr>
                      <w:rFonts w:hint="eastAsia"/>
                      <w:szCs w:val="21"/>
                    </w:rPr>
                    <w:t>太昌卫生院</w:t>
                  </w:r>
                </w:p>
              </w:tc>
              <w:tc>
                <w:tcPr>
                  <w:tcW w:w="1549" w:type="dxa"/>
                  <w:vAlign w:val="center"/>
                </w:tcPr>
                <w:p>
                  <w:pPr>
                    <w:adjustRightInd w:val="0"/>
                    <w:snapToGrid w:val="0"/>
                    <w:spacing w:line="240" w:lineRule="exact"/>
                    <w:jc w:val="center"/>
                    <w:rPr>
                      <w:szCs w:val="21"/>
                    </w:rPr>
                  </w:pPr>
                  <w:r>
                    <w:rPr>
                      <w:rFonts w:hint="eastAsia"/>
                      <w:szCs w:val="21"/>
                    </w:rPr>
                    <w:t>E/20m</w:t>
                  </w:r>
                </w:p>
              </w:tc>
              <w:tc>
                <w:tcPr>
                  <w:tcW w:w="1328" w:type="dxa"/>
                  <w:vAlign w:val="center"/>
                </w:tcPr>
                <w:p>
                  <w:pPr>
                    <w:adjustRightInd w:val="0"/>
                    <w:snapToGrid w:val="0"/>
                    <w:spacing w:line="240" w:lineRule="exact"/>
                    <w:jc w:val="center"/>
                    <w:rPr>
                      <w:szCs w:val="21"/>
                    </w:rPr>
                  </w:pPr>
                  <w:r>
                    <w:rPr>
                      <w:rFonts w:hint="eastAsia"/>
                      <w:szCs w:val="21"/>
                    </w:rPr>
                    <w:t>约45人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Align w:val="center"/>
                </w:tcPr>
                <w:p>
                  <w:pPr>
                    <w:adjustRightInd w:val="0"/>
                    <w:snapToGrid w:val="0"/>
                    <w:spacing w:line="240" w:lineRule="exact"/>
                    <w:jc w:val="center"/>
                    <w:rPr>
                      <w:szCs w:val="21"/>
                    </w:rPr>
                  </w:pPr>
                  <w:r>
                    <w:rPr>
                      <w:szCs w:val="21"/>
                    </w:rPr>
                    <w:t>居住</w:t>
                  </w:r>
                </w:p>
              </w:tc>
              <w:tc>
                <w:tcPr>
                  <w:tcW w:w="1527" w:type="dxa"/>
                  <w:vAlign w:val="center"/>
                </w:tcPr>
                <w:p>
                  <w:pPr>
                    <w:adjustRightInd w:val="0"/>
                    <w:snapToGrid w:val="0"/>
                    <w:spacing w:line="240" w:lineRule="exact"/>
                    <w:jc w:val="center"/>
                    <w:rPr>
                      <w:szCs w:val="21"/>
                    </w:rPr>
                  </w:pPr>
                  <w:r>
                    <w:rPr>
                      <w:rFonts w:hint="eastAsia"/>
                      <w:szCs w:val="21"/>
                    </w:rPr>
                    <w:t>街道居民</w:t>
                  </w:r>
                </w:p>
              </w:tc>
              <w:tc>
                <w:tcPr>
                  <w:tcW w:w="1549" w:type="dxa"/>
                  <w:vAlign w:val="center"/>
                </w:tcPr>
                <w:p>
                  <w:pPr>
                    <w:adjustRightInd w:val="0"/>
                    <w:snapToGrid w:val="0"/>
                    <w:spacing w:line="240" w:lineRule="exact"/>
                    <w:jc w:val="center"/>
                    <w:rPr>
                      <w:szCs w:val="21"/>
                    </w:rPr>
                  </w:pPr>
                  <w:r>
                    <w:rPr>
                      <w:rFonts w:hint="eastAsia"/>
                      <w:szCs w:val="21"/>
                    </w:rPr>
                    <w:t>公路两侧15m</w:t>
                  </w:r>
                </w:p>
              </w:tc>
              <w:tc>
                <w:tcPr>
                  <w:tcW w:w="1328" w:type="dxa"/>
                  <w:vAlign w:val="center"/>
                </w:tcPr>
                <w:p>
                  <w:pPr>
                    <w:adjustRightInd w:val="0"/>
                    <w:snapToGrid w:val="0"/>
                    <w:spacing w:line="240" w:lineRule="exact"/>
                    <w:jc w:val="center"/>
                    <w:rPr>
                      <w:szCs w:val="21"/>
                    </w:rPr>
                  </w:pPr>
                  <w:r>
                    <w:rPr>
                      <w:rFonts w:hint="eastAsia"/>
                      <w:szCs w:val="21"/>
                    </w:rPr>
                    <w:t>约3200人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restart"/>
                  <w:vAlign w:val="center"/>
                </w:tcPr>
                <w:p>
                  <w:pPr>
                    <w:adjustRightInd w:val="0"/>
                    <w:snapToGrid w:val="0"/>
                    <w:spacing w:line="240" w:lineRule="exact"/>
                    <w:jc w:val="center"/>
                    <w:rPr>
                      <w:szCs w:val="21"/>
                    </w:rPr>
                  </w:pPr>
                  <w:r>
                    <w:rPr>
                      <w:rFonts w:hint="eastAsia"/>
                      <w:szCs w:val="21"/>
                    </w:rPr>
                    <w:t>学校</w:t>
                  </w:r>
                </w:p>
              </w:tc>
              <w:tc>
                <w:tcPr>
                  <w:tcW w:w="1527" w:type="dxa"/>
                  <w:vAlign w:val="center"/>
                </w:tcPr>
                <w:p>
                  <w:pPr>
                    <w:adjustRightInd w:val="0"/>
                    <w:snapToGrid w:val="0"/>
                    <w:spacing w:line="240" w:lineRule="exact"/>
                    <w:jc w:val="center"/>
                    <w:rPr>
                      <w:szCs w:val="21"/>
                    </w:rPr>
                  </w:pPr>
                  <w:r>
                    <w:rPr>
                      <w:rFonts w:hint="eastAsia"/>
                      <w:szCs w:val="21"/>
                    </w:rPr>
                    <w:t>联合小学</w:t>
                  </w:r>
                </w:p>
              </w:tc>
              <w:tc>
                <w:tcPr>
                  <w:tcW w:w="1549" w:type="dxa"/>
                  <w:vAlign w:val="center"/>
                </w:tcPr>
                <w:p>
                  <w:pPr>
                    <w:adjustRightInd w:val="0"/>
                    <w:snapToGrid w:val="0"/>
                    <w:spacing w:line="240" w:lineRule="exact"/>
                    <w:jc w:val="center"/>
                    <w:rPr>
                      <w:szCs w:val="21"/>
                    </w:rPr>
                  </w:pPr>
                  <w:r>
                    <w:rPr>
                      <w:rFonts w:hint="eastAsia"/>
                      <w:szCs w:val="21"/>
                    </w:rPr>
                    <w:t>NW/470m</w:t>
                  </w:r>
                </w:p>
              </w:tc>
              <w:tc>
                <w:tcPr>
                  <w:tcW w:w="1328" w:type="dxa"/>
                  <w:vAlign w:val="center"/>
                </w:tcPr>
                <w:p>
                  <w:pPr>
                    <w:adjustRightInd w:val="0"/>
                    <w:snapToGrid w:val="0"/>
                    <w:spacing w:line="240" w:lineRule="exact"/>
                    <w:jc w:val="center"/>
                    <w:rPr>
                      <w:szCs w:val="21"/>
                    </w:rPr>
                  </w:pPr>
                  <w:r>
                    <w:rPr>
                      <w:rFonts w:hint="eastAsia"/>
                      <w:szCs w:val="21"/>
                    </w:rPr>
                    <w:t>约240人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太昌初级中学</w:t>
                  </w:r>
                </w:p>
              </w:tc>
              <w:tc>
                <w:tcPr>
                  <w:tcW w:w="1549" w:type="dxa"/>
                  <w:vAlign w:val="center"/>
                </w:tcPr>
                <w:p>
                  <w:pPr>
                    <w:adjustRightInd w:val="0"/>
                    <w:snapToGrid w:val="0"/>
                    <w:spacing w:line="240" w:lineRule="exact"/>
                    <w:jc w:val="center"/>
                    <w:rPr>
                      <w:szCs w:val="21"/>
                    </w:rPr>
                  </w:pPr>
                  <w:r>
                    <w:rPr>
                      <w:rFonts w:hint="eastAsia"/>
                      <w:szCs w:val="21"/>
                    </w:rPr>
                    <w:t>SE/90m</w:t>
                  </w:r>
                </w:p>
              </w:tc>
              <w:tc>
                <w:tcPr>
                  <w:tcW w:w="1328" w:type="dxa"/>
                  <w:vAlign w:val="center"/>
                </w:tcPr>
                <w:p>
                  <w:pPr>
                    <w:adjustRightInd w:val="0"/>
                    <w:snapToGrid w:val="0"/>
                    <w:spacing w:line="240" w:lineRule="exact"/>
                    <w:jc w:val="center"/>
                    <w:rPr>
                      <w:szCs w:val="21"/>
                    </w:rPr>
                  </w:pPr>
                  <w:r>
                    <w:rPr>
                      <w:rFonts w:hint="eastAsia"/>
                      <w:szCs w:val="21"/>
                    </w:rPr>
                    <w:t>约260人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太昌东风小学</w:t>
                  </w:r>
                </w:p>
              </w:tc>
              <w:tc>
                <w:tcPr>
                  <w:tcW w:w="1549" w:type="dxa"/>
                  <w:vAlign w:val="center"/>
                </w:tcPr>
                <w:p>
                  <w:pPr>
                    <w:adjustRightInd w:val="0"/>
                    <w:snapToGrid w:val="0"/>
                    <w:spacing w:line="240" w:lineRule="exact"/>
                    <w:jc w:val="center"/>
                    <w:rPr>
                      <w:szCs w:val="21"/>
                    </w:rPr>
                  </w:pPr>
                  <w:r>
                    <w:rPr>
                      <w:rFonts w:hint="eastAsia"/>
                      <w:szCs w:val="21"/>
                    </w:rPr>
                    <w:t>SE/130m</w:t>
                  </w:r>
                </w:p>
              </w:tc>
              <w:tc>
                <w:tcPr>
                  <w:tcW w:w="1328" w:type="dxa"/>
                  <w:vAlign w:val="center"/>
                </w:tcPr>
                <w:p>
                  <w:pPr>
                    <w:adjustRightInd w:val="0"/>
                    <w:snapToGrid w:val="0"/>
                    <w:spacing w:line="240" w:lineRule="exact"/>
                    <w:jc w:val="center"/>
                    <w:rPr>
                      <w:szCs w:val="21"/>
                    </w:rPr>
                  </w:pPr>
                  <w:r>
                    <w:rPr>
                      <w:rFonts w:hint="eastAsia"/>
                      <w:szCs w:val="21"/>
                    </w:rPr>
                    <w:t>约240人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restart"/>
                  <w:vAlign w:val="center"/>
                </w:tcPr>
                <w:p>
                  <w:pPr>
                    <w:adjustRightInd w:val="0"/>
                    <w:snapToGrid w:val="0"/>
                    <w:spacing w:line="240" w:lineRule="exact"/>
                    <w:jc w:val="center"/>
                    <w:rPr>
                      <w:szCs w:val="21"/>
                    </w:rPr>
                  </w:pPr>
                  <w:r>
                    <w:rPr>
                      <w:rFonts w:hint="eastAsia"/>
                      <w:szCs w:val="21"/>
                    </w:rPr>
                    <w:t>声环境</w:t>
                  </w:r>
                </w:p>
              </w:tc>
              <w:tc>
                <w:tcPr>
                  <w:tcW w:w="894" w:type="dxa"/>
                  <w:vAlign w:val="center"/>
                </w:tcPr>
                <w:p>
                  <w:pPr>
                    <w:adjustRightInd w:val="0"/>
                    <w:snapToGrid w:val="0"/>
                    <w:spacing w:line="240" w:lineRule="exact"/>
                    <w:jc w:val="center"/>
                    <w:rPr>
                      <w:szCs w:val="21"/>
                    </w:rPr>
                  </w:pPr>
                  <w:r>
                    <w:rPr>
                      <w:rFonts w:hint="eastAsia"/>
                      <w:szCs w:val="21"/>
                    </w:rPr>
                    <w:t>乡政府</w:t>
                  </w:r>
                </w:p>
              </w:tc>
              <w:tc>
                <w:tcPr>
                  <w:tcW w:w="1527" w:type="dxa"/>
                  <w:vAlign w:val="center"/>
                </w:tcPr>
                <w:p>
                  <w:pPr>
                    <w:adjustRightInd w:val="0"/>
                    <w:snapToGrid w:val="0"/>
                    <w:spacing w:line="240" w:lineRule="exact"/>
                    <w:jc w:val="center"/>
                    <w:rPr>
                      <w:szCs w:val="21"/>
                    </w:rPr>
                  </w:pPr>
                  <w:r>
                    <w:rPr>
                      <w:rFonts w:hint="eastAsia"/>
                      <w:szCs w:val="21"/>
                    </w:rPr>
                    <w:t>太昌镇政府</w:t>
                  </w:r>
                </w:p>
              </w:tc>
              <w:tc>
                <w:tcPr>
                  <w:tcW w:w="1549" w:type="dxa"/>
                  <w:vAlign w:val="center"/>
                </w:tcPr>
                <w:p>
                  <w:pPr>
                    <w:adjustRightInd w:val="0"/>
                    <w:snapToGrid w:val="0"/>
                    <w:spacing w:line="240" w:lineRule="exact"/>
                    <w:jc w:val="center"/>
                    <w:rPr>
                      <w:szCs w:val="21"/>
                    </w:rPr>
                  </w:pPr>
                  <w:r>
                    <w:rPr>
                      <w:rFonts w:hint="eastAsia"/>
                      <w:szCs w:val="21"/>
                    </w:rPr>
                    <w:t>N/140m</w:t>
                  </w:r>
                </w:p>
              </w:tc>
              <w:tc>
                <w:tcPr>
                  <w:tcW w:w="1328" w:type="dxa"/>
                  <w:vAlign w:val="center"/>
                </w:tcPr>
                <w:p>
                  <w:pPr>
                    <w:adjustRightInd w:val="0"/>
                    <w:snapToGrid w:val="0"/>
                    <w:spacing w:line="240" w:lineRule="exact"/>
                    <w:jc w:val="center"/>
                    <w:rPr>
                      <w:szCs w:val="21"/>
                    </w:rPr>
                  </w:pPr>
                  <w:r>
                    <w:rPr>
                      <w:rFonts w:hint="eastAsia"/>
                      <w:szCs w:val="21"/>
                    </w:rPr>
                    <w:t>约30人</w:t>
                  </w:r>
                </w:p>
              </w:tc>
              <w:tc>
                <w:tcPr>
                  <w:tcW w:w="2466" w:type="dxa"/>
                  <w:vMerge w:val="restart"/>
                  <w:shd w:val="clear" w:color="auto" w:fill="auto"/>
                  <w:vAlign w:val="center"/>
                </w:tcPr>
                <w:p>
                  <w:pPr>
                    <w:adjustRightInd w:val="0"/>
                    <w:snapToGrid w:val="0"/>
                    <w:spacing w:line="240" w:lineRule="exact"/>
                    <w:jc w:val="center"/>
                    <w:rPr>
                      <w:szCs w:val="21"/>
                    </w:rPr>
                  </w:pPr>
                  <w:r>
                    <w:rPr>
                      <w:rFonts w:hint="eastAsia"/>
                      <w:bCs/>
                      <w:szCs w:val="21"/>
                    </w:rPr>
                    <w:t>《声环境质量标准》</w:t>
                  </w:r>
                  <w:r>
                    <w:rPr>
                      <w:bCs/>
                      <w:szCs w:val="21"/>
                    </w:rPr>
                    <w:t>(GB3096-2008)</w:t>
                  </w:r>
                  <w:r>
                    <w:rPr>
                      <w:rFonts w:hint="eastAsia"/>
                      <w:bCs/>
                      <w:szCs w:val="21"/>
                    </w:rPr>
                    <w:t>4a类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Align w:val="center"/>
                </w:tcPr>
                <w:p>
                  <w:pPr>
                    <w:adjustRightInd w:val="0"/>
                    <w:snapToGrid w:val="0"/>
                    <w:spacing w:line="240" w:lineRule="exact"/>
                    <w:jc w:val="center"/>
                    <w:rPr>
                      <w:szCs w:val="21"/>
                    </w:rPr>
                  </w:pPr>
                  <w:r>
                    <w:rPr>
                      <w:rFonts w:hint="eastAsia"/>
                      <w:szCs w:val="21"/>
                    </w:rPr>
                    <w:t>卫生院</w:t>
                  </w:r>
                </w:p>
              </w:tc>
              <w:tc>
                <w:tcPr>
                  <w:tcW w:w="1527" w:type="dxa"/>
                  <w:vAlign w:val="center"/>
                </w:tcPr>
                <w:p>
                  <w:pPr>
                    <w:adjustRightInd w:val="0"/>
                    <w:snapToGrid w:val="0"/>
                    <w:spacing w:line="240" w:lineRule="exact"/>
                    <w:jc w:val="center"/>
                    <w:rPr>
                      <w:szCs w:val="21"/>
                    </w:rPr>
                  </w:pPr>
                  <w:r>
                    <w:rPr>
                      <w:rFonts w:hint="eastAsia"/>
                      <w:szCs w:val="21"/>
                    </w:rPr>
                    <w:t>太昌卫生院</w:t>
                  </w:r>
                </w:p>
              </w:tc>
              <w:tc>
                <w:tcPr>
                  <w:tcW w:w="1549" w:type="dxa"/>
                  <w:vAlign w:val="center"/>
                </w:tcPr>
                <w:p>
                  <w:pPr>
                    <w:adjustRightInd w:val="0"/>
                    <w:snapToGrid w:val="0"/>
                    <w:spacing w:line="240" w:lineRule="exact"/>
                    <w:jc w:val="center"/>
                    <w:rPr>
                      <w:szCs w:val="21"/>
                    </w:rPr>
                  </w:pPr>
                  <w:r>
                    <w:rPr>
                      <w:rFonts w:hint="eastAsia"/>
                      <w:szCs w:val="21"/>
                    </w:rPr>
                    <w:t>E/20m</w:t>
                  </w:r>
                </w:p>
              </w:tc>
              <w:tc>
                <w:tcPr>
                  <w:tcW w:w="1328" w:type="dxa"/>
                  <w:vAlign w:val="center"/>
                </w:tcPr>
                <w:p>
                  <w:pPr>
                    <w:adjustRightInd w:val="0"/>
                    <w:snapToGrid w:val="0"/>
                    <w:spacing w:line="240" w:lineRule="exact"/>
                    <w:jc w:val="center"/>
                    <w:rPr>
                      <w:szCs w:val="21"/>
                    </w:rPr>
                  </w:pPr>
                  <w:r>
                    <w:rPr>
                      <w:rFonts w:hint="eastAsia"/>
                      <w:szCs w:val="21"/>
                    </w:rPr>
                    <w:t>约45人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Align w:val="center"/>
                </w:tcPr>
                <w:p>
                  <w:pPr>
                    <w:adjustRightInd w:val="0"/>
                    <w:snapToGrid w:val="0"/>
                    <w:spacing w:line="240" w:lineRule="exact"/>
                    <w:jc w:val="center"/>
                    <w:rPr>
                      <w:szCs w:val="21"/>
                    </w:rPr>
                  </w:pPr>
                  <w:r>
                    <w:rPr>
                      <w:szCs w:val="21"/>
                    </w:rPr>
                    <w:t>居住</w:t>
                  </w:r>
                </w:p>
              </w:tc>
              <w:tc>
                <w:tcPr>
                  <w:tcW w:w="1527" w:type="dxa"/>
                  <w:vAlign w:val="center"/>
                </w:tcPr>
                <w:p>
                  <w:pPr>
                    <w:adjustRightInd w:val="0"/>
                    <w:snapToGrid w:val="0"/>
                    <w:spacing w:line="240" w:lineRule="exact"/>
                    <w:jc w:val="center"/>
                    <w:rPr>
                      <w:szCs w:val="21"/>
                    </w:rPr>
                  </w:pPr>
                  <w:r>
                    <w:rPr>
                      <w:rFonts w:hint="eastAsia"/>
                      <w:szCs w:val="21"/>
                    </w:rPr>
                    <w:t>街道居民</w:t>
                  </w:r>
                </w:p>
              </w:tc>
              <w:tc>
                <w:tcPr>
                  <w:tcW w:w="1549" w:type="dxa"/>
                  <w:vAlign w:val="center"/>
                </w:tcPr>
                <w:p>
                  <w:pPr>
                    <w:adjustRightInd w:val="0"/>
                    <w:snapToGrid w:val="0"/>
                    <w:spacing w:line="240" w:lineRule="exact"/>
                    <w:jc w:val="center"/>
                    <w:rPr>
                      <w:szCs w:val="21"/>
                    </w:rPr>
                  </w:pPr>
                  <w:r>
                    <w:rPr>
                      <w:rFonts w:hint="eastAsia"/>
                      <w:szCs w:val="21"/>
                    </w:rPr>
                    <w:t>公路两侧15m</w:t>
                  </w:r>
                </w:p>
              </w:tc>
              <w:tc>
                <w:tcPr>
                  <w:tcW w:w="1328" w:type="dxa"/>
                  <w:vAlign w:val="center"/>
                </w:tcPr>
                <w:p>
                  <w:pPr>
                    <w:adjustRightInd w:val="0"/>
                    <w:snapToGrid w:val="0"/>
                    <w:spacing w:line="240" w:lineRule="exact"/>
                    <w:jc w:val="center"/>
                    <w:rPr>
                      <w:szCs w:val="21"/>
                    </w:rPr>
                  </w:pPr>
                  <w:r>
                    <w:rPr>
                      <w:rFonts w:hint="eastAsia"/>
                      <w:szCs w:val="21"/>
                    </w:rPr>
                    <w:t>约3200人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restart"/>
                  <w:vAlign w:val="center"/>
                </w:tcPr>
                <w:p>
                  <w:pPr>
                    <w:adjustRightInd w:val="0"/>
                    <w:snapToGrid w:val="0"/>
                    <w:spacing w:line="240" w:lineRule="exact"/>
                    <w:jc w:val="center"/>
                    <w:rPr>
                      <w:szCs w:val="21"/>
                    </w:rPr>
                  </w:pPr>
                  <w:r>
                    <w:rPr>
                      <w:rFonts w:hint="eastAsia"/>
                      <w:szCs w:val="21"/>
                    </w:rPr>
                    <w:t>学校</w:t>
                  </w:r>
                </w:p>
              </w:tc>
              <w:tc>
                <w:tcPr>
                  <w:tcW w:w="1527" w:type="dxa"/>
                  <w:vAlign w:val="center"/>
                </w:tcPr>
                <w:p>
                  <w:pPr>
                    <w:adjustRightInd w:val="0"/>
                    <w:snapToGrid w:val="0"/>
                    <w:spacing w:line="240" w:lineRule="exact"/>
                    <w:jc w:val="center"/>
                    <w:rPr>
                      <w:szCs w:val="21"/>
                    </w:rPr>
                  </w:pPr>
                  <w:r>
                    <w:rPr>
                      <w:rFonts w:hint="eastAsia"/>
                      <w:szCs w:val="21"/>
                    </w:rPr>
                    <w:t>联合小学</w:t>
                  </w:r>
                </w:p>
              </w:tc>
              <w:tc>
                <w:tcPr>
                  <w:tcW w:w="1549" w:type="dxa"/>
                  <w:vAlign w:val="center"/>
                </w:tcPr>
                <w:p>
                  <w:pPr>
                    <w:adjustRightInd w:val="0"/>
                    <w:snapToGrid w:val="0"/>
                    <w:spacing w:line="240" w:lineRule="exact"/>
                    <w:jc w:val="center"/>
                    <w:rPr>
                      <w:szCs w:val="21"/>
                    </w:rPr>
                  </w:pPr>
                  <w:r>
                    <w:rPr>
                      <w:rFonts w:hint="eastAsia"/>
                      <w:szCs w:val="21"/>
                    </w:rPr>
                    <w:t>NW/470m</w:t>
                  </w:r>
                </w:p>
              </w:tc>
              <w:tc>
                <w:tcPr>
                  <w:tcW w:w="1328" w:type="dxa"/>
                  <w:vAlign w:val="center"/>
                </w:tcPr>
                <w:p>
                  <w:pPr>
                    <w:adjustRightInd w:val="0"/>
                    <w:snapToGrid w:val="0"/>
                    <w:spacing w:line="240" w:lineRule="exact"/>
                    <w:jc w:val="center"/>
                    <w:rPr>
                      <w:szCs w:val="21"/>
                    </w:rPr>
                  </w:pPr>
                  <w:r>
                    <w:rPr>
                      <w:rFonts w:hint="eastAsia"/>
                      <w:szCs w:val="21"/>
                    </w:rPr>
                    <w:t>约240人</w:t>
                  </w:r>
                </w:p>
              </w:tc>
              <w:tc>
                <w:tcPr>
                  <w:tcW w:w="2466" w:type="dxa"/>
                  <w:vMerge w:val="restart"/>
                  <w:shd w:val="clear" w:color="auto" w:fill="auto"/>
                  <w:vAlign w:val="center"/>
                </w:tcPr>
                <w:p>
                  <w:pPr>
                    <w:adjustRightInd w:val="0"/>
                    <w:snapToGrid w:val="0"/>
                    <w:spacing w:line="240" w:lineRule="exact"/>
                    <w:jc w:val="center"/>
                    <w:rPr>
                      <w:szCs w:val="21"/>
                    </w:rPr>
                  </w:pPr>
                  <w:r>
                    <w:rPr>
                      <w:rFonts w:hint="eastAsia"/>
                      <w:bCs/>
                      <w:szCs w:val="21"/>
                    </w:rPr>
                    <w:t>《声环境质量标准》</w:t>
                  </w:r>
                  <w:r>
                    <w:rPr>
                      <w:bCs/>
                      <w:szCs w:val="21"/>
                    </w:rPr>
                    <w:t>(GB3096-2008)</w:t>
                  </w:r>
                  <w:r>
                    <w:rPr>
                      <w:rFonts w:hint="eastAsia"/>
                      <w:bCs/>
                      <w:szCs w:val="21"/>
                    </w:rPr>
                    <w:t>2类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太昌初级中学</w:t>
                  </w:r>
                </w:p>
              </w:tc>
              <w:tc>
                <w:tcPr>
                  <w:tcW w:w="1549" w:type="dxa"/>
                  <w:vAlign w:val="center"/>
                </w:tcPr>
                <w:p>
                  <w:pPr>
                    <w:adjustRightInd w:val="0"/>
                    <w:snapToGrid w:val="0"/>
                    <w:spacing w:line="240" w:lineRule="exact"/>
                    <w:jc w:val="center"/>
                    <w:rPr>
                      <w:szCs w:val="21"/>
                    </w:rPr>
                  </w:pPr>
                  <w:r>
                    <w:rPr>
                      <w:rFonts w:hint="eastAsia"/>
                      <w:szCs w:val="21"/>
                    </w:rPr>
                    <w:t>SE/90m</w:t>
                  </w:r>
                </w:p>
              </w:tc>
              <w:tc>
                <w:tcPr>
                  <w:tcW w:w="1328" w:type="dxa"/>
                  <w:vAlign w:val="center"/>
                </w:tcPr>
                <w:p>
                  <w:pPr>
                    <w:adjustRightInd w:val="0"/>
                    <w:snapToGrid w:val="0"/>
                    <w:spacing w:line="240" w:lineRule="exact"/>
                    <w:jc w:val="center"/>
                    <w:rPr>
                      <w:szCs w:val="21"/>
                    </w:rPr>
                  </w:pPr>
                  <w:r>
                    <w:rPr>
                      <w:rFonts w:hint="eastAsia"/>
                      <w:szCs w:val="21"/>
                    </w:rPr>
                    <w:t>约260人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太昌东风小学</w:t>
                  </w:r>
                </w:p>
              </w:tc>
              <w:tc>
                <w:tcPr>
                  <w:tcW w:w="1549" w:type="dxa"/>
                  <w:vAlign w:val="center"/>
                </w:tcPr>
                <w:p>
                  <w:pPr>
                    <w:adjustRightInd w:val="0"/>
                    <w:snapToGrid w:val="0"/>
                    <w:spacing w:line="240" w:lineRule="exact"/>
                    <w:jc w:val="center"/>
                    <w:rPr>
                      <w:szCs w:val="21"/>
                    </w:rPr>
                  </w:pPr>
                  <w:r>
                    <w:rPr>
                      <w:rFonts w:hint="eastAsia"/>
                      <w:szCs w:val="21"/>
                    </w:rPr>
                    <w:t>SE/130m</w:t>
                  </w:r>
                </w:p>
              </w:tc>
              <w:tc>
                <w:tcPr>
                  <w:tcW w:w="1328" w:type="dxa"/>
                  <w:vAlign w:val="center"/>
                </w:tcPr>
                <w:p>
                  <w:pPr>
                    <w:adjustRightInd w:val="0"/>
                    <w:snapToGrid w:val="0"/>
                    <w:spacing w:line="240" w:lineRule="exact"/>
                    <w:jc w:val="center"/>
                    <w:rPr>
                      <w:szCs w:val="21"/>
                    </w:rPr>
                  </w:pPr>
                  <w:r>
                    <w:rPr>
                      <w:rFonts w:hint="eastAsia"/>
                      <w:szCs w:val="21"/>
                    </w:rPr>
                    <w:t>约240人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8901" w:type="dxa"/>
                  <w:gridSpan w:val="6"/>
                  <w:vAlign w:val="center"/>
                </w:tcPr>
                <w:p>
                  <w:pPr>
                    <w:adjustRightInd w:val="0"/>
                    <w:snapToGrid w:val="0"/>
                    <w:spacing w:line="240" w:lineRule="exact"/>
                    <w:jc w:val="center"/>
                    <w:rPr>
                      <w:b/>
                      <w:szCs w:val="21"/>
                    </w:rPr>
                  </w:pPr>
                  <w:r>
                    <w:rPr>
                      <w:rFonts w:hint="eastAsia"/>
                      <w:b/>
                      <w:szCs w:val="21"/>
                    </w:rPr>
                    <w:t>给排水工程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restart"/>
                  <w:vAlign w:val="center"/>
                </w:tcPr>
                <w:p>
                  <w:pPr>
                    <w:adjustRightInd w:val="0"/>
                    <w:snapToGrid w:val="0"/>
                    <w:spacing w:line="240" w:lineRule="exact"/>
                    <w:jc w:val="center"/>
                    <w:rPr>
                      <w:szCs w:val="21"/>
                    </w:rPr>
                  </w:pPr>
                  <w:r>
                    <w:rPr>
                      <w:szCs w:val="21"/>
                    </w:rPr>
                    <w:t>环境空气</w:t>
                  </w:r>
                </w:p>
              </w:tc>
              <w:tc>
                <w:tcPr>
                  <w:tcW w:w="894" w:type="dxa"/>
                  <w:vAlign w:val="center"/>
                </w:tcPr>
                <w:p>
                  <w:pPr>
                    <w:adjustRightInd w:val="0"/>
                    <w:snapToGrid w:val="0"/>
                    <w:spacing w:line="240" w:lineRule="exact"/>
                    <w:jc w:val="center"/>
                    <w:rPr>
                      <w:szCs w:val="21"/>
                    </w:rPr>
                  </w:pPr>
                  <w:r>
                    <w:rPr>
                      <w:rFonts w:hint="eastAsia"/>
                      <w:szCs w:val="21"/>
                    </w:rPr>
                    <w:t>乡政府</w:t>
                  </w:r>
                </w:p>
              </w:tc>
              <w:tc>
                <w:tcPr>
                  <w:tcW w:w="1527" w:type="dxa"/>
                  <w:vAlign w:val="center"/>
                </w:tcPr>
                <w:p>
                  <w:pPr>
                    <w:adjustRightInd w:val="0"/>
                    <w:snapToGrid w:val="0"/>
                    <w:spacing w:line="240" w:lineRule="exact"/>
                    <w:jc w:val="center"/>
                    <w:rPr>
                      <w:szCs w:val="21"/>
                    </w:rPr>
                  </w:pPr>
                  <w:r>
                    <w:rPr>
                      <w:rFonts w:hint="eastAsia"/>
                      <w:szCs w:val="21"/>
                    </w:rPr>
                    <w:t>太昌镇政府</w:t>
                  </w:r>
                </w:p>
              </w:tc>
              <w:tc>
                <w:tcPr>
                  <w:tcW w:w="1549" w:type="dxa"/>
                  <w:vAlign w:val="center"/>
                </w:tcPr>
                <w:p>
                  <w:pPr>
                    <w:adjustRightInd w:val="0"/>
                    <w:snapToGrid w:val="0"/>
                    <w:spacing w:line="240" w:lineRule="exact"/>
                    <w:jc w:val="center"/>
                    <w:rPr>
                      <w:szCs w:val="21"/>
                    </w:rPr>
                  </w:pPr>
                  <w:r>
                    <w:rPr>
                      <w:rFonts w:hint="eastAsia"/>
                      <w:szCs w:val="21"/>
                    </w:rPr>
                    <w:t>E/15m</w:t>
                  </w:r>
                </w:p>
              </w:tc>
              <w:tc>
                <w:tcPr>
                  <w:tcW w:w="1328" w:type="dxa"/>
                  <w:vAlign w:val="center"/>
                </w:tcPr>
                <w:p>
                  <w:pPr>
                    <w:adjustRightInd w:val="0"/>
                    <w:snapToGrid w:val="0"/>
                    <w:spacing w:line="240" w:lineRule="exact"/>
                    <w:jc w:val="center"/>
                    <w:rPr>
                      <w:szCs w:val="21"/>
                    </w:rPr>
                  </w:pPr>
                  <w:r>
                    <w:rPr>
                      <w:rFonts w:hint="eastAsia"/>
                      <w:szCs w:val="21"/>
                    </w:rPr>
                    <w:t>约30人</w:t>
                  </w:r>
                </w:p>
              </w:tc>
              <w:tc>
                <w:tcPr>
                  <w:tcW w:w="2466" w:type="dxa"/>
                  <w:vMerge w:val="restart"/>
                  <w:shd w:val="clear" w:color="auto" w:fill="auto"/>
                  <w:vAlign w:val="center"/>
                </w:tcPr>
                <w:p>
                  <w:pPr>
                    <w:adjustRightInd w:val="0"/>
                    <w:snapToGrid w:val="0"/>
                    <w:spacing w:line="240" w:lineRule="exact"/>
                    <w:jc w:val="center"/>
                    <w:rPr>
                      <w:szCs w:val="21"/>
                    </w:rPr>
                  </w:pPr>
                  <w:r>
                    <w:rPr>
                      <w:szCs w:val="21"/>
                    </w:rPr>
                    <w:t>《环境空气质量标准》（GB3095-2012）二级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Align w:val="center"/>
                </w:tcPr>
                <w:p>
                  <w:pPr>
                    <w:adjustRightInd w:val="0"/>
                    <w:snapToGrid w:val="0"/>
                    <w:spacing w:line="240" w:lineRule="exact"/>
                    <w:jc w:val="center"/>
                    <w:rPr>
                      <w:szCs w:val="21"/>
                    </w:rPr>
                  </w:pPr>
                  <w:r>
                    <w:rPr>
                      <w:rFonts w:hint="eastAsia"/>
                      <w:szCs w:val="21"/>
                    </w:rPr>
                    <w:t>卫生院</w:t>
                  </w:r>
                </w:p>
              </w:tc>
              <w:tc>
                <w:tcPr>
                  <w:tcW w:w="1527" w:type="dxa"/>
                  <w:vAlign w:val="center"/>
                </w:tcPr>
                <w:p>
                  <w:pPr>
                    <w:adjustRightInd w:val="0"/>
                    <w:snapToGrid w:val="0"/>
                    <w:spacing w:line="240" w:lineRule="exact"/>
                    <w:jc w:val="center"/>
                    <w:rPr>
                      <w:szCs w:val="21"/>
                    </w:rPr>
                  </w:pPr>
                  <w:r>
                    <w:rPr>
                      <w:rFonts w:hint="eastAsia"/>
                      <w:szCs w:val="21"/>
                    </w:rPr>
                    <w:t>太昌卫生院</w:t>
                  </w:r>
                </w:p>
              </w:tc>
              <w:tc>
                <w:tcPr>
                  <w:tcW w:w="1549" w:type="dxa"/>
                  <w:vAlign w:val="center"/>
                </w:tcPr>
                <w:p>
                  <w:pPr>
                    <w:adjustRightInd w:val="0"/>
                    <w:snapToGrid w:val="0"/>
                    <w:spacing w:line="240" w:lineRule="exact"/>
                    <w:jc w:val="center"/>
                    <w:rPr>
                      <w:szCs w:val="21"/>
                    </w:rPr>
                  </w:pPr>
                  <w:r>
                    <w:rPr>
                      <w:rFonts w:hint="eastAsia"/>
                      <w:szCs w:val="21"/>
                    </w:rPr>
                    <w:t>E/20m</w:t>
                  </w:r>
                </w:p>
              </w:tc>
              <w:tc>
                <w:tcPr>
                  <w:tcW w:w="1328" w:type="dxa"/>
                  <w:vAlign w:val="center"/>
                </w:tcPr>
                <w:p>
                  <w:pPr>
                    <w:adjustRightInd w:val="0"/>
                    <w:snapToGrid w:val="0"/>
                    <w:spacing w:line="240" w:lineRule="exact"/>
                    <w:jc w:val="center"/>
                    <w:rPr>
                      <w:szCs w:val="21"/>
                    </w:rPr>
                  </w:pPr>
                  <w:r>
                    <w:rPr>
                      <w:rFonts w:hint="eastAsia"/>
                      <w:szCs w:val="21"/>
                    </w:rPr>
                    <w:t>约45人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Align w:val="center"/>
                </w:tcPr>
                <w:p>
                  <w:pPr>
                    <w:adjustRightInd w:val="0"/>
                    <w:snapToGrid w:val="0"/>
                    <w:spacing w:line="240" w:lineRule="exact"/>
                    <w:jc w:val="center"/>
                    <w:rPr>
                      <w:szCs w:val="21"/>
                    </w:rPr>
                  </w:pPr>
                  <w:r>
                    <w:rPr>
                      <w:szCs w:val="21"/>
                    </w:rPr>
                    <w:t>居住</w:t>
                  </w:r>
                </w:p>
              </w:tc>
              <w:tc>
                <w:tcPr>
                  <w:tcW w:w="1527" w:type="dxa"/>
                  <w:vAlign w:val="center"/>
                </w:tcPr>
                <w:p>
                  <w:pPr>
                    <w:adjustRightInd w:val="0"/>
                    <w:snapToGrid w:val="0"/>
                    <w:spacing w:line="240" w:lineRule="exact"/>
                    <w:jc w:val="center"/>
                    <w:rPr>
                      <w:szCs w:val="21"/>
                    </w:rPr>
                  </w:pPr>
                  <w:r>
                    <w:rPr>
                      <w:rFonts w:hint="eastAsia"/>
                      <w:szCs w:val="21"/>
                    </w:rPr>
                    <w:t>街道居民</w:t>
                  </w:r>
                </w:p>
              </w:tc>
              <w:tc>
                <w:tcPr>
                  <w:tcW w:w="1549" w:type="dxa"/>
                  <w:vAlign w:val="center"/>
                </w:tcPr>
                <w:p>
                  <w:pPr>
                    <w:adjustRightInd w:val="0"/>
                    <w:snapToGrid w:val="0"/>
                    <w:spacing w:line="240" w:lineRule="exact"/>
                    <w:jc w:val="center"/>
                    <w:rPr>
                      <w:szCs w:val="21"/>
                    </w:rPr>
                  </w:pPr>
                  <w:r>
                    <w:rPr>
                      <w:rFonts w:hint="eastAsia"/>
                      <w:szCs w:val="21"/>
                    </w:rPr>
                    <w:t>公路两侧15m</w:t>
                  </w:r>
                </w:p>
              </w:tc>
              <w:tc>
                <w:tcPr>
                  <w:tcW w:w="1328" w:type="dxa"/>
                  <w:vAlign w:val="center"/>
                </w:tcPr>
                <w:p>
                  <w:pPr>
                    <w:adjustRightInd w:val="0"/>
                    <w:snapToGrid w:val="0"/>
                    <w:spacing w:line="240" w:lineRule="exact"/>
                    <w:jc w:val="center"/>
                    <w:rPr>
                      <w:szCs w:val="21"/>
                    </w:rPr>
                  </w:pPr>
                  <w:r>
                    <w:rPr>
                      <w:rFonts w:hint="eastAsia"/>
                      <w:szCs w:val="21"/>
                    </w:rPr>
                    <w:t>约3200人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restart"/>
                  <w:vAlign w:val="center"/>
                </w:tcPr>
                <w:p>
                  <w:pPr>
                    <w:adjustRightInd w:val="0"/>
                    <w:snapToGrid w:val="0"/>
                    <w:spacing w:line="240" w:lineRule="exact"/>
                    <w:jc w:val="center"/>
                    <w:rPr>
                      <w:szCs w:val="21"/>
                    </w:rPr>
                  </w:pPr>
                  <w:r>
                    <w:rPr>
                      <w:rFonts w:hint="eastAsia"/>
                      <w:szCs w:val="21"/>
                    </w:rPr>
                    <w:t>学校</w:t>
                  </w:r>
                </w:p>
              </w:tc>
              <w:tc>
                <w:tcPr>
                  <w:tcW w:w="1527" w:type="dxa"/>
                  <w:vAlign w:val="center"/>
                </w:tcPr>
                <w:p>
                  <w:pPr>
                    <w:adjustRightInd w:val="0"/>
                    <w:snapToGrid w:val="0"/>
                    <w:spacing w:line="240" w:lineRule="exact"/>
                    <w:jc w:val="center"/>
                    <w:rPr>
                      <w:szCs w:val="21"/>
                    </w:rPr>
                  </w:pPr>
                  <w:r>
                    <w:rPr>
                      <w:rFonts w:hint="eastAsia"/>
                      <w:szCs w:val="21"/>
                    </w:rPr>
                    <w:t>联合小学</w:t>
                  </w:r>
                </w:p>
              </w:tc>
              <w:tc>
                <w:tcPr>
                  <w:tcW w:w="1549" w:type="dxa"/>
                  <w:vAlign w:val="center"/>
                </w:tcPr>
                <w:p>
                  <w:pPr>
                    <w:adjustRightInd w:val="0"/>
                    <w:snapToGrid w:val="0"/>
                    <w:spacing w:line="240" w:lineRule="exact"/>
                    <w:jc w:val="center"/>
                    <w:rPr>
                      <w:szCs w:val="21"/>
                    </w:rPr>
                  </w:pPr>
                  <w:r>
                    <w:rPr>
                      <w:rFonts w:hint="eastAsia"/>
                      <w:szCs w:val="21"/>
                    </w:rPr>
                    <w:t>W/180m</w:t>
                  </w:r>
                </w:p>
              </w:tc>
              <w:tc>
                <w:tcPr>
                  <w:tcW w:w="1328" w:type="dxa"/>
                  <w:vAlign w:val="center"/>
                </w:tcPr>
                <w:p>
                  <w:pPr>
                    <w:adjustRightInd w:val="0"/>
                    <w:snapToGrid w:val="0"/>
                    <w:spacing w:line="240" w:lineRule="exact"/>
                    <w:jc w:val="center"/>
                    <w:rPr>
                      <w:szCs w:val="21"/>
                    </w:rPr>
                  </w:pPr>
                  <w:r>
                    <w:rPr>
                      <w:rFonts w:hint="eastAsia"/>
                      <w:szCs w:val="21"/>
                    </w:rPr>
                    <w:t>约240人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太昌初级中学</w:t>
                  </w:r>
                </w:p>
              </w:tc>
              <w:tc>
                <w:tcPr>
                  <w:tcW w:w="1549" w:type="dxa"/>
                  <w:vAlign w:val="center"/>
                </w:tcPr>
                <w:p>
                  <w:pPr>
                    <w:adjustRightInd w:val="0"/>
                    <w:snapToGrid w:val="0"/>
                    <w:spacing w:line="240" w:lineRule="exact"/>
                    <w:jc w:val="center"/>
                    <w:rPr>
                      <w:szCs w:val="21"/>
                    </w:rPr>
                  </w:pPr>
                  <w:r>
                    <w:rPr>
                      <w:rFonts w:hint="eastAsia"/>
                      <w:szCs w:val="21"/>
                    </w:rPr>
                    <w:t>SE/130</w:t>
                  </w:r>
                  <w:r>
                    <w:rPr>
                      <w:szCs w:val="21"/>
                    </w:rPr>
                    <w:t>m</w:t>
                  </w:r>
                </w:p>
              </w:tc>
              <w:tc>
                <w:tcPr>
                  <w:tcW w:w="1328" w:type="dxa"/>
                  <w:vAlign w:val="center"/>
                </w:tcPr>
                <w:p>
                  <w:pPr>
                    <w:adjustRightInd w:val="0"/>
                    <w:snapToGrid w:val="0"/>
                    <w:spacing w:line="240" w:lineRule="exact"/>
                    <w:jc w:val="center"/>
                    <w:rPr>
                      <w:szCs w:val="21"/>
                    </w:rPr>
                  </w:pPr>
                  <w:r>
                    <w:rPr>
                      <w:rFonts w:hint="eastAsia"/>
                      <w:szCs w:val="21"/>
                    </w:rPr>
                    <w:t>约260人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太昌东风小学</w:t>
                  </w:r>
                </w:p>
              </w:tc>
              <w:tc>
                <w:tcPr>
                  <w:tcW w:w="1549" w:type="dxa"/>
                  <w:vAlign w:val="center"/>
                </w:tcPr>
                <w:p>
                  <w:pPr>
                    <w:adjustRightInd w:val="0"/>
                    <w:snapToGrid w:val="0"/>
                    <w:spacing w:line="240" w:lineRule="exact"/>
                    <w:jc w:val="center"/>
                    <w:rPr>
                      <w:szCs w:val="21"/>
                    </w:rPr>
                  </w:pPr>
                  <w:r>
                    <w:rPr>
                      <w:rFonts w:hint="eastAsia"/>
                      <w:szCs w:val="21"/>
                    </w:rPr>
                    <w:t>SE/170</w:t>
                  </w:r>
                  <w:r>
                    <w:rPr>
                      <w:szCs w:val="21"/>
                    </w:rPr>
                    <w:t>m</w:t>
                  </w:r>
                </w:p>
              </w:tc>
              <w:tc>
                <w:tcPr>
                  <w:tcW w:w="1328" w:type="dxa"/>
                  <w:vAlign w:val="center"/>
                </w:tcPr>
                <w:p>
                  <w:pPr>
                    <w:adjustRightInd w:val="0"/>
                    <w:snapToGrid w:val="0"/>
                    <w:spacing w:line="240" w:lineRule="exact"/>
                    <w:jc w:val="center"/>
                    <w:rPr>
                      <w:szCs w:val="21"/>
                    </w:rPr>
                  </w:pPr>
                  <w:r>
                    <w:rPr>
                      <w:rFonts w:hint="eastAsia"/>
                      <w:szCs w:val="21"/>
                    </w:rPr>
                    <w:t>约240人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restart"/>
                  <w:vAlign w:val="center"/>
                </w:tcPr>
                <w:p>
                  <w:pPr>
                    <w:adjustRightInd w:val="0"/>
                    <w:snapToGrid w:val="0"/>
                    <w:spacing w:line="240" w:lineRule="exact"/>
                    <w:jc w:val="center"/>
                    <w:rPr>
                      <w:szCs w:val="21"/>
                    </w:rPr>
                  </w:pPr>
                  <w:r>
                    <w:rPr>
                      <w:rFonts w:hint="eastAsia"/>
                      <w:szCs w:val="21"/>
                    </w:rPr>
                    <w:t>声环境</w:t>
                  </w:r>
                </w:p>
              </w:tc>
              <w:tc>
                <w:tcPr>
                  <w:tcW w:w="894" w:type="dxa"/>
                  <w:vAlign w:val="center"/>
                </w:tcPr>
                <w:p>
                  <w:pPr>
                    <w:adjustRightInd w:val="0"/>
                    <w:snapToGrid w:val="0"/>
                    <w:spacing w:line="240" w:lineRule="exact"/>
                    <w:jc w:val="center"/>
                    <w:rPr>
                      <w:szCs w:val="21"/>
                    </w:rPr>
                  </w:pPr>
                  <w:r>
                    <w:rPr>
                      <w:rFonts w:hint="eastAsia"/>
                      <w:szCs w:val="21"/>
                    </w:rPr>
                    <w:t>乡政府</w:t>
                  </w:r>
                </w:p>
              </w:tc>
              <w:tc>
                <w:tcPr>
                  <w:tcW w:w="1527" w:type="dxa"/>
                  <w:vAlign w:val="center"/>
                </w:tcPr>
                <w:p>
                  <w:pPr>
                    <w:adjustRightInd w:val="0"/>
                    <w:snapToGrid w:val="0"/>
                    <w:spacing w:line="240" w:lineRule="exact"/>
                    <w:jc w:val="center"/>
                    <w:rPr>
                      <w:szCs w:val="21"/>
                    </w:rPr>
                  </w:pPr>
                  <w:r>
                    <w:rPr>
                      <w:rFonts w:hint="eastAsia"/>
                      <w:szCs w:val="21"/>
                    </w:rPr>
                    <w:t>太昌镇政府</w:t>
                  </w:r>
                </w:p>
              </w:tc>
              <w:tc>
                <w:tcPr>
                  <w:tcW w:w="1549" w:type="dxa"/>
                  <w:vAlign w:val="center"/>
                </w:tcPr>
                <w:p>
                  <w:pPr>
                    <w:adjustRightInd w:val="0"/>
                    <w:snapToGrid w:val="0"/>
                    <w:spacing w:line="240" w:lineRule="exact"/>
                    <w:jc w:val="center"/>
                    <w:rPr>
                      <w:szCs w:val="21"/>
                    </w:rPr>
                  </w:pPr>
                  <w:r>
                    <w:rPr>
                      <w:rFonts w:hint="eastAsia"/>
                      <w:szCs w:val="21"/>
                    </w:rPr>
                    <w:t>E/15m</w:t>
                  </w:r>
                </w:p>
              </w:tc>
              <w:tc>
                <w:tcPr>
                  <w:tcW w:w="1328" w:type="dxa"/>
                  <w:vAlign w:val="center"/>
                </w:tcPr>
                <w:p>
                  <w:pPr>
                    <w:adjustRightInd w:val="0"/>
                    <w:snapToGrid w:val="0"/>
                    <w:spacing w:line="240" w:lineRule="exact"/>
                    <w:jc w:val="center"/>
                    <w:rPr>
                      <w:szCs w:val="21"/>
                    </w:rPr>
                  </w:pPr>
                  <w:r>
                    <w:rPr>
                      <w:rFonts w:hint="eastAsia"/>
                      <w:szCs w:val="21"/>
                    </w:rPr>
                    <w:t>约30人</w:t>
                  </w:r>
                </w:p>
              </w:tc>
              <w:tc>
                <w:tcPr>
                  <w:tcW w:w="2466" w:type="dxa"/>
                  <w:vMerge w:val="restart"/>
                  <w:shd w:val="clear" w:color="auto" w:fill="auto"/>
                  <w:vAlign w:val="center"/>
                </w:tcPr>
                <w:p>
                  <w:pPr>
                    <w:adjustRightInd w:val="0"/>
                    <w:snapToGrid w:val="0"/>
                    <w:spacing w:line="240" w:lineRule="exact"/>
                    <w:jc w:val="center"/>
                    <w:rPr>
                      <w:szCs w:val="21"/>
                    </w:rPr>
                  </w:pPr>
                  <w:r>
                    <w:rPr>
                      <w:rFonts w:hint="eastAsia"/>
                      <w:bCs/>
                      <w:szCs w:val="21"/>
                    </w:rPr>
                    <w:t>《声环境质量标准》</w:t>
                  </w:r>
                  <w:r>
                    <w:rPr>
                      <w:bCs/>
                      <w:szCs w:val="21"/>
                    </w:rPr>
                    <w:t>(GB3096-2008)</w:t>
                  </w:r>
                  <w:r>
                    <w:rPr>
                      <w:rFonts w:hint="eastAsia"/>
                      <w:bCs/>
                      <w:szCs w:val="21"/>
                    </w:rPr>
                    <w:t>4a类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Align w:val="center"/>
                </w:tcPr>
                <w:p>
                  <w:pPr>
                    <w:adjustRightInd w:val="0"/>
                    <w:snapToGrid w:val="0"/>
                    <w:spacing w:line="240" w:lineRule="exact"/>
                    <w:jc w:val="center"/>
                    <w:rPr>
                      <w:szCs w:val="21"/>
                    </w:rPr>
                  </w:pPr>
                  <w:r>
                    <w:rPr>
                      <w:rFonts w:hint="eastAsia"/>
                      <w:szCs w:val="21"/>
                    </w:rPr>
                    <w:t>卫生院</w:t>
                  </w:r>
                </w:p>
              </w:tc>
              <w:tc>
                <w:tcPr>
                  <w:tcW w:w="1527" w:type="dxa"/>
                  <w:vAlign w:val="center"/>
                </w:tcPr>
                <w:p>
                  <w:pPr>
                    <w:adjustRightInd w:val="0"/>
                    <w:snapToGrid w:val="0"/>
                    <w:spacing w:line="240" w:lineRule="exact"/>
                    <w:jc w:val="center"/>
                    <w:rPr>
                      <w:szCs w:val="21"/>
                    </w:rPr>
                  </w:pPr>
                  <w:r>
                    <w:rPr>
                      <w:rFonts w:hint="eastAsia"/>
                      <w:szCs w:val="21"/>
                    </w:rPr>
                    <w:t>太昌卫生院</w:t>
                  </w:r>
                </w:p>
              </w:tc>
              <w:tc>
                <w:tcPr>
                  <w:tcW w:w="1549" w:type="dxa"/>
                  <w:vAlign w:val="center"/>
                </w:tcPr>
                <w:p>
                  <w:pPr>
                    <w:adjustRightInd w:val="0"/>
                    <w:snapToGrid w:val="0"/>
                    <w:spacing w:line="240" w:lineRule="exact"/>
                    <w:jc w:val="center"/>
                    <w:rPr>
                      <w:szCs w:val="21"/>
                    </w:rPr>
                  </w:pPr>
                  <w:r>
                    <w:rPr>
                      <w:rFonts w:hint="eastAsia"/>
                      <w:szCs w:val="21"/>
                    </w:rPr>
                    <w:t>E/20m</w:t>
                  </w:r>
                </w:p>
              </w:tc>
              <w:tc>
                <w:tcPr>
                  <w:tcW w:w="1328" w:type="dxa"/>
                  <w:vAlign w:val="center"/>
                </w:tcPr>
                <w:p>
                  <w:pPr>
                    <w:adjustRightInd w:val="0"/>
                    <w:snapToGrid w:val="0"/>
                    <w:spacing w:line="240" w:lineRule="exact"/>
                    <w:jc w:val="center"/>
                    <w:rPr>
                      <w:szCs w:val="21"/>
                    </w:rPr>
                  </w:pPr>
                  <w:r>
                    <w:rPr>
                      <w:rFonts w:hint="eastAsia"/>
                      <w:szCs w:val="21"/>
                    </w:rPr>
                    <w:t>约45人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Align w:val="center"/>
                </w:tcPr>
                <w:p>
                  <w:pPr>
                    <w:adjustRightInd w:val="0"/>
                    <w:snapToGrid w:val="0"/>
                    <w:spacing w:line="240" w:lineRule="exact"/>
                    <w:jc w:val="center"/>
                    <w:rPr>
                      <w:szCs w:val="21"/>
                    </w:rPr>
                  </w:pPr>
                  <w:r>
                    <w:rPr>
                      <w:szCs w:val="21"/>
                    </w:rPr>
                    <w:t>居住</w:t>
                  </w:r>
                </w:p>
              </w:tc>
              <w:tc>
                <w:tcPr>
                  <w:tcW w:w="1527" w:type="dxa"/>
                  <w:vAlign w:val="center"/>
                </w:tcPr>
                <w:p>
                  <w:pPr>
                    <w:adjustRightInd w:val="0"/>
                    <w:snapToGrid w:val="0"/>
                    <w:spacing w:line="240" w:lineRule="exact"/>
                    <w:jc w:val="center"/>
                    <w:rPr>
                      <w:szCs w:val="21"/>
                    </w:rPr>
                  </w:pPr>
                  <w:r>
                    <w:rPr>
                      <w:rFonts w:hint="eastAsia"/>
                      <w:szCs w:val="21"/>
                    </w:rPr>
                    <w:t>街道居民</w:t>
                  </w:r>
                </w:p>
              </w:tc>
              <w:tc>
                <w:tcPr>
                  <w:tcW w:w="1549" w:type="dxa"/>
                  <w:vAlign w:val="center"/>
                </w:tcPr>
                <w:p>
                  <w:pPr>
                    <w:adjustRightInd w:val="0"/>
                    <w:snapToGrid w:val="0"/>
                    <w:spacing w:line="240" w:lineRule="exact"/>
                    <w:jc w:val="center"/>
                    <w:rPr>
                      <w:szCs w:val="21"/>
                    </w:rPr>
                  </w:pPr>
                  <w:r>
                    <w:rPr>
                      <w:rFonts w:hint="eastAsia"/>
                      <w:szCs w:val="21"/>
                    </w:rPr>
                    <w:t>公路两侧15m</w:t>
                  </w:r>
                </w:p>
              </w:tc>
              <w:tc>
                <w:tcPr>
                  <w:tcW w:w="1328" w:type="dxa"/>
                  <w:vAlign w:val="center"/>
                </w:tcPr>
                <w:p>
                  <w:pPr>
                    <w:adjustRightInd w:val="0"/>
                    <w:snapToGrid w:val="0"/>
                    <w:spacing w:line="240" w:lineRule="exact"/>
                    <w:jc w:val="center"/>
                    <w:rPr>
                      <w:szCs w:val="21"/>
                    </w:rPr>
                  </w:pPr>
                  <w:r>
                    <w:rPr>
                      <w:rFonts w:hint="eastAsia"/>
                      <w:szCs w:val="21"/>
                    </w:rPr>
                    <w:t>约3200人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restart"/>
                  <w:vAlign w:val="center"/>
                </w:tcPr>
                <w:p>
                  <w:pPr>
                    <w:adjustRightInd w:val="0"/>
                    <w:snapToGrid w:val="0"/>
                    <w:spacing w:line="240" w:lineRule="exact"/>
                    <w:jc w:val="center"/>
                    <w:rPr>
                      <w:szCs w:val="21"/>
                    </w:rPr>
                  </w:pPr>
                  <w:r>
                    <w:rPr>
                      <w:rFonts w:hint="eastAsia"/>
                      <w:szCs w:val="21"/>
                    </w:rPr>
                    <w:t>学校</w:t>
                  </w:r>
                </w:p>
              </w:tc>
              <w:tc>
                <w:tcPr>
                  <w:tcW w:w="1527" w:type="dxa"/>
                  <w:vAlign w:val="center"/>
                </w:tcPr>
                <w:p>
                  <w:pPr>
                    <w:adjustRightInd w:val="0"/>
                    <w:snapToGrid w:val="0"/>
                    <w:spacing w:line="240" w:lineRule="exact"/>
                    <w:jc w:val="center"/>
                    <w:rPr>
                      <w:szCs w:val="21"/>
                    </w:rPr>
                  </w:pPr>
                  <w:r>
                    <w:rPr>
                      <w:rFonts w:hint="eastAsia"/>
                      <w:szCs w:val="21"/>
                    </w:rPr>
                    <w:t>联合小学</w:t>
                  </w:r>
                </w:p>
              </w:tc>
              <w:tc>
                <w:tcPr>
                  <w:tcW w:w="1549" w:type="dxa"/>
                  <w:vAlign w:val="center"/>
                </w:tcPr>
                <w:p>
                  <w:pPr>
                    <w:adjustRightInd w:val="0"/>
                    <w:snapToGrid w:val="0"/>
                    <w:spacing w:line="240" w:lineRule="exact"/>
                    <w:jc w:val="center"/>
                    <w:rPr>
                      <w:szCs w:val="21"/>
                    </w:rPr>
                  </w:pPr>
                  <w:r>
                    <w:rPr>
                      <w:rFonts w:hint="eastAsia"/>
                      <w:szCs w:val="21"/>
                    </w:rPr>
                    <w:t>W/180m</w:t>
                  </w:r>
                </w:p>
              </w:tc>
              <w:tc>
                <w:tcPr>
                  <w:tcW w:w="1328" w:type="dxa"/>
                  <w:vAlign w:val="center"/>
                </w:tcPr>
                <w:p>
                  <w:pPr>
                    <w:adjustRightInd w:val="0"/>
                    <w:snapToGrid w:val="0"/>
                    <w:spacing w:line="240" w:lineRule="exact"/>
                    <w:jc w:val="center"/>
                    <w:rPr>
                      <w:szCs w:val="21"/>
                    </w:rPr>
                  </w:pPr>
                  <w:r>
                    <w:rPr>
                      <w:rFonts w:hint="eastAsia"/>
                      <w:szCs w:val="21"/>
                    </w:rPr>
                    <w:t>约240人</w:t>
                  </w:r>
                </w:p>
              </w:tc>
              <w:tc>
                <w:tcPr>
                  <w:tcW w:w="2466" w:type="dxa"/>
                  <w:vMerge w:val="restart"/>
                  <w:shd w:val="clear" w:color="auto" w:fill="auto"/>
                  <w:vAlign w:val="center"/>
                </w:tcPr>
                <w:p>
                  <w:pPr>
                    <w:adjustRightInd w:val="0"/>
                    <w:snapToGrid w:val="0"/>
                    <w:spacing w:line="240" w:lineRule="exact"/>
                    <w:jc w:val="center"/>
                    <w:rPr>
                      <w:szCs w:val="21"/>
                    </w:rPr>
                  </w:pPr>
                  <w:r>
                    <w:rPr>
                      <w:rFonts w:hint="eastAsia"/>
                      <w:bCs/>
                      <w:szCs w:val="21"/>
                    </w:rPr>
                    <w:t>《声环境质量标准》</w:t>
                  </w:r>
                  <w:r>
                    <w:rPr>
                      <w:bCs/>
                      <w:szCs w:val="21"/>
                    </w:rPr>
                    <w:t>(GB3096-2008)</w:t>
                  </w:r>
                  <w:r>
                    <w:rPr>
                      <w:rFonts w:hint="eastAsia"/>
                      <w:bCs/>
                      <w:szCs w:val="21"/>
                    </w:rPr>
                    <w:t>2类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太昌初级中学</w:t>
                  </w:r>
                </w:p>
              </w:tc>
              <w:tc>
                <w:tcPr>
                  <w:tcW w:w="1549" w:type="dxa"/>
                  <w:vAlign w:val="center"/>
                </w:tcPr>
                <w:p>
                  <w:pPr>
                    <w:adjustRightInd w:val="0"/>
                    <w:snapToGrid w:val="0"/>
                    <w:spacing w:line="240" w:lineRule="exact"/>
                    <w:jc w:val="center"/>
                    <w:rPr>
                      <w:szCs w:val="21"/>
                    </w:rPr>
                  </w:pPr>
                  <w:r>
                    <w:rPr>
                      <w:rFonts w:hint="eastAsia"/>
                      <w:szCs w:val="21"/>
                    </w:rPr>
                    <w:t>SE/130</w:t>
                  </w:r>
                  <w:r>
                    <w:rPr>
                      <w:szCs w:val="21"/>
                    </w:rPr>
                    <w:t>m</w:t>
                  </w:r>
                </w:p>
              </w:tc>
              <w:tc>
                <w:tcPr>
                  <w:tcW w:w="1328" w:type="dxa"/>
                  <w:vAlign w:val="center"/>
                </w:tcPr>
                <w:p>
                  <w:pPr>
                    <w:adjustRightInd w:val="0"/>
                    <w:snapToGrid w:val="0"/>
                    <w:spacing w:line="240" w:lineRule="exact"/>
                    <w:jc w:val="center"/>
                    <w:rPr>
                      <w:szCs w:val="21"/>
                    </w:rPr>
                  </w:pPr>
                  <w:r>
                    <w:rPr>
                      <w:rFonts w:hint="eastAsia"/>
                      <w:szCs w:val="21"/>
                    </w:rPr>
                    <w:t>约260人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太昌东风小学</w:t>
                  </w:r>
                </w:p>
              </w:tc>
              <w:tc>
                <w:tcPr>
                  <w:tcW w:w="1549" w:type="dxa"/>
                  <w:vAlign w:val="center"/>
                </w:tcPr>
                <w:p>
                  <w:pPr>
                    <w:adjustRightInd w:val="0"/>
                    <w:snapToGrid w:val="0"/>
                    <w:spacing w:line="240" w:lineRule="exact"/>
                    <w:jc w:val="center"/>
                    <w:rPr>
                      <w:szCs w:val="21"/>
                    </w:rPr>
                  </w:pPr>
                  <w:r>
                    <w:rPr>
                      <w:rFonts w:hint="eastAsia"/>
                      <w:szCs w:val="21"/>
                    </w:rPr>
                    <w:t>SE/170</w:t>
                  </w:r>
                  <w:r>
                    <w:rPr>
                      <w:szCs w:val="21"/>
                    </w:rPr>
                    <w:t>m</w:t>
                  </w:r>
                </w:p>
              </w:tc>
              <w:tc>
                <w:tcPr>
                  <w:tcW w:w="1328" w:type="dxa"/>
                  <w:vAlign w:val="center"/>
                </w:tcPr>
                <w:p>
                  <w:pPr>
                    <w:adjustRightInd w:val="0"/>
                    <w:snapToGrid w:val="0"/>
                    <w:spacing w:line="240" w:lineRule="exact"/>
                    <w:jc w:val="center"/>
                    <w:rPr>
                      <w:szCs w:val="21"/>
                    </w:rPr>
                  </w:pPr>
                  <w:r>
                    <w:rPr>
                      <w:rFonts w:hint="eastAsia"/>
                      <w:szCs w:val="21"/>
                    </w:rPr>
                    <w:t>约240人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8901" w:type="dxa"/>
                  <w:gridSpan w:val="6"/>
                  <w:vAlign w:val="center"/>
                </w:tcPr>
                <w:p>
                  <w:pPr>
                    <w:adjustRightInd w:val="0"/>
                    <w:snapToGrid w:val="0"/>
                    <w:spacing w:line="240" w:lineRule="exact"/>
                    <w:jc w:val="center"/>
                    <w:rPr>
                      <w:b/>
                      <w:szCs w:val="21"/>
                    </w:rPr>
                  </w:pPr>
                  <w:r>
                    <w:rPr>
                      <w:rFonts w:hint="eastAsia"/>
                      <w:b/>
                      <w:szCs w:val="21"/>
                    </w:rPr>
                    <w:t>污水处理站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restart"/>
                  <w:vAlign w:val="center"/>
                </w:tcPr>
                <w:p>
                  <w:pPr>
                    <w:adjustRightInd w:val="0"/>
                    <w:snapToGrid w:val="0"/>
                    <w:spacing w:line="240" w:lineRule="exact"/>
                    <w:jc w:val="center"/>
                    <w:rPr>
                      <w:szCs w:val="21"/>
                    </w:rPr>
                  </w:pPr>
                  <w:r>
                    <w:rPr>
                      <w:szCs w:val="21"/>
                    </w:rPr>
                    <w:t>环境空气</w:t>
                  </w:r>
                </w:p>
              </w:tc>
              <w:tc>
                <w:tcPr>
                  <w:tcW w:w="894" w:type="dxa"/>
                  <w:vAlign w:val="center"/>
                </w:tcPr>
                <w:p>
                  <w:pPr>
                    <w:adjustRightInd w:val="0"/>
                    <w:snapToGrid w:val="0"/>
                    <w:spacing w:line="240" w:lineRule="exact"/>
                    <w:jc w:val="center"/>
                    <w:rPr>
                      <w:szCs w:val="21"/>
                    </w:rPr>
                  </w:pPr>
                  <w:r>
                    <w:rPr>
                      <w:rFonts w:hint="eastAsia"/>
                      <w:szCs w:val="21"/>
                    </w:rPr>
                    <w:t>乡政府</w:t>
                  </w:r>
                </w:p>
              </w:tc>
              <w:tc>
                <w:tcPr>
                  <w:tcW w:w="1527" w:type="dxa"/>
                  <w:vAlign w:val="center"/>
                </w:tcPr>
                <w:p>
                  <w:pPr>
                    <w:adjustRightInd w:val="0"/>
                    <w:snapToGrid w:val="0"/>
                    <w:spacing w:line="240" w:lineRule="exact"/>
                    <w:jc w:val="center"/>
                    <w:rPr>
                      <w:szCs w:val="21"/>
                    </w:rPr>
                  </w:pPr>
                  <w:r>
                    <w:rPr>
                      <w:rFonts w:hint="eastAsia"/>
                      <w:szCs w:val="21"/>
                    </w:rPr>
                    <w:t>太昌镇政府</w:t>
                  </w:r>
                </w:p>
              </w:tc>
              <w:tc>
                <w:tcPr>
                  <w:tcW w:w="1549" w:type="dxa"/>
                  <w:vAlign w:val="center"/>
                </w:tcPr>
                <w:p>
                  <w:pPr>
                    <w:adjustRightInd w:val="0"/>
                    <w:snapToGrid w:val="0"/>
                    <w:spacing w:line="240" w:lineRule="exact"/>
                    <w:jc w:val="center"/>
                    <w:rPr>
                      <w:szCs w:val="21"/>
                    </w:rPr>
                  </w:pPr>
                  <w:r>
                    <w:rPr>
                      <w:rFonts w:hint="eastAsia"/>
                      <w:szCs w:val="21"/>
                    </w:rPr>
                    <w:t>N/650m</w:t>
                  </w:r>
                </w:p>
              </w:tc>
              <w:tc>
                <w:tcPr>
                  <w:tcW w:w="1328" w:type="dxa"/>
                  <w:vAlign w:val="center"/>
                </w:tcPr>
                <w:p>
                  <w:pPr>
                    <w:adjustRightInd w:val="0"/>
                    <w:snapToGrid w:val="0"/>
                    <w:spacing w:line="240" w:lineRule="exact"/>
                    <w:jc w:val="center"/>
                    <w:rPr>
                      <w:szCs w:val="21"/>
                    </w:rPr>
                  </w:pPr>
                  <w:r>
                    <w:rPr>
                      <w:rFonts w:hint="eastAsia"/>
                      <w:szCs w:val="21"/>
                    </w:rPr>
                    <w:t>约30人</w:t>
                  </w:r>
                </w:p>
              </w:tc>
              <w:tc>
                <w:tcPr>
                  <w:tcW w:w="2466" w:type="dxa"/>
                  <w:vMerge w:val="restart"/>
                  <w:shd w:val="clear" w:color="auto" w:fill="auto"/>
                  <w:vAlign w:val="center"/>
                </w:tcPr>
                <w:p>
                  <w:pPr>
                    <w:adjustRightInd w:val="0"/>
                    <w:snapToGrid w:val="0"/>
                    <w:spacing w:line="240" w:lineRule="exact"/>
                    <w:jc w:val="center"/>
                    <w:rPr>
                      <w:szCs w:val="21"/>
                    </w:rPr>
                  </w:pPr>
                  <w:r>
                    <w:rPr>
                      <w:szCs w:val="21"/>
                    </w:rPr>
                    <w:t>《环境空气质量标准》（GB3095-2012）二级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Align w:val="center"/>
                </w:tcPr>
                <w:p>
                  <w:pPr>
                    <w:adjustRightInd w:val="0"/>
                    <w:snapToGrid w:val="0"/>
                    <w:spacing w:line="240" w:lineRule="exact"/>
                    <w:jc w:val="center"/>
                    <w:rPr>
                      <w:szCs w:val="21"/>
                    </w:rPr>
                  </w:pPr>
                  <w:r>
                    <w:rPr>
                      <w:rFonts w:hint="eastAsia"/>
                      <w:szCs w:val="21"/>
                    </w:rPr>
                    <w:t>卫生院</w:t>
                  </w:r>
                </w:p>
              </w:tc>
              <w:tc>
                <w:tcPr>
                  <w:tcW w:w="1527" w:type="dxa"/>
                  <w:vAlign w:val="center"/>
                </w:tcPr>
                <w:p>
                  <w:pPr>
                    <w:adjustRightInd w:val="0"/>
                    <w:snapToGrid w:val="0"/>
                    <w:spacing w:line="240" w:lineRule="exact"/>
                    <w:jc w:val="center"/>
                    <w:rPr>
                      <w:szCs w:val="21"/>
                    </w:rPr>
                  </w:pPr>
                  <w:r>
                    <w:rPr>
                      <w:rFonts w:hint="eastAsia"/>
                      <w:szCs w:val="21"/>
                    </w:rPr>
                    <w:t>太昌卫生院</w:t>
                  </w:r>
                </w:p>
              </w:tc>
              <w:tc>
                <w:tcPr>
                  <w:tcW w:w="1549" w:type="dxa"/>
                  <w:vAlign w:val="center"/>
                </w:tcPr>
                <w:p>
                  <w:pPr>
                    <w:adjustRightInd w:val="0"/>
                    <w:snapToGrid w:val="0"/>
                    <w:spacing w:line="240" w:lineRule="exact"/>
                    <w:jc w:val="center"/>
                    <w:rPr>
                      <w:szCs w:val="21"/>
                    </w:rPr>
                  </w:pPr>
                  <w:r>
                    <w:rPr>
                      <w:rFonts w:hint="eastAsia"/>
                      <w:szCs w:val="21"/>
                    </w:rPr>
                    <w:t>N/480m</w:t>
                  </w:r>
                </w:p>
              </w:tc>
              <w:tc>
                <w:tcPr>
                  <w:tcW w:w="1328" w:type="dxa"/>
                  <w:vAlign w:val="center"/>
                </w:tcPr>
                <w:p>
                  <w:pPr>
                    <w:adjustRightInd w:val="0"/>
                    <w:snapToGrid w:val="0"/>
                    <w:spacing w:line="240" w:lineRule="exact"/>
                    <w:jc w:val="center"/>
                    <w:rPr>
                      <w:szCs w:val="21"/>
                    </w:rPr>
                  </w:pPr>
                  <w:r>
                    <w:rPr>
                      <w:rFonts w:hint="eastAsia"/>
                      <w:szCs w:val="21"/>
                    </w:rPr>
                    <w:t>约45人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restart"/>
                  <w:vAlign w:val="center"/>
                </w:tcPr>
                <w:p>
                  <w:pPr>
                    <w:adjustRightInd w:val="0"/>
                    <w:snapToGrid w:val="0"/>
                    <w:spacing w:line="240" w:lineRule="exact"/>
                    <w:jc w:val="center"/>
                    <w:rPr>
                      <w:szCs w:val="21"/>
                    </w:rPr>
                  </w:pPr>
                  <w:r>
                    <w:rPr>
                      <w:szCs w:val="21"/>
                    </w:rPr>
                    <w:t>居住</w:t>
                  </w:r>
                </w:p>
              </w:tc>
              <w:tc>
                <w:tcPr>
                  <w:tcW w:w="1527" w:type="dxa"/>
                  <w:vAlign w:val="center"/>
                </w:tcPr>
                <w:p>
                  <w:pPr>
                    <w:adjustRightInd w:val="0"/>
                    <w:snapToGrid w:val="0"/>
                    <w:spacing w:line="240" w:lineRule="exact"/>
                    <w:jc w:val="center"/>
                    <w:rPr>
                      <w:szCs w:val="21"/>
                    </w:rPr>
                  </w:pPr>
                  <w:r>
                    <w:rPr>
                      <w:rFonts w:hint="eastAsia"/>
                      <w:szCs w:val="21"/>
                    </w:rPr>
                    <w:t>居民</w:t>
                  </w:r>
                </w:p>
              </w:tc>
              <w:tc>
                <w:tcPr>
                  <w:tcW w:w="1549" w:type="dxa"/>
                  <w:vAlign w:val="center"/>
                </w:tcPr>
                <w:p>
                  <w:pPr>
                    <w:adjustRightInd w:val="0"/>
                    <w:snapToGrid w:val="0"/>
                    <w:spacing w:line="240" w:lineRule="exact"/>
                    <w:jc w:val="center"/>
                    <w:rPr>
                      <w:szCs w:val="21"/>
                    </w:rPr>
                  </w:pPr>
                  <w:r>
                    <w:rPr>
                      <w:rFonts w:hint="eastAsia"/>
                      <w:szCs w:val="21"/>
                    </w:rPr>
                    <w:t>NE/51m</w:t>
                  </w:r>
                </w:p>
              </w:tc>
              <w:tc>
                <w:tcPr>
                  <w:tcW w:w="1328" w:type="dxa"/>
                  <w:vAlign w:val="center"/>
                </w:tcPr>
                <w:p>
                  <w:pPr>
                    <w:adjustRightInd w:val="0"/>
                    <w:snapToGrid w:val="0"/>
                    <w:spacing w:line="240" w:lineRule="exact"/>
                    <w:jc w:val="center"/>
                    <w:rPr>
                      <w:szCs w:val="21"/>
                    </w:rPr>
                  </w:pPr>
                  <w:r>
                    <w:rPr>
                      <w:rFonts w:hint="eastAsia"/>
                      <w:szCs w:val="21"/>
                    </w:rPr>
                    <w:t>1户</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居民</w:t>
                  </w:r>
                </w:p>
              </w:tc>
              <w:tc>
                <w:tcPr>
                  <w:tcW w:w="1549" w:type="dxa"/>
                  <w:vAlign w:val="center"/>
                </w:tcPr>
                <w:p>
                  <w:pPr>
                    <w:adjustRightInd w:val="0"/>
                    <w:snapToGrid w:val="0"/>
                    <w:spacing w:line="240" w:lineRule="exact"/>
                    <w:jc w:val="center"/>
                    <w:rPr>
                      <w:szCs w:val="21"/>
                    </w:rPr>
                  </w:pPr>
                  <w:r>
                    <w:rPr>
                      <w:rFonts w:hint="eastAsia"/>
                      <w:szCs w:val="21"/>
                    </w:rPr>
                    <w:t>E/65m</w:t>
                  </w:r>
                </w:p>
              </w:tc>
              <w:tc>
                <w:tcPr>
                  <w:tcW w:w="1328" w:type="dxa"/>
                  <w:vAlign w:val="center"/>
                </w:tcPr>
                <w:p>
                  <w:pPr>
                    <w:adjustRightInd w:val="0"/>
                    <w:snapToGrid w:val="0"/>
                    <w:spacing w:line="240" w:lineRule="exact"/>
                    <w:jc w:val="center"/>
                    <w:rPr>
                      <w:szCs w:val="21"/>
                    </w:rPr>
                  </w:pPr>
                  <w:r>
                    <w:rPr>
                      <w:rFonts w:hint="eastAsia"/>
                      <w:szCs w:val="21"/>
                    </w:rPr>
                    <w:t>2户</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居民</w:t>
                  </w:r>
                </w:p>
              </w:tc>
              <w:tc>
                <w:tcPr>
                  <w:tcW w:w="1549" w:type="dxa"/>
                  <w:vAlign w:val="center"/>
                </w:tcPr>
                <w:p>
                  <w:pPr>
                    <w:adjustRightInd w:val="0"/>
                    <w:snapToGrid w:val="0"/>
                    <w:spacing w:line="240" w:lineRule="exact"/>
                    <w:jc w:val="center"/>
                    <w:rPr>
                      <w:szCs w:val="21"/>
                    </w:rPr>
                  </w:pPr>
                  <w:r>
                    <w:rPr>
                      <w:rFonts w:hint="eastAsia"/>
                      <w:szCs w:val="21"/>
                    </w:rPr>
                    <w:t>SE/95m</w:t>
                  </w:r>
                </w:p>
              </w:tc>
              <w:tc>
                <w:tcPr>
                  <w:tcW w:w="1328" w:type="dxa"/>
                  <w:vAlign w:val="center"/>
                </w:tcPr>
                <w:p>
                  <w:pPr>
                    <w:adjustRightInd w:val="0"/>
                    <w:snapToGrid w:val="0"/>
                    <w:spacing w:line="240" w:lineRule="exact"/>
                    <w:jc w:val="center"/>
                    <w:rPr>
                      <w:szCs w:val="21"/>
                    </w:rPr>
                  </w:pPr>
                  <w:r>
                    <w:rPr>
                      <w:rFonts w:hint="eastAsia"/>
                      <w:szCs w:val="21"/>
                    </w:rPr>
                    <w:t>1户</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居民</w:t>
                  </w:r>
                </w:p>
              </w:tc>
              <w:tc>
                <w:tcPr>
                  <w:tcW w:w="1549" w:type="dxa"/>
                  <w:vAlign w:val="center"/>
                </w:tcPr>
                <w:p>
                  <w:pPr>
                    <w:adjustRightInd w:val="0"/>
                    <w:snapToGrid w:val="0"/>
                    <w:spacing w:line="240" w:lineRule="exact"/>
                    <w:jc w:val="center"/>
                    <w:rPr>
                      <w:szCs w:val="21"/>
                    </w:rPr>
                  </w:pPr>
                  <w:r>
                    <w:rPr>
                      <w:rFonts w:hint="eastAsia"/>
                      <w:szCs w:val="21"/>
                    </w:rPr>
                    <w:t>S/80m</w:t>
                  </w:r>
                </w:p>
              </w:tc>
              <w:tc>
                <w:tcPr>
                  <w:tcW w:w="1328" w:type="dxa"/>
                  <w:vAlign w:val="center"/>
                </w:tcPr>
                <w:p>
                  <w:pPr>
                    <w:adjustRightInd w:val="0"/>
                    <w:snapToGrid w:val="0"/>
                    <w:spacing w:line="240" w:lineRule="exact"/>
                    <w:jc w:val="center"/>
                    <w:rPr>
                      <w:szCs w:val="21"/>
                    </w:rPr>
                  </w:pPr>
                  <w:r>
                    <w:rPr>
                      <w:rFonts w:hint="eastAsia"/>
                      <w:szCs w:val="21"/>
                    </w:rPr>
                    <w:t>1户</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居民</w:t>
                  </w:r>
                </w:p>
              </w:tc>
              <w:tc>
                <w:tcPr>
                  <w:tcW w:w="1549" w:type="dxa"/>
                  <w:vAlign w:val="center"/>
                </w:tcPr>
                <w:p>
                  <w:pPr>
                    <w:adjustRightInd w:val="0"/>
                    <w:snapToGrid w:val="0"/>
                    <w:spacing w:line="240" w:lineRule="exact"/>
                    <w:jc w:val="center"/>
                    <w:rPr>
                      <w:szCs w:val="21"/>
                    </w:rPr>
                  </w:pPr>
                  <w:r>
                    <w:rPr>
                      <w:rFonts w:hint="eastAsia"/>
                      <w:szCs w:val="21"/>
                    </w:rPr>
                    <w:t>SW/130m</w:t>
                  </w:r>
                </w:p>
              </w:tc>
              <w:tc>
                <w:tcPr>
                  <w:tcW w:w="1328" w:type="dxa"/>
                  <w:vAlign w:val="center"/>
                </w:tcPr>
                <w:p>
                  <w:pPr>
                    <w:adjustRightInd w:val="0"/>
                    <w:snapToGrid w:val="0"/>
                    <w:spacing w:line="240" w:lineRule="exact"/>
                    <w:jc w:val="center"/>
                    <w:rPr>
                      <w:szCs w:val="21"/>
                    </w:rPr>
                  </w:pPr>
                  <w:r>
                    <w:rPr>
                      <w:rFonts w:hint="eastAsia"/>
                      <w:szCs w:val="21"/>
                    </w:rPr>
                    <w:t>4户</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居民</w:t>
                  </w:r>
                </w:p>
              </w:tc>
              <w:tc>
                <w:tcPr>
                  <w:tcW w:w="1549" w:type="dxa"/>
                  <w:vAlign w:val="center"/>
                </w:tcPr>
                <w:p>
                  <w:pPr>
                    <w:adjustRightInd w:val="0"/>
                    <w:snapToGrid w:val="0"/>
                    <w:spacing w:line="240" w:lineRule="exact"/>
                    <w:jc w:val="center"/>
                    <w:rPr>
                      <w:szCs w:val="21"/>
                    </w:rPr>
                  </w:pPr>
                  <w:r>
                    <w:rPr>
                      <w:rFonts w:hint="eastAsia"/>
                      <w:szCs w:val="21"/>
                    </w:rPr>
                    <w:t>W/150m</w:t>
                  </w:r>
                </w:p>
              </w:tc>
              <w:tc>
                <w:tcPr>
                  <w:tcW w:w="1328" w:type="dxa"/>
                  <w:vAlign w:val="center"/>
                </w:tcPr>
                <w:p>
                  <w:pPr>
                    <w:adjustRightInd w:val="0"/>
                    <w:snapToGrid w:val="0"/>
                    <w:spacing w:line="240" w:lineRule="exact"/>
                    <w:jc w:val="center"/>
                    <w:rPr>
                      <w:szCs w:val="21"/>
                    </w:rPr>
                  </w:pPr>
                  <w:r>
                    <w:rPr>
                      <w:rFonts w:hint="eastAsia"/>
                      <w:szCs w:val="21"/>
                    </w:rPr>
                    <w:t>4户</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居民</w:t>
                  </w:r>
                </w:p>
              </w:tc>
              <w:tc>
                <w:tcPr>
                  <w:tcW w:w="1549" w:type="dxa"/>
                  <w:vAlign w:val="center"/>
                </w:tcPr>
                <w:p>
                  <w:pPr>
                    <w:adjustRightInd w:val="0"/>
                    <w:snapToGrid w:val="0"/>
                    <w:spacing w:line="240" w:lineRule="exact"/>
                    <w:jc w:val="center"/>
                    <w:rPr>
                      <w:szCs w:val="21"/>
                    </w:rPr>
                  </w:pPr>
                  <w:r>
                    <w:rPr>
                      <w:rFonts w:hint="eastAsia"/>
                      <w:szCs w:val="21"/>
                    </w:rPr>
                    <w:t>N/70m</w:t>
                  </w:r>
                </w:p>
              </w:tc>
              <w:tc>
                <w:tcPr>
                  <w:tcW w:w="1328" w:type="dxa"/>
                  <w:vAlign w:val="center"/>
                </w:tcPr>
                <w:p>
                  <w:pPr>
                    <w:adjustRightInd w:val="0"/>
                    <w:snapToGrid w:val="0"/>
                    <w:spacing w:line="240" w:lineRule="exact"/>
                    <w:jc w:val="center"/>
                    <w:rPr>
                      <w:szCs w:val="21"/>
                    </w:rPr>
                  </w:pPr>
                  <w:r>
                    <w:rPr>
                      <w:rFonts w:hint="eastAsia"/>
                      <w:szCs w:val="21"/>
                    </w:rPr>
                    <w:t>28户</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restart"/>
                  <w:vAlign w:val="center"/>
                </w:tcPr>
                <w:p>
                  <w:pPr>
                    <w:adjustRightInd w:val="0"/>
                    <w:snapToGrid w:val="0"/>
                    <w:spacing w:line="240" w:lineRule="exact"/>
                    <w:jc w:val="center"/>
                    <w:rPr>
                      <w:szCs w:val="21"/>
                    </w:rPr>
                  </w:pPr>
                  <w:r>
                    <w:rPr>
                      <w:rFonts w:hint="eastAsia"/>
                      <w:szCs w:val="21"/>
                    </w:rPr>
                    <w:t>学校</w:t>
                  </w:r>
                </w:p>
              </w:tc>
              <w:tc>
                <w:tcPr>
                  <w:tcW w:w="1527" w:type="dxa"/>
                  <w:vAlign w:val="center"/>
                </w:tcPr>
                <w:p>
                  <w:pPr>
                    <w:adjustRightInd w:val="0"/>
                    <w:snapToGrid w:val="0"/>
                    <w:spacing w:line="240" w:lineRule="exact"/>
                    <w:jc w:val="center"/>
                    <w:rPr>
                      <w:szCs w:val="21"/>
                    </w:rPr>
                  </w:pPr>
                  <w:r>
                    <w:rPr>
                      <w:rFonts w:hint="eastAsia"/>
                      <w:szCs w:val="21"/>
                    </w:rPr>
                    <w:t>联合小学</w:t>
                  </w:r>
                </w:p>
              </w:tc>
              <w:tc>
                <w:tcPr>
                  <w:tcW w:w="1549" w:type="dxa"/>
                  <w:vAlign w:val="center"/>
                </w:tcPr>
                <w:p>
                  <w:pPr>
                    <w:adjustRightInd w:val="0"/>
                    <w:snapToGrid w:val="0"/>
                    <w:spacing w:line="240" w:lineRule="exact"/>
                    <w:jc w:val="center"/>
                    <w:rPr>
                      <w:szCs w:val="21"/>
                    </w:rPr>
                  </w:pPr>
                  <w:r>
                    <w:rPr>
                      <w:rFonts w:hint="eastAsia"/>
                      <w:szCs w:val="21"/>
                    </w:rPr>
                    <w:t>NW/950m</w:t>
                  </w:r>
                </w:p>
              </w:tc>
              <w:tc>
                <w:tcPr>
                  <w:tcW w:w="1328" w:type="dxa"/>
                  <w:vAlign w:val="center"/>
                </w:tcPr>
                <w:p>
                  <w:pPr>
                    <w:adjustRightInd w:val="0"/>
                    <w:snapToGrid w:val="0"/>
                    <w:spacing w:line="240" w:lineRule="exact"/>
                    <w:jc w:val="center"/>
                    <w:rPr>
                      <w:szCs w:val="21"/>
                    </w:rPr>
                  </w:pPr>
                  <w:r>
                    <w:rPr>
                      <w:rFonts w:hint="eastAsia"/>
                      <w:szCs w:val="21"/>
                    </w:rPr>
                    <w:t>约240人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太昌初级中学</w:t>
                  </w:r>
                </w:p>
              </w:tc>
              <w:tc>
                <w:tcPr>
                  <w:tcW w:w="1549" w:type="dxa"/>
                  <w:vAlign w:val="center"/>
                </w:tcPr>
                <w:p>
                  <w:pPr>
                    <w:adjustRightInd w:val="0"/>
                    <w:snapToGrid w:val="0"/>
                    <w:spacing w:line="240" w:lineRule="exact"/>
                    <w:jc w:val="center"/>
                    <w:rPr>
                      <w:szCs w:val="21"/>
                    </w:rPr>
                  </w:pPr>
                  <w:r>
                    <w:rPr>
                      <w:rFonts w:hint="eastAsia"/>
                      <w:szCs w:val="21"/>
                    </w:rPr>
                    <w:t>N/400m</w:t>
                  </w:r>
                </w:p>
              </w:tc>
              <w:tc>
                <w:tcPr>
                  <w:tcW w:w="1328" w:type="dxa"/>
                  <w:vAlign w:val="center"/>
                </w:tcPr>
                <w:p>
                  <w:pPr>
                    <w:adjustRightInd w:val="0"/>
                    <w:snapToGrid w:val="0"/>
                    <w:spacing w:line="240" w:lineRule="exact"/>
                    <w:jc w:val="center"/>
                    <w:rPr>
                      <w:szCs w:val="21"/>
                    </w:rPr>
                  </w:pPr>
                  <w:r>
                    <w:rPr>
                      <w:rFonts w:hint="eastAsia"/>
                      <w:szCs w:val="21"/>
                    </w:rPr>
                    <w:t>约260人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太昌东风小学</w:t>
                  </w:r>
                </w:p>
              </w:tc>
              <w:tc>
                <w:tcPr>
                  <w:tcW w:w="1549" w:type="dxa"/>
                  <w:vAlign w:val="center"/>
                </w:tcPr>
                <w:p>
                  <w:pPr>
                    <w:adjustRightInd w:val="0"/>
                    <w:snapToGrid w:val="0"/>
                    <w:spacing w:line="240" w:lineRule="exact"/>
                    <w:jc w:val="center"/>
                    <w:rPr>
                      <w:szCs w:val="21"/>
                    </w:rPr>
                  </w:pPr>
                  <w:r>
                    <w:rPr>
                      <w:rFonts w:hint="eastAsia"/>
                      <w:szCs w:val="21"/>
                    </w:rPr>
                    <w:t>N/410m</w:t>
                  </w:r>
                </w:p>
              </w:tc>
              <w:tc>
                <w:tcPr>
                  <w:tcW w:w="1328" w:type="dxa"/>
                  <w:vAlign w:val="center"/>
                </w:tcPr>
                <w:p>
                  <w:pPr>
                    <w:adjustRightInd w:val="0"/>
                    <w:snapToGrid w:val="0"/>
                    <w:spacing w:line="240" w:lineRule="exact"/>
                    <w:jc w:val="center"/>
                    <w:rPr>
                      <w:szCs w:val="21"/>
                    </w:rPr>
                  </w:pPr>
                  <w:r>
                    <w:rPr>
                      <w:rFonts w:hint="eastAsia"/>
                      <w:szCs w:val="21"/>
                    </w:rPr>
                    <w:t>约240人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restart"/>
                  <w:vAlign w:val="center"/>
                </w:tcPr>
                <w:p>
                  <w:pPr>
                    <w:adjustRightInd w:val="0"/>
                    <w:snapToGrid w:val="0"/>
                    <w:spacing w:line="240" w:lineRule="exact"/>
                    <w:jc w:val="center"/>
                    <w:rPr>
                      <w:szCs w:val="21"/>
                    </w:rPr>
                  </w:pPr>
                  <w:r>
                    <w:rPr>
                      <w:rFonts w:hint="eastAsia"/>
                      <w:szCs w:val="21"/>
                    </w:rPr>
                    <w:t>声环境</w:t>
                  </w:r>
                </w:p>
              </w:tc>
              <w:tc>
                <w:tcPr>
                  <w:tcW w:w="894" w:type="dxa"/>
                  <w:vAlign w:val="center"/>
                </w:tcPr>
                <w:p>
                  <w:pPr>
                    <w:adjustRightInd w:val="0"/>
                    <w:snapToGrid w:val="0"/>
                    <w:spacing w:line="240" w:lineRule="exact"/>
                    <w:jc w:val="center"/>
                    <w:rPr>
                      <w:szCs w:val="21"/>
                    </w:rPr>
                  </w:pPr>
                  <w:r>
                    <w:rPr>
                      <w:rFonts w:hint="eastAsia"/>
                      <w:szCs w:val="21"/>
                    </w:rPr>
                    <w:t>乡政府</w:t>
                  </w:r>
                </w:p>
              </w:tc>
              <w:tc>
                <w:tcPr>
                  <w:tcW w:w="1527" w:type="dxa"/>
                  <w:vAlign w:val="center"/>
                </w:tcPr>
                <w:p>
                  <w:pPr>
                    <w:adjustRightInd w:val="0"/>
                    <w:snapToGrid w:val="0"/>
                    <w:spacing w:line="240" w:lineRule="exact"/>
                    <w:jc w:val="center"/>
                    <w:rPr>
                      <w:szCs w:val="21"/>
                    </w:rPr>
                  </w:pPr>
                  <w:r>
                    <w:rPr>
                      <w:rFonts w:hint="eastAsia"/>
                      <w:szCs w:val="21"/>
                    </w:rPr>
                    <w:t>太昌镇政府</w:t>
                  </w:r>
                </w:p>
              </w:tc>
              <w:tc>
                <w:tcPr>
                  <w:tcW w:w="1549" w:type="dxa"/>
                  <w:vAlign w:val="center"/>
                </w:tcPr>
                <w:p>
                  <w:pPr>
                    <w:adjustRightInd w:val="0"/>
                    <w:snapToGrid w:val="0"/>
                    <w:spacing w:line="240" w:lineRule="exact"/>
                    <w:jc w:val="center"/>
                    <w:rPr>
                      <w:szCs w:val="21"/>
                    </w:rPr>
                  </w:pPr>
                  <w:r>
                    <w:rPr>
                      <w:rFonts w:hint="eastAsia"/>
                      <w:szCs w:val="21"/>
                    </w:rPr>
                    <w:t>N/650m</w:t>
                  </w:r>
                </w:p>
              </w:tc>
              <w:tc>
                <w:tcPr>
                  <w:tcW w:w="1328" w:type="dxa"/>
                  <w:vAlign w:val="center"/>
                </w:tcPr>
                <w:p>
                  <w:pPr>
                    <w:adjustRightInd w:val="0"/>
                    <w:snapToGrid w:val="0"/>
                    <w:spacing w:line="240" w:lineRule="exact"/>
                    <w:jc w:val="center"/>
                    <w:rPr>
                      <w:szCs w:val="21"/>
                    </w:rPr>
                  </w:pPr>
                  <w:r>
                    <w:rPr>
                      <w:rFonts w:hint="eastAsia"/>
                      <w:szCs w:val="21"/>
                    </w:rPr>
                    <w:t>约30人</w:t>
                  </w:r>
                </w:p>
              </w:tc>
              <w:tc>
                <w:tcPr>
                  <w:tcW w:w="2466" w:type="dxa"/>
                  <w:vMerge w:val="restart"/>
                  <w:shd w:val="clear" w:color="auto" w:fill="auto"/>
                  <w:vAlign w:val="center"/>
                </w:tcPr>
                <w:p>
                  <w:pPr>
                    <w:adjustRightInd w:val="0"/>
                    <w:snapToGrid w:val="0"/>
                    <w:spacing w:line="240" w:lineRule="exact"/>
                    <w:jc w:val="center"/>
                    <w:rPr>
                      <w:szCs w:val="21"/>
                    </w:rPr>
                  </w:pPr>
                  <w:r>
                    <w:rPr>
                      <w:rFonts w:hint="eastAsia"/>
                      <w:bCs/>
                      <w:szCs w:val="21"/>
                    </w:rPr>
                    <w:t>《声环境质量标准》</w:t>
                  </w:r>
                  <w:r>
                    <w:rPr>
                      <w:bCs/>
                      <w:szCs w:val="21"/>
                    </w:rPr>
                    <w:t>(GB3096-2008)</w:t>
                  </w:r>
                  <w:r>
                    <w:rPr>
                      <w:rFonts w:hint="eastAsia"/>
                      <w:bCs/>
                      <w:szCs w:val="21"/>
                    </w:rPr>
                    <w:t>4a类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Align w:val="center"/>
                </w:tcPr>
                <w:p>
                  <w:pPr>
                    <w:adjustRightInd w:val="0"/>
                    <w:snapToGrid w:val="0"/>
                    <w:spacing w:line="240" w:lineRule="exact"/>
                    <w:jc w:val="center"/>
                    <w:rPr>
                      <w:szCs w:val="21"/>
                    </w:rPr>
                  </w:pPr>
                  <w:r>
                    <w:rPr>
                      <w:rFonts w:hint="eastAsia"/>
                      <w:szCs w:val="21"/>
                    </w:rPr>
                    <w:t>卫生院</w:t>
                  </w:r>
                </w:p>
              </w:tc>
              <w:tc>
                <w:tcPr>
                  <w:tcW w:w="1527" w:type="dxa"/>
                  <w:vAlign w:val="center"/>
                </w:tcPr>
                <w:p>
                  <w:pPr>
                    <w:adjustRightInd w:val="0"/>
                    <w:snapToGrid w:val="0"/>
                    <w:spacing w:line="240" w:lineRule="exact"/>
                    <w:jc w:val="center"/>
                    <w:rPr>
                      <w:szCs w:val="21"/>
                    </w:rPr>
                  </w:pPr>
                  <w:r>
                    <w:rPr>
                      <w:rFonts w:hint="eastAsia"/>
                      <w:szCs w:val="21"/>
                    </w:rPr>
                    <w:t>太昌卫生院</w:t>
                  </w:r>
                </w:p>
              </w:tc>
              <w:tc>
                <w:tcPr>
                  <w:tcW w:w="1549" w:type="dxa"/>
                  <w:vAlign w:val="center"/>
                </w:tcPr>
                <w:p>
                  <w:pPr>
                    <w:adjustRightInd w:val="0"/>
                    <w:snapToGrid w:val="0"/>
                    <w:spacing w:line="240" w:lineRule="exact"/>
                    <w:jc w:val="center"/>
                    <w:rPr>
                      <w:szCs w:val="21"/>
                    </w:rPr>
                  </w:pPr>
                  <w:r>
                    <w:rPr>
                      <w:rFonts w:hint="eastAsia"/>
                      <w:szCs w:val="21"/>
                    </w:rPr>
                    <w:t>N/480m</w:t>
                  </w:r>
                </w:p>
              </w:tc>
              <w:tc>
                <w:tcPr>
                  <w:tcW w:w="1328" w:type="dxa"/>
                  <w:vAlign w:val="center"/>
                </w:tcPr>
                <w:p>
                  <w:pPr>
                    <w:adjustRightInd w:val="0"/>
                    <w:snapToGrid w:val="0"/>
                    <w:spacing w:line="240" w:lineRule="exact"/>
                    <w:jc w:val="center"/>
                    <w:rPr>
                      <w:szCs w:val="21"/>
                    </w:rPr>
                  </w:pPr>
                  <w:r>
                    <w:rPr>
                      <w:rFonts w:hint="eastAsia"/>
                      <w:szCs w:val="21"/>
                    </w:rPr>
                    <w:t>约45人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restart"/>
                  <w:vAlign w:val="center"/>
                </w:tcPr>
                <w:p>
                  <w:pPr>
                    <w:adjustRightInd w:val="0"/>
                    <w:snapToGrid w:val="0"/>
                    <w:spacing w:line="240" w:lineRule="exact"/>
                    <w:jc w:val="center"/>
                    <w:rPr>
                      <w:szCs w:val="21"/>
                    </w:rPr>
                  </w:pPr>
                  <w:r>
                    <w:rPr>
                      <w:szCs w:val="21"/>
                    </w:rPr>
                    <w:t>居住</w:t>
                  </w:r>
                </w:p>
              </w:tc>
              <w:tc>
                <w:tcPr>
                  <w:tcW w:w="1527" w:type="dxa"/>
                  <w:vAlign w:val="center"/>
                </w:tcPr>
                <w:p>
                  <w:pPr>
                    <w:adjustRightInd w:val="0"/>
                    <w:snapToGrid w:val="0"/>
                    <w:spacing w:line="240" w:lineRule="exact"/>
                    <w:jc w:val="center"/>
                    <w:rPr>
                      <w:szCs w:val="21"/>
                    </w:rPr>
                  </w:pPr>
                  <w:r>
                    <w:rPr>
                      <w:rFonts w:hint="eastAsia"/>
                      <w:szCs w:val="21"/>
                    </w:rPr>
                    <w:t>居民</w:t>
                  </w:r>
                </w:p>
              </w:tc>
              <w:tc>
                <w:tcPr>
                  <w:tcW w:w="1549" w:type="dxa"/>
                  <w:vAlign w:val="center"/>
                </w:tcPr>
                <w:p>
                  <w:pPr>
                    <w:adjustRightInd w:val="0"/>
                    <w:snapToGrid w:val="0"/>
                    <w:spacing w:line="240" w:lineRule="exact"/>
                    <w:jc w:val="center"/>
                    <w:rPr>
                      <w:szCs w:val="21"/>
                    </w:rPr>
                  </w:pPr>
                  <w:r>
                    <w:rPr>
                      <w:rFonts w:hint="eastAsia"/>
                      <w:szCs w:val="21"/>
                    </w:rPr>
                    <w:t>NE/51m</w:t>
                  </w:r>
                </w:p>
              </w:tc>
              <w:tc>
                <w:tcPr>
                  <w:tcW w:w="1328" w:type="dxa"/>
                  <w:vAlign w:val="center"/>
                </w:tcPr>
                <w:p>
                  <w:pPr>
                    <w:adjustRightInd w:val="0"/>
                    <w:snapToGrid w:val="0"/>
                    <w:spacing w:line="240" w:lineRule="exact"/>
                    <w:jc w:val="center"/>
                    <w:rPr>
                      <w:szCs w:val="21"/>
                    </w:rPr>
                  </w:pPr>
                  <w:r>
                    <w:rPr>
                      <w:rFonts w:hint="eastAsia"/>
                      <w:szCs w:val="21"/>
                    </w:rPr>
                    <w:t>1户</w:t>
                  </w:r>
                </w:p>
              </w:tc>
              <w:tc>
                <w:tcPr>
                  <w:tcW w:w="2466" w:type="dxa"/>
                  <w:vMerge w:val="restart"/>
                  <w:shd w:val="clear" w:color="auto" w:fill="auto"/>
                  <w:vAlign w:val="center"/>
                </w:tcPr>
                <w:p>
                  <w:pPr>
                    <w:adjustRightInd w:val="0"/>
                    <w:snapToGrid w:val="0"/>
                    <w:spacing w:line="240" w:lineRule="exact"/>
                    <w:jc w:val="center"/>
                    <w:rPr>
                      <w:szCs w:val="21"/>
                    </w:rPr>
                  </w:pPr>
                  <w:r>
                    <w:rPr>
                      <w:rFonts w:hint="eastAsia"/>
                      <w:bCs/>
                      <w:szCs w:val="21"/>
                    </w:rPr>
                    <w:t>《声环境质量标准》</w:t>
                  </w:r>
                  <w:r>
                    <w:rPr>
                      <w:bCs/>
                      <w:szCs w:val="21"/>
                    </w:rPr>
                    <w:t>(GB3096-2008)</w:t>
                  </w:r>
                  <w:r>
                    <w:rPr>
                      <w:rFonts w:hint="eastAsia"/>
                      <w:bCs/>
                      <w:szCs w:val="21"/>
                    </w:rPr>
                    <w:t>2类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居民</w:t>
                  </w:r>
                </w:p>
              </w:tc>
              <w:tc>
                <w:tcPr>
                  <w:tcW w:w="1549" w:type="dxa"/>
                  <w:vAlign w:val="center"/>
                </w:tcPr>
                <w:p>
                  <w:pPr>
                    <w:adjustRightInd w:val="0"/>
                    <w:snapToGrid w:val="0"/>
                    <w:spacing w:line="240" w:lineRule="exact"/>
                    <w:jc w:val="center"/>
                    <w:rPr>
                      <w:szCs w:val="21"/>
                    </w:rPr>
                  </w:pPr>
                  <w:r>
                    <w:rPr>
                      <w:rFonts w:hint="eastAsia"/>
                      <w:szCs w:val="21"/>
                    </w:rPr>
                    <w:t>E/65m</w:t>
                  </w:r>
                </w:p>
              </w:tc>
              <w:tc>
                <w:tcPr>
                  <w:tcW w:w="1328" w:type="dxa"/>
                  <w:vAlign w:val="center"/>
                </w:tcPr>
                <w:p>
                  <w:pPr>
                    <w:adjustRightInd w:val="0"/>
                    <w:snapToGrid w:val="0"/>
                    <w:spacing w:line="240" w:lineRule="exact"/>
                    <w:jc w:val="center"/>
                    <w:rPr>
                      <w:szCs w:val="21"/>
                    </w:rPr>
                  </w:pPr>
                  <w:r>
                    <w:rPr>
                      <w:rFonts w:hint="eastAsia"/>
                      <w:szCs w:val="21"/>
                    </w:rPr>
                    <w:t>2户</w:t>
                  </w:r>
                </w:p>
              </w:tc>
              <w:tc>
                <w:tcPr>
                  <w:tcW w:w="2466" w:type="dxa"/>
                  <w:vMerge w:val="continue"/>
                  <w:shd w:val="clear" w:color="auto" w:fill="auto"/>
                  <w:vAlign w:val="center"/>
                </w:tcPr>
                <w:p>
                  <w:pPr>
                    <w:adjustRightInd w:val="0"/>
                    <w:snapToGrid w:val="0"/>
                    <w:spacing w:line="24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居民</w:t>
                  </w:r>
                </w:p>
              </w:tc>
              <w:tc>
                <w:tcPr>
                  <w:tcW w:w="1549" w:type="dxa"/>
                  <w:vAlign w:val="center"/>
                </w:tcPr>
                <w:p>
                  <w:pPr>
                    <w:adjustRightInd w:val="0"/>
                    <w:snapToGrid w:val="0"/>
                    <w:spacing w:line="240" w:lineRule="exact"/>
                    <w:jc w:val="center"/>
                    <w:rPr>
                      <w:szCs w:val="21"/>
                    </w:rPr>
                  </w:pPr>
                  <w:r>
                    <w:rPr>
                      <w:rFonts w:hint="eastAsia"/>
                      <w:szCs w:val="21"/>
                    </w:rPr>
                    <w:t>SE/95m</w:t>
                  </w:r>
                </w:p>
              </w:tc>
              <w:tc>
                <w:tcPr>
                  <w:tcW w:w="1328" w:type="dxa"/>
                  <w:vAlign w:val="center"/>
                </w:tcPr>
                <w:p>
                  <w:pPr>
                    <w:adjustRightInd w:val="0"/>
                    <w:snapToGrid w:val="0"/>
                    <w:spacing w:line="240" w:lineRule="exact"/>
                    <w:jc w:val="center"/>
                    <w:rPr>
                      <w:szCs w:val="21"/>
                    </w:rPr>
                  </w:pPr>
                  <w:r>
                    <w:rPr>
                      <w:rFonts w:hint="eastAsia"/>
                      <w:szCs w:val="21"/>
                    </w:rPr>
                    <w:t>1户</w:t>
                  </w:r>
                </w:p>
              </w:tc>
              <w:tc>
                <w:tcPr>
                  <w:tcW w:w="2466" w:type="dxa"/>
                  <w:vMerge w:val="continue"/>
                  <w:shd w:val="clear" w:color="auto" w:fill="auto"/>
                  <w:vAlign w:val="center"/>
                </w:tcPr>
                <w:p>
                  <w:pPr>
                    <w:adjustRightInd w:val="0"/>
                    <w:snapToGrid w:val="0"/>
                    <w:spacing w:line="24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居民</w:t>
                  </w:r>
                </w:p>
              </w:tc>
              <w:tc>
                <w:tcPr>
                  <w:tcW w:w="1549" w:type="dxa"/>
                  <w:vAlign w:val="center"/>
                </w:tcPr>
                <w:p>
                  <w:pPr>
                    <w:adjustRightInd w:val="0"/>
                    <w:snapToGrid w:val="0"/>
                    <w:spacing w:line="240" w:lineRule="exact"/>
                    <w:jc w:val="center"/>
                    <w:rPr>
                      <w:szCs w:val="21"/>
                    </w:rPr>
                  </w:pPr>
                  <w:r>
                    <w:rPr>
                      <w:rFonts w:hint="eastAsia"/>
                      <w:szCs w:val="21"/>
                    </w:rPr>
                    <w:t>S/80m</w:t>
                  </w:r>
                </w:p>
              </w:tc>
              <w:tc>
                <w:tcPr>
                  <w:tcW w:w="1328" w:type="dxa"/>
                  <w:vAlign w:val="center"/>
                </w:tcPr>
                <w:p>
                  <w:pPr>
                    <w:adjustRightInd w:val="0"/>
                    <w:snapToGrid w:val="0"/>
                    <w:spacing w:line="240" w:lineRule="exact"/>
                    <w:jc w:val="center"/>
                    <w:rPr>
                      <w:szCs w:val="21"/>
                    </w:rPr>
                  </w:pPr>
                  <w:r>
                    <w:rPr>
                      <w:rFonts w:hint="eastAsia"/>
                      <w:szCs w:val="21"/>
                    </w:rPr>
                    <w:t>1户</w:t>
                  </w:r>
                </w:p>
              </w:tc>
              <w:tc>
                <w:tcPr>
                  <w:tcW w:w="2466" w:type="dxa"/>
                  <w:vMerge w:val="continue"/>
                  <w:shd w:val="clear" w:color="auto" w:fill="auto"/>
                  <w:vAlign w:val="center"/>
                </w:tcPr>
                <w:p>
                  <w:pPr>
                    <w:adjustRightInd w:val="0"/>
                    <w:snapToGrid w:val="0"/>
                    <w:spacing w:line="24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居民</w:t>
                  </w:r>
                </w:p>
              </w:tc>
              <w:tc>
                <w:tcPr>
                  <w:tcW w:w="1549" w:type="dxa"/>
                  <w:vAlign w:val="center"/>
                </w:tcPr>
                <w:p>
                  <w:pPr>
                    <w:adjustRightInd w:val="0"/>
                    <w:snapToGrid w:val="0"/>
                    <w:spacing w:line="240" w:lineRule="exact"/>
                    <w:jc w:val="center"/>
                    <w:rPr>
                      <w:szCs w:val="21"/>
                    </w:rPr>
                  </w:pPr>
                  <w:r>
                    <w:rPr>
                      <w:rFonts w:hint="eastAsia"/>
                      <w:szCs w:val="21"/>
                    </w:rPr>
                    <w:t>SW/130m</w:t>
                  </w:r>
                </w:p>
              </w:tc>
              <w:tc>
                <w:tcPr>
                  <w:tcW w:w="1328" w:type="dxa"/>
                  <w:vAlign w:val="center"/>
                </w:tcPr>
                <w:p>
                  <w:pPr>
                    <w:adjustRightInd w:val="0"/>
                    <w:snapToGrid w:val="0"/>
                    <w:spacing w:line="240" w:lineRule="exact"/>
                    <w:jc w:val="center"/>
                    <w:rPr>
                      <w:szCs w:val="21"/>
                    </w:rPr>
                  </w:pPr>
                  <w:r>
                    <w:rPr>
                      <w:rFonts w:hint="eastAsia"/>
                      <w:szCs w:val="21"/>
                    </w:rPr>
                    <w:t>4户</w:t>
                  </w:r>
                </w:p>
              </w:tc>
              <w:tc>
                <w:tcPr>
                  <w:tcW w:w="2466" w:type="dxa"/>
                  <w:vMerge w:val="continue"/>
                  <w:shd w:val="clear" w:color="auto" w:fill="auto"/>
                  <w:vAlign w:val="center"/>
                </w:tcPr>
                <w:p>
                  <w:pPr>
                    <w:adjustRightInd w:val="0"/>
                    <w:snapToGrid w:val="0"/>
                    <w:spacing w:line="24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居民</w:t>
                  </w:r>
                </w:p>
              </w:tc>
              <w:tc>
                <w:tcPr>
                  <w:tcW w:w="1549" w:type="dxa"/>
                  <w:vAlign w:val="center"/>
                </w:tcPr>
                <w:p>
                  <w:pPr>
                    <w:adjustRightInd w:val="0"/>
                    <w:snapToGrid w:val="0"/>
                    <w:spacing w:line="240" w:lineRule="exact"/>
                    <w:jc w:val="center"/>
                    <w:rPr>
                      <w:szCs w:val="21"/>
                    </w:rPr>
                  </w:pPr>
                  <w:r>
                    <w:rPr>
                      <w:rFonts w:hint="eastAsia"/>
                      <w:szCs w:val="21"/>
                    </w:rPr>
                    <w:t>W/150m</w:t>
                  </w:r>
                </w:p>
              </w:tc>
              <w:tc>
                <w:tcPr>
                  <w:tcW w:w="1328" w:type="dxa"/>
                  <w:vAlign w:val="center"/>
                </w:tcPr>
                <w:p>
                  <w:pPr>
                    <w:adjustRightInd w:val="0"/>
                    <w:snapToGrid w:val="0"/>
                    <w:spacing w:line="240" w:lineRule="exact"/>
                    <w:jc w:val="center"/>
                    <w:rPr>
                      <w:szCs w:val="21"/>
                    </w:rPr>
                  </w:pPr>
                  <w:r>
                    <w:rPr>
                      <w:rFonts w:hint="eastAsia"/>
                      <w:szCs w:val="21"/>
                    </w:rPr>
                    <w:t>4户</w:t>
                  </w:r>
                </w:p>
              </w:tc>
              <w:tc>
                <w:tcPr>
                  <w:tcW w:w="2466" w:type="dxa"/>
                  <w:vMerge w:val="continue"/>
                  <w:shd w:val="clear" w:color="auto" w:fill="auto"/>
                  <w:vAlign w:val="center"/>
                </w:tcPr>
                <w:p>
                  <w:pPr>
                    <w:adjustRightInd w:val="0"/>
                    <w:snapToGrid w:val="0"/>
                    <w:spacing w:line="24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居民</w:t>
                  </w:r>
                </w:p>
              </w:tc>
              <w:tc>
                <w:tcPr>
                  <w:tcW w:w="1549" w:type="dxa"/>
                  <w:vAlign w:val="center"/>
                </w:tcPr>
                <w:p>
                  <w:pPr>
                    <w:adjustRightInd w:val="0"/>
                    <w:snapToGrid w:val="0"/>
                    <w:spacing w:line="240" w:lineRule="exact"/>
                    <w:jc w:val="center"/>
                    <w:rPr>
                      <w:szCs w:val="21"/>
                    </w:rPr>
                  </w:pPr>
                  <w:r>
                    <w:rPr>
                      <w:rFonts w:hint="eastAsia"/>
                      <w:szCs w:val="21"/>
                    </w:rPr>
                    <w:t>N/70m</w:t>
                  </w:r>
                </w:p>
              </w:tc>
              <w:tc>
                <w:tcPr>
                  <w:tcW w:w="1328" w:type="dxa"/>
                  <w:vAlign w:val="center"/>
                </w:tcPr>
                <w:p>
                  <w:pPr>
                    <w:adjustRightInd w:val="0"/>
                    <w:snapToGrid w:val="0"/>
                    <w:spacing w:line="240" w:lineRule="exact"/>
                    <w:jc w:val="center"/>
                    <w:rPr>
                      <w:szCs w:val="21"/>
                    </w:rPr>
                  </w:pPr>
                  <w:r>
                    <w:rPr>
                      <w:rFonts w:hint="eastAsia"/>
                      <w:szCs w:val="21"/>
                    </w:rPr>
                    <w:t>28户</w:t>
                  </w:r>
                </w:p>
              </w:tc>
              <w:tc>
                <w:tcPr>
                  <w:tcW w:w="2466" w:type="dxa"/>
                  <w:vMerge w:val="continue"/>
                  <w:shd w:val="clear" w:color="auto" w:fill="auto"/>
                  <w:vAlign w:val="center"/>
                </w:tcPr>
                <w:p>
                  <w:pPr>
                    <w:adjustRightInd w:val="0"/>
                    <w:snapToGrid w:val="0"/>
                    <w:spacing w:line="24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restart"/>
                  <w:vAlign w:val="center"/>
                </w:tcPr>
                <w:p>
                  <w:pPr>
                    <w:adjustRightInd w:val="0"/>
                    <w:snapToGrid w:val="0"/>
                    <w:spacing w:line="240" w:lineRule="exact"/>
                    <w:jc w:val="center"/>
                    <w:rPr>
                      <w:szCs w:val="21"/>
                    </w:rPr>
                  </w:pPr>
                  <w:r>
                    <w:rPr>
                      <w:rFonts w:hint="eastAsia"/>
                      <w:szCs w:val="21"/>
                    </w:rPr>
                    <w:t>学校</w:t>
                  </w:r>
                </w:p>
              </w:tc>
              <w:tc>
                <w:tcPr>
                  <w:tcW w:w="1527" w:type="dxa"/>
                  <w:vAlign w:val="center"/>
                </w:tcPr>
                <w:p>
                  <w:pPr>
                    <w:adjustRightInd w:val="0"/>
                    <w:snapToGrid w:val="0"/>
                    <w:spacing w:line="240" w:lineRule="exact"/>
                    <w:jc w:val="center"/>
                    <w:rPr>
                      <w:szCs w:val="21"/>
                    </w:rPr>
                  </w:pPr>
                  <w:r>
                    <w:rPr>
                      <w:rFonts w:hint="eastAsia"/>
                      <w:szCs w:val="21"/>
                    </w:rPr>
                    <w:t>联合小学</w:t>
                  </w:r>
                </w:p>
              </w:tc>
              <w:tc>
                <w:tcPr>
                  <w:tcW w:w="1549" w:type="dxa"/>
                  <w:vAlign w:val="center"/>
                </w:tcPr>
                <w:p>
                  <w:pPr>
                    <w:adjustRightInd w:val="0"/>
                    <w:snapToGrid w:val="0"/>
                    <w:spacing w:line="240" w:lineRule="exact"/>
                    <w:jc w:val="center"/>
                    <w:rPr>
                      <w:szCs w:val="21"/>
                    </w:rPr>
                  </w:pPr>
                  <w:r>
                    <w:rPr>
                      <w:rFonts w:hint="eastAsia"/>
                      <w:szCs w:val="21"/>
                    </w:rPr>
                    <w:t>NW/950m</w:t>
                  </w:r>
                </w:p>
              </w:tc>
              <w:tc>
                <w:tcPr>
                  <w:tcW w:w="1328" w:type="dxa"/>
                  <w:vAlign w:val="center"/>
                </w:tcPr>
                <w:p>
                  <w:pPr>
                    <w:adjustRightInd w:val="0"/>
                    <w:snapToGrid w:val="0"/>
                    <w:spacing w:line="240" w:lineRule="exact"/>
                    <w:jc w:val="center"/>
                    <w:rPr>
                      <w:szCs w:val="21"/>
                    </w:rPr>
                  </w:pPr>
                  <w:r>
                    <w:rPr>
                      <w:rFonts w:hint="eastAsia"/>
                      <w:szCs w:val="21"/>
                    </w:rPr>
                    <w:t>约240人</w:t>
                  </w:r>
                </w:p>
              </w:tc>
              <w:tc>
                <w:tcPr>
                  <w:tcW w:w="2466" w:type="dxa"/>
                  <w:vMerge w:val="restart"/>
                  <w:shd w:val="clear" w:color="auto" w:fill="auto"/>
                  <w:vAlign w:val="center"/>
                </w:tcPr>
                <w:p>
                  <w:pPr>
                    <w:adjustRightInd w:val="0"/>
                    <w:snapToGrid w:val="0"/>
                    <w:spacing w:line="240" w:lineRule="exact"/>
                    <w:jc w:val="center"/>
                    <w:rPr>
                      <w:szCs w:val="21"/>
                    </w:rPr>
                  </w:pPr>
                  <w:r>
                    <w:rPr>
                      <w:rFonts w:hint="eastAsia"/>
                      <w:bCs/>
                      <w:szCs w:val="21"/>
                    </w:rPr>
                    <w:t>《声环境质量标准》</w:t>
                  </w:r>
                  <w:r>
                    <w:rPr>
                      <w:bCs/>
                      <w:szCs w:val="21"/>
                    </w:rPr>
                    <w:t>(GB3096-2008)</w:t>
                  </w:r>
                  <w:r>
                    <w:rPr>
                      <w:rFonts w:hint="eastAsia"/>
                      <w:bCs/>
                      <w:szCs w:val="21"/>
                    </w:rPr>
                    <w:t>2类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太昌初级中学</w:t>
                  </w:r>
                </w:p>
              </w:tc>
              <w:tc>
                <w:tcPr>
                  <w:tcW w:w="1549" w:type="dxa"/>
                  <w:vAlign w:val="center"/>
                </w:tcPr>
                <w:p>
                  <w:pPr>
                    <w:adjustRightInd w:val="0"/>
                    <w:snapToGrid w:val="0"/>
                    <w:spacing w:line="240" w:lineRule="exact"/>
                    <w:jc w:val="center"/>
                    <w:rPr>
                      <w:szCs w:val="21"/>
                    </w:rPr>
                  </w:pPr>
                  <w:r>
                    <w:rPr>
                      <w:rFonts w:hint="eastAsia"/>
                      <w:szCs w:val="21"/>
                    </w:rPr>
                    <w:t>N/400m</w:t>
                  </w:r>
                </w:p>
              </w:tc>
              <w:tc>
                <w:tcPr>
                  <w:tcW w:w="1328" w:type="dxa"/>
                  <w:vAlign w:val="center"/>
                </w:tcPr>
                <w:p>
                  <w:pPr>
                    <w:adjustRightInd w:val="0"/>
                    <w:snapToGrid w:val="0"/>
                    <w:spacing w:line="240" w:lineRule="exact"/>
                    <w:jc w:val="center"/>
                    <w:rPr>
                      <w:szCs w:val="21"/>
                    </w:rPr>
                  </w:pPr>
                  <w:r>
                    <w:rPr>
                      <w:rFonts w:hint="eastAsia"/>
                      <w:szCs w:val="21"/>
                    </w:rPr>
                    <w:t>约260人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太昌东风小学</w:t>
                  </w:r>
                </w:p>
              </w:tc>
              <w:tc>
                <w:tcPr>
                  <w:tcW w:w="1549" w:type="dxa"/>
                  <w:vAlign w:val="center"/>
                </w:tcPr>
                <w:p>
                  <w:pPr>
                    <w:adjustRightInd w:val="0"/>
                    <w:snapToGrid w:val="0"/>
                    <w:spacing w:line="240" w:lineRule="exact"/>
                    <w:jc w:val="center"/>
                    <w:rPr>
                      <w:szCs w:val="21"/>
                    </w:rPr>
                  </w:pPr>
                  <w:r>
                    <w:rPr>
                      <w:rFonts w:hint="eastAsia"/>
                      <w:szCs w:val="21"/>
                    </w:rPr>
                    <w:t>N/410m</w:t>
                  </w:r>
                </w:p>
              </w:tc>
              <w:tc>
                <w:tcPr>
                  <w:tcW w:w="1328" w:type="dxa"/>
                  <w:vAlign w:val="center"/>
                </w:tcPr>
                <w:p>
                  <w:pPr>
                    <w:adjustRightInd w:val="0"/>
                    <w:snapToGrid w:val="0"/>
                    <w:spacing w:line="240" w:lineRule="exact"/>
                    <w:jc w:val="center"/>
                    <w:rPr>
                      <w:szCs w:val="21"/>
                    </w:rPr>
                  </w:pPr>
                  <w:r>
                    <w:rPr>
                      <w:rFonts w:hint="eastAsia"/>
                      <w:szCs w:val="21"/>
                    </w:rPr>
                    <w:t>约240人</w:t>
                  </w:r>
                </w:p>
              </w:tc>
              <w:tc>
                <w:tcPr>
                  <w:tcW w:w="2466" w:type="dxa"/>
                  <w:vMerge w:val="continue"/>
                  <w:shd w:val="clear" w:color="auto" w:fill="auto"/>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Align w:val="center"/>
                </w:tcPr>
                <w:p>
                  <w:pPr>
                    <w:adjustRightInd w:val="0"/>
                    <w:snapToGrid w:val="0"/>
                    <w:spacing w:line="240" w:lineRule="exact"/>
                    <w:jc w:val="center"/>
                    <w:rPr>
                      <w:szCs w:val="21"/>
                    </w:rPr>
                  </w:pPr>
                  <w:r>
                    <w:rPr>
                      <w:rFonts w:hint="eastAsia"/>
                      <w:szCs w:val="21"/>
                    </w:rPr>
                    <w:t>地表水</w:t>
                  </w:r>
                </w:p>
              </w:tc>
              <w:tc>
                <w:tcPr>
                  <w:tcW w:w="894" w:type="dxa"/>
                  <w:vAlign w:val="center"/>
                </w:tcPr>
                <w:p>
                  <w:pPr>
                    <w:adjustRightInd w:val="0"/>
                    <w:snapToGrid w:val="0"/>
                    <w:spacing w:line="240" w:lineRule="exact"/>
                    <w:jc w:val="center"/>
                    <w:rPr>
                      <w:szCs w:val="21"/>
                    </w:rPr>
                  </w:pPr>
                  <w:r>
                    <w:rPr>
                      <w:rFonts w:hint="eastAsia"/>
                      <w:szCs w:val="21"/>
                    </w:rPr>
                    <w:t>河流</w:t>
                  </w:r>
                </w:p>
              </w:tc>
              <w:tc>
                <w:tcPr>
                  <w:tcW w:w="1527" w:type="dxa"/>
                  <w:vAlign w:val="center"/>
                </w:tcPr>
                <w:p>
                  <w:pPr>
                    <w:adjustRightInd w:val="0"/>
                    <w:snapToGrid w:val="0"/>
                    <w:spacing w:line="240" w:lineRule="exact"/>
                    <w:jc w:val="center"/>
                    <w:rPr>
                      <w:szCs w:val="21"/>
                    </w:rPr>
                  </w:pPr>
                  <w:r>
                    <w:rPr>
                      <w:rFonts w:hint="eastAsia"/>
                      <w:szCs w:val="21"/>
                    </w:rPr>
                    <w:t>老虎沟</w:t>
                  </w:r>
                </w:p>
              </w:tc>
              <w:tc>
                <w:tcPr>
                  <w:tcW w:w="1549" w:type="dxa"/>
                  <w:vAlign w:val="center"/>
                </w:tcPr>
                <w:p>
                  <w:pPr>
                    <w:adjustRightInd w:val="0"/>
                    <w:snapToGrid w:val="0"/>
                    <w:spacing w:line="240" w:lineRule="exact"/>
                    <w:jc w:val="center"/>
                    <w:rPr>
                      <w:szCs w:val="21"/>
                    </w:rPr>
                  </w:pPr>
                  <w:r>
                    <w:rPr>
                      <w:rFonts w:hint="eastAsia"/>
                      <w:szCs w:val="21"/>
                    </w:rPr>
                    <w:t>SW/1.76km</w:t>
                  </w:r>
                </w:p>
              </w:tc>
              <w:tc>
                <w:tcPr>
                  <w:tcW w:w="1328" w:type="dxa"/>
                  <w:vAlign w:val="center"/>
                </w:tcPr>
                <w:p>
                  <w:pPr>
                    <w:adjustRightInd w:val="0"/>
                    <w:snapToGrid w:val="0"/>
                    <w:spacing w:line="240" w:lineRule="exact"/>
                    <w:jc w:val="center"/>
                    <w:rPr>
                      <w:szCs w:val="21"/>
                    </w:rPr>
                  </w:pPr>
                  <w:r>
                    <w:rPr>
                      <w:rFonts w:hint="eastAsia"/>
                      <w:szCs w:val="21"/>
                    </w:rPr>
                    <w:t>/</w:t>
                  </w:r>
                </w:p>
              </w:tc>
              <w:tc>
                <w:tcPr>
                  <w:tcW w:w="2466" w:type="dxa"/>
                  <w:shd w:val="clear" w:color="auto" w:fill="auto"/>
                  <w:vAlign w:val="center"/>
                </w:tcPr>
                <w:p>
                  <w:pPr>
                    <w:adjustRightInd w:val="0"/>
                    <w:snapToGrid w:val="0"/>
                    <w:spacing w:line="240" w:lineRule="exact"/>
                    <w:jc w:val="center"/>
                    <w:rPr>
                      <w:szCs w:val="21"/>
                    </w:rPr>
                  </w:pPr>
                  <w:r>
                    <w:rPr>
                      <w:rFonts w:hint="eastAsia"/>
                      <w:szCs w:val="21"/>
                    </w:rPr>
                    <w:t>《地表水环境质量标准》（GB3838-2002）</w:t>
                  </w:r>
                  <w:r>
                    <w:rPr>
                      <w:rFonts w:hint="eastAsia"/>
                      <w:bCs/>
                      <w:szCs w:val="21"/>
                    </w:rPr>
                    <w:t>Ⅳ</w:t>
                  </w:r>
                  <w:r>
                    <w:rPr>
                      <w:rFonts w:hint="eastAsia"/>
                      <w:szCs w:val="21"/>
                    </w:rPr>
                    <w:t>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restart"/>
                  <w:vAlign w:val="center"/>
                </w:tcPr>
                <w:p>
                  <w:pPr>
                    <w:adjustRightInd w:val="0"/>
                    <w:snapToGrid w:val="0"/>
                    <w:spacing w:line="240" w:lineRule="exact"/>
                    <w:jc w:val="center"/>
                    <w:rPr>
                      <w:szCs w:val="21"/>
                    </w:rPr>
                  </w:pPr>
                  <w:r>
                    <w:rPr>
                      <w:rFonts w:hint="eastAsia"/>
                      <w:szCs w:val="21"/>
                    </w:rPr>
                    <w:t>地下水</w:t>
                  </w:r>
                </w:p>
              </w:tc>
              <w:tc>
                <w:tcPr>
                  <w:tcW w:w="894" w:type="dxa"/>
                  <w:vMerge w:val="restart"/>
                  <w:vAlign w:val="center"/>
                </w:tcPr>
                <w:p>
                  <w:pPr>
                    <w:adjustRightInd w:val="0"/>
                    <w:snapToGrid w:val="0"/>
                    <w:spacing w:line="240" w:lineRule="exact"/>
                    <w:jc w:val="center"/>
                    <w:rPr>
                      <w:szCs w:val="21"/>
                    </w:rPr>
                  </w:pPr>
                  <w:r>
                    <w:rPr>
                      <w:rFonts w:hint="eastAsia"/>
                      <w:szCs w:val="21"/>
                    </w:rPr>
                    <w:t>水井</w:t>
                  </w:r>
                </w:p>
              </w:tc>
              <w:tc>
                <w:tcPr>
                  <w:tcW w:w="1527" w:type="dxa"/>
                  <w:vAlign w:val="center"/>
                </w:tcPr>
                <w:p>
                  <w:pPr>
                    <w:adjustRightInd w:val="0"/>
                    <w:snapToGrid w:val="0"/>
                    <w:spacing w:line="240" w:lineRule="exact"/>
                    <w:jc w:val="center"/>
                    <w:rPr>
                      <w:szCs w:val="21"/>
                    </w:rPr>
                  </w:pPr>
                  <w:r>
                    <w:rPr>
                      <w:rFonts w:hint="eastAsia"/>
                      <w:szCs w:val="21"/>
                    </w:rPr>
                    <w:t>太昌供水站水井1</w:t>
                  </w:r>
                </w:p>
              </w:tc>
              <w:tc>
                <w:tcPr>
                  <w:tcW w:w="1549" w:type="dxa"/>
                  <w:vAlign w:val="center"/>
                </w:tcPr>
                <w:p>
                  <w:pPr>
                    <w:adjustRightInd w:val="0"/>
                    <w:snapToGrid w:val="0"/>
                    <w:spacing w:line="240" w:lineRule="exact"/>
                    <w:jc w:val="center"/>
                    <w:rPr>
                      <w:szCs w:val="21"/>
                    </w:rPr>
                  </w:pPr>
                  <w:r>
                    <w:rPr>
                      <w:rFonts w:hint="eastAsia"/>
                      <w:szCs w:val="21"/>
                    </w:rPr>
                    <w:t>N/1.59km</w:t>
                  </w:r>
                </w:p>
              </w:tc>
              <w:tc>
                <w:tcPr>
                  <w:tcW w:w="1328" w:type="dxa"/>
                  <w:vAlign w:val="center"/>
                </w:tcPr>
                <w:p>
                  <w:pPr>
                    <w:adjustRightInd w:val="0"/>
                    <w:snapToGrid w:val="0"/>
                    <w:spacing w:line="240" w:lineRule="exact"/>
                    <w:jc w:val="center"/>
                    <w:rPr>
                      <w:szCs w:val="21"/>
                    </w:rPr>
                  </w:pPr>
                  <w:r>
                    <w:rPr>
                      <w:rFonts w:hint="eastAsia"/>
                      <w:szCs w:val="21"/>
                    </w:rPr>
                    <w:t>井深160m</w:t>
                  </w:r>
                </w:p>
              </w:tc>
              <w:tc>
                <w:tcPr>
                  <w:tcW w:w="2466" w:type="dxa"/>
                  <w:vMerge w:val="restart"/>
                  <w:shd w:val="clear" w:color="auto" w:fill="auto"/>
                  <w:vAlign w:val="center"/>
                </w:tcPr>
                <w:p>
                  <w:pPr>
                    <w:adjustRightInd w:val="0"/>
                    <w:snapToGrid w:val="0"/>
                    <w:spacing w:line="240" w:lineRule="exact"/>
                    <w:jc w:val="center"/>
                    <w:rPr>
                      <w:szCs w:val="21"/>
                    </w:rPr>
                  </w:pPr>
                  <w:r>
                    <w:rPr>
                      <w:rFonts w:hint="eastAsia"/>
                      <w:bCs/>
                      <w:szCs w:val="21"/>
                    </w:rPr>
                    <w:t>《地下水质量标准》（</w:t>
                  </w:r>
                  <w:r>
                    <w:rPr>
                      <w:bCs/>
                      <w:szCs w:val="21"/>
                    </w:rPr>
                    <w:t>GB/T14848-</w:t>
                  </w:r>
                  <w:r>
                    <w:rPr>
                      <w:rFonts w:hint="eastAsia"/>
                      <w:bCs/>
                      <w:szCs w:val="21"/>
                    </w:rPr>
                    <w:t>2017）Ⅲ类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太昌供水站水井2</w:t>
                  </w:r>
                </w:p>
              </w:tc>
              <w:tc>
                <w:tcPr>
                  <w:tcW w:w="1549" w:type="dxa"/>
                  <w:vAlign w:val="center"/>
                </w:tcPr>
                <w:p>
                  <w:pPr>
                    <w:adjustRightInd w:val="0"/>
                    <w:snapToGrid w:val="0"/>
                    <w:spacing w:line="240" w:lineRule="exact"/>
                    <w:jc w:val="center"/>
                    <w:rPr>
                      <w:szCs w:val="21"/>
                    </w:rPr>
                  </w:pPr>
                  <w:r>
                    <w:rPr>
                      <w:rFonts w:hint="eastAsia"/>
                      <w:szCs w:val="21"/>
                    </w:rPr>
                    <w:t>NE/1.3km</w:t>
                  </w:r>
                </w:p>
              </w:tc>
              <w:tc>
                <w:tcPr>
                  <w:tcW w:w="1328" w:type="dxa"/>
                  <w:vAlign w:val="center"/>
                </w:tcPr>
                <w:p>
                  <w:pPr>
                    <w:adjustRightInd w:val="0"/>
                    <w:snapToGrid w:val="0"/>
                    <w:spacing w:line="240" w:lineRule="exact"/>
                    <w:jc w:val="center"/>
                    <w:rPr>
                      <w:szCs w:val="21"/>
                    </w:rPr>
                  </w:pPr>
                  <w:r>
                    <w:rPr>
                      <w:rFonts w:hint="eastAsia"/>
                      <w:szCs w:val="21"/>
                    </w:rPr>
                    <w:t>井深160m</w:t>
                  </w:r>
                </w:p>
              </w:tc>
              <w:tc>
                <w:tcPr>
                  <w:tcW w:w="2466" w:type="dxa"/>
                  <w:vMerge w:val="continue"/>
                  <w:shd w:val="clear" w:color="auto" w:fill="auto"/>
                  <w:vAlign w:val="center"/>
                </w:tcPr>
                <w:p>
                  <w:pPr>
                    <w:adjustRightInd w:val="0"/>
                    <w:snapToGrid w:val="0"/>
                    <w:spacing w:line="24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37" w:type="dxa"/>
                  <w:vMerge w:val="continue"/>
                  <w:vAlign w:val="center"/>
                </w:tcPr>
                <w:p>
                  <w:pPr>
                    <w:adjustRightInd w:val="0"/>
                    <w:snapToGrid w:val="0"/>
                    <w:spacing w:line="240" w:lineRule="exact"/>
                    <w:jc w:val="center"/>
                    <w:rPr>
                      <w:szCs w:val="21"/>
                    </w:rPr>
                  </w:pPr>
                </w:p>
              </w:tc>
              <w:tc>
                <w:tcPr>
                  <w:tcW w:w="894" w:type="dxa"/>
                  <w:vMerge w:val="continue"/>
                  <w:vAlign w:val="center"/>
                </w:tcPr>
                <w:p>
                  <w:pPr>
                    <w:adjustRightInd w:val="0"/>
                    <w:snapToGrid w:val="0"/>
                    <w:spacing w:line="240" w:lineRule="exact"/>
                    <w:jc w:val="center"/>
                    <w:rPr>
                      <w:szCs w:val="21"/>
                    </w:rPr>
                  </w:pPr>
                </w:p>
              </w:tc>
              <w:tc>
                <w:tcPr>
                  <w:tcW w:w="1527" w:type="dxa"/>
                  <w:vAlign w:val="center"/>
                </w:tcPr>
                <w:p>
                  <w:pPr>
                    <w:adjustRightInd w:val="0"/>
                    <w:snapToGrid w:val="0"/>
                    <w:spacing w:line="240" w:lineRule="exact"/>
                    <w:jc w:val="center"/>
                    <w:rPr>
                      <w:szCs w:val="21"/>
                    </w:rPr>
                  </w:pPr>
                  <w:r>
                    <w:rPr>
                      <w:rFonts w:hint="eastAsia"/>
                      <w:szCs w:val="21"/>
                    </w:rPr>
                    <w:t>街道水井</w:t>
                  </w:r>
                </w:p>
              </w:tc>
              <w:tc>
                <w:tcPr>
                  <w:tcW w:w="1549" w:type="dxa"/>
                  <w:vAlign w:val="center"/>
                </w:tcPr>
                <w:p>
                  <w:pPr>
                    <w:adjustRightInd w:val="0"/>
                    <w:snapToGrid w:val="0"/>
                    <w:spacing w:line="240" w:lineRule="exact"/>
                    <w:jc w:val="center"/>
                    <w:rPr>
                      <w:szCs w:val="21"/>
                    </w:rPr>
                  </w:pPr>
                  <w:r>
                    <w:rPr>
                      <w:rFonts w:hint="eastAsia"/>
                      <w:szCs w:val="21"/>
                    </w:rPr>
                    <w:t>NW/650m</w:t>
                  </w:r>
                </w:p>
              </w:tc>
              <w:tc>
                <w:tcPr>
                  <w:tcW w:w="1328" w:type="dxa"/>
                  <w:vAlign w:val="center"/>
                </w:tcPr>
                <w:p>
                  <w:pPr>
                    <w:adjustRightInd w:val="0"/>
                    <w:snapToGrid w:val="0"/>
                    <w:spacing w:line="240" w:lineRule="exact"/>
                    <w:jc w:val="center"/>
                    <w:rPr>
                      <w:szCs w:val="21"/>
                    </w:rPr>
                  </w:pPr>
                  <w:r>
                    <w:rPr>
                      <w:rFonts w:hint="eastAsia"/>
                      <w:bCs/>
                      <w:szCs w:val="21"/>
                    </w:rPr>
                    <w:t>井深35m</w:t>
                  </w:r>
                </w:p>
              </w:tc>
              <w:tc>
                <w:tcPr>
                  <w:tcW w:w="2466" w:type="dxa"/>
                  <w:vMerge w:val="continue"/>
                  <w:shd w:val="clear" w:color="auto" w:fill="auto"/>
                  <w:vAlign w:val="center"/>
                </w:tcPr>
                <w:p>
                  <w:pPr>
                    <w:adjustRightInd w:val="0"/>
                    <w:snapToGrid w:val="0"/>
                    <w:spacing w:line="240" w:lineRule="exact"/>
                    <w:jc w:val="center"/>
                    <w:rPr>
                      <w:szCs w:val="21"/>
                    </w:rPr>
                  </w:pPr>
                </w:p>
              </w:tc>
            </w:tr>
          </w:tbl>
          <w:p>
            <w:pPr>
              <w:spacing w:line="360" w:lineRule="auto"/>
              <w:ind w:firstLine="480" w:firstLineChars="200"/>
              <w:contextualSpacing/>
              <w:rPr>
                <w:sz w:val="24"/>
                <w:szCs w:val="24"/>
              </w:rPr>
            </w:pPr>
            <w:r>
              <w:rPr>
                <w:rFonts w:hint="eastAsia"/>
                <w:sz w:val="24"/>
                <w:szCs w:val="24"/>
              </w:rPr>
              <w:t>太昌镇居民饮用水为自来水公司提供，太昌街道在用水井主要为太昌供水站及街道咀子水塔，水井分布情况见附图12。</w:t>
            </w:r>
          </w:p>
          <w:p>
            <w:pPr>
              <w:autoSpaceDE w:val="0"/>
              <w:autoSpaceDN w:val="0"/>
              <w:adjustRightInd w:val="0"/>
              <w:spacing w:line="440" w:lineRule="exact"/>
              <w:ind w:firstLine="482" w:firstLineChars="200"/>
              <w:rPr>
                <w:b/>
                <w:bCs/>
                <w:sz w:val="24"/>
                <w:szCs w:val="24"/>
              </w:rPr>
            </w:pPr>
            <w:r>
              <w:rPr>
                <w:rFonts w:hint="eastAsia"/>
                <w:b/>
                <w:bCs/>
                <w:sz w:val="24"/>
                <w:szCs w:val="24"/>
              </w:rPr>
              <w:t>4、污染控制目标</w:t>
            </w:r>
          </w:p>
          <w:p>
            <w:pPr>
              <w:autoSpaceDE w:val="0"/>
              <w:autoSpaceDN w:val="0"/>
              <w:adjustRightInd w:val="0"/>
              <w:spacing w:line="440" w:lineRule="exact"/>
              <w:ind w:firstLine="480" w:firstLineChars="200"/>
              <w:rPr>
                <w:bCs/>
                <w:sz w:val="24"/>
                <w:szCs w:val="24"/>
              </w:rPr>
            </w:pPr>
            <w:r>
              <w:rPr>
                <w:bCs/>
                <w:sz w:val="24"/>
                <w:szCs w:val="24"/>
              </w:rPr>
              <w:t>为将项目对周围环境的影响降到最小，应对三废的产生和排放严格控制，减少项目对环境的不利影响</w:t>
            </w:r>
            <w:r>
              <w:rPr>
                <w:rFonts w:hint="eastAsia"/>
                <w:bCs/>
                <w:sz w:val="24"/>
                <w:szCs w:val="24"/>
              </w:rPr>
              <w:t>，</w:t>
            </w:r>
            <w:r>
              <w:rPr>
                <w:bCs/>
                <w:sz w:val="24"/>
                <w:szCs w:val="24"/>
              </w:rPr>
              <w:t>具体控制内容与目标见表</w:t>
            </w:r>
            <w:r>
              <w:rPr>
                <w:rFonts w:hint="eastAsia"/>
                <w:bCs/>
                <w:sz w:val="24"/>
                <w:szCs w:val="24"/>
              </w:rPr>
              <w:t>23</w:t>
            </w:r>
            <w:r>
              <w:rPr>
                <w:bCs/>
                <w:sz w:val="24"/>
                <w:szCs w:val="24"/>
              </w:rPr>
              <w:t>。</w:t>
            </w:r>
          </w:p>
          <w:p>
            <w:pPr>
              <w:autoSpaceDE w:val="0"/>
              <w:autoSpaceDN w:val="0"/>
              <w:adjustRightInd w:val="0"/>
              <w:spacing w:line="440" w:lineRule="exact"/>
              <w:ind w:firstLine="422" w:firstLineChars="200"/>
              <w:jc w:val="center"/>
              <w:rPr>
                <w:b/>
                <w:bCs/>
                <w:szCs w:val="21"/>
              </w:rPr>
            </w:pPr>
            <w:r>
              <w:rPr>
                <w:rFonts w:hint="eastAsia"/>
                <w:b/>
                <w:bCs/>
                <w:szCs w:val="21"/>
              </w:rPr>
              <w:t>表23  污染物控制内容与目标</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5"/>
              <w:gridCol w:w="705"/>
              <w:gridCol w:w="1203"/>
              <w:gridCol w:w="3795"/>
              <w:gridCol w:w="252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675" w:type="dxa"/>
                  <w:vAlign w:val="center"/>
                </w:tcPr>
                <w:p>
                  <w:pPr>
                    <w:jc w:val="center"/>
                    <w:rPr>
                      <w:b/>
                      <w:szCs w:val="21"/>
                    </w:rPr>
                  </w:pPr>
                  <w:r>
                    <w:rPr>
                      <w:b/>
                      <w:szCs w:val="21"/>
                    </w:rPr>
                    <w:t>时期</w:t>
                  </w:r>
                </w:p>
              </w:tc>
              <w:tc>
                <w:tcPr>
                  <w:tcW w:w="705" w:type="dxa"/>
                  <w:vAlign w:val="center"/>
                </w:tcPr>
                <w:p>
                  <w:pPr>
                    <w:jc w:val="center"/>
                    <w:rPr>
                      <w:b/>
                      <w:szCs w:val="21"/>
                    </w:rPr>
                  </w:pPr>
                  <w:r>
                    <w:rPr>
                      <w:b/>
                      <w:szCs w:val="21"/>
                    </w:rPr>
                    <w:t>项目</w:t>
                  </w:r>
                </w:p>
              </w:tc>
              <w:tc>
                <w:tcPr>
                  <w:tcW w:w="1203" w:type="dxa"/>
                  <w:vAlign w:val="center"/>
                </w:tcPr>
                <w:p>
                  <w:pPr>
                    <w:jc w:val="center"/>
                    <w:rPr>
                      <w:b/>
                      <w:szCs w:val="21"/>
                    </w:rPr>
                  </w:pPr>
                  <w:r>
                    <w:rPr>
                      <w:b/>
                      <w:szCs w:val="21"/>
                    </w:rPr>
                    <w:t>污染类型</w:t>
                  </w:r>
                </w:p>
              </w:tc>
              <w:tc>
                <w:tcPr>
                  <w:tcW w:w="3795" w:type="dxa"/>
                  <w:vAlign w:val="center"/>
                </w:tcPr>
                <w:p>
                  <w:pPr>
                    <w:jc w:val="center"/>
                    <w:rPr>
                      <w:b/>
                      <w:szCs w:val="21"/>
                    </w:rPr>
                  </w:pPr>
                  <w:r>
                    <w:rPr>
                      <w:b/>
                      <w:szCs w:val="21"/>
                    </w:rPr>
                    <w:t>污染控制措施</w:t>
                  </w:r>
                </w:p>
              </w:tc>
              <w:tc>
                <w:tcPr>
                  <w:tcW w:w="2523" w:type="dxa"/>
                  <w:vAlign w:val="center"/>
                </w:tcPr>
                <w:p>
                  <w:pPr>
                    <w:jc w:val="center"/>
                    <w:rPr>
                      <w:b/>
                      <w:szCs w:val="21"/>
                    </w:rPr>
                  </w:pPr>
                  <w:r>
                    <w:rPr>
                      <w:b/>
                      <w:szCs w:val="21"/>
                    </w:rPr>
                    <w:t>控制目标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3" w:hRule="atLeast"/>
                <w:jc w:val="center"/>
              </w:trPr>
              <w:tc>
                <w:tcPr>
                  <w:tcW w:w="675" w:type="dxa"/>
                  <w:vMerge w:val="restart"/>
                  <w:vAlign w:val="center"/>
                </w:tcPr>
                <w:p>
                  <w:pPr>
                    <w:jc w:val="center"/>
                    <w:rPr>
                      <w:szCs w:val="21"/>
                    </w:rPr>
                  </w:pPr>
                  <w:r>
                    <w:rPr>
                      <w:szCs w:val="21"/>
                    </w:rPr>
                    <w:t>运</w:t>
                  </w:r>
                </w:p>
                <w:p>
                  <w:pPr>
                    <w:jc w:val="center"/>
                    <w:rPr>
                      <w:szCs w:val="21"/>
                    </w:rPr>
                  </w:pPr>
                  <w:r>
                    <w:rPr>
                      <w:rFonts w:hint="eastAsia"/>
                      <w:szCs w:val="21"/>
                    </w:rPr>
                    <w:t>营</w:t>
                  </w:r>
                </w:p>
                <w:p>
                  <w:pPr>
                    <w:jc w:val="center"/>
                    <w:rPr>
                      <w:szCs w:val="21"/>
                    </w:rPr>
                  </w:pPr>
                  <w:r>
                    <w:rPr>
                      <w:szCs w:val="21"/>
                    </w:rPr>
                    <w:t>期</w:t>
                  </w:r>
                </w:p>
              </w:tc>
              <w:tc>
                <w:tcPr>
                  <w:tcW w:w="705" w:type="dxa"/>
                  <w:vMerge w:val="restart"/>
                  <w:vAlign w:val="center"/>
                </w:tcPr>
                <w:p>
                  <w:pPr>
                    <w:jc w:val="center"/>
                    <w:rPr>
                      <w:szCs w:val="21"/>
                    </w:rPr>
                  </w:pPr>
                  <w:r>
                    <w:rPr>
                      <w:szCs w:val="21"/>
                    </w:rPr>
                    <w:t>废水</w:t>
                  </w:r>
                </w:p>
              </w:tc>
              <w:tc>
                <w:tcPr>
                  <w:tcW w:w="1203" w:type="dxa"/>
                  <w:vAlign w:val="center"/>
                </w:tcPr>
                <w:p>
                  <w:pPr>
                    <w:jc w:val="center"/>
                    <w:rPr>
                      <w:szCs w:val="21"/>
                    </w:rPr>
                  </w:pPr>
                  <w:r>
                    <w:rPr>
                      <w:rFonts w:hint="eastAsia"/>
                      <w:szCs w:val="21"/>
                    </w:rPr>
                    <w:t>进厂污水</w:t>
                  </w:r>
                </w:p>
              </w:tc>
              <w:tc>
                <w:tcPr>
                  <w:tcW w:w="3795" w:type="dxa"/>
                  <w:vAlign w:val="center"/>
                </w:tcPr>
                <w:p>
                  <w:pPr>
                    <w:jc w:val="center"/>
                    <w:rPr>
                      <w:szCs w:val="21"/>
                    </w:rPr>
                  </w:pPr>
                  <w:r>
                    <w:rPr>
                      <w:rFonts w:hint="eastAsia"/>
                      <w:bCs/>
                      <w:szCs w:val="21"/>
                    </w:rPr>
                    <w:t>多级生物接触氧化法</w:t>
                  </w:r>
                </w:p>
              </w:tc>
              <w:tc>
                <w:tcPr>
                  <w:tcW w:w="2523" w:type="dxa"/>
                  <w:vAlign w:val="center"/>
                </w:tcPr>
                <w:p>
                  <w:pPr>
                    <w:jc w:val="center"/>
                    <w:rPr>
                      <w:szCs w:val="21"/>
                    </w:rPr>
                  </w:pPr>
                  <w:r>
                    <w:rPr>
                      <w:szCs w:val="21"/>
                    </w:rPr>
                    <w:t>《城镇污水处理厂污染物排放标准》（GB18918-2002）一</w:t>
                  </w:r>
                  <w:r>
                    <w:rPr>
                      <w:rFonts w:hint="eastAsia"/>
                      <w:szCs w:val="21"/>
                    </w:rPr>
                    <w:t>级A</w:t>
                  </w:r>
                  <w:r>
                    <w:rPr>
                      <w:szCs w:val="21"/>
                    </w:rPr>
                    <w:t>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3" w:hRule="atLeast"/>
                <w:jc w:val="center"/>
              </w:trPr>
              <w:tc>
                <w:tcPr>
                  <w:tcW w:w="675" w:type="dxa"/>
                  <w:vMerge w:val="continue"/>
                  <w:vAlign w:val="center"/>
                </w:tcPr>
                <w:p>
                  <w:pPr>
                    <w:jc w:val="center"/>
                    <w:rPr>
                      <w:szCs w:val="21"/>
                    </w:rPr>
                  </w:pPr>
                </w:p>
              </w:tc>
              <w:tc>
                <w:tcPr>
                  <w:tcW w:w="705" w:type="dxa"/>
                  <w:vMerge w:val="continue"/>
                  <w:vAlign w:val="center"/>
                </w:tcPr>
                <w:p>
                  <w:pPr>
                    <w:jc w:val="center"/>
                    <w:rPr>
                      <w:szCs w:val="21"/>
                    </w:rPr>
                  </w:pPr>
                </w:p>
              </w:tc>
              <w:tc>
                <w:tcPr>
                  <w:tcW w:w="1203" w:type="dxa"/>
                  <w:vAlign w:val="center"/>
                </w:tcPr>
                <w:p>
                  <w:pPr>
                    <w:jc w:val="center"/>
                    <w:rPr>
                      <w:szCs w:val="21"/>
                    </w:rPr>
                  </w:pPr>
                  <w:r>
                    <w:rPr>
                      <w:rFonts w:hint="eastAsia"/>
                      <w:szCs w:val="21"/>
                    </w:rPr>
                    <w:t>公路地面径流</w:t>
                  </w:r>
                </w:p>
              </w:tc>
              <w:tc>
                <w:tcPr>
                  <w:tcW w:w="3795" w:type="dxa"/>
                  <w:vAlign w:val="center"/>
                </w:tcPr>
                <w:p>
                  <w:pPr>
                    <w:jc w:val="center"/>
                    <w:rPr>
                      <w:bCs/>
                      <w:szCs w:val="21"/>
                    </w:rPr>
                  </w:pPr>
                  <w:r>
                    <w:rPr>
                      <w:rFonts w:hint="eastAsia"/>
                      <w:bCs/>
                      <w:szCs w:val="21"/>
                    </w:rPr>
                    <w:t>日常清理、定期检查集水设施</w:t>
                  </w:r>
                </w:p>
              </w:tc>
              <w:tc>
                <w:tcPr>
                  <w:tcW w:w="2523" w:type="dxa"/>
                  <w:vAlign w:val="center"/>
                </w:tcPr>
                <w:p>
                  <w:pPr>
                    <w:jc w:val="center"/>
                    <w:rPr>
                      <w:szCs w:val="21"/>
                    </w:rPr>
                  </w:pPr>
                  <w:r>
                    <w:rPr>
                      <w:rFonts w:hint="eastAsia"/>
                      <w:szCs w:val="21"/>
                    </w:rPr>
                    <w:t>排水通畅、禁止漫流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17" w:hRule="atLeast"/>
                <w:jc w:val="center"/>
              </w:trPr>
              <w:tc>
                <w:tcPr>
                  <w:tcW w:w="675" w:type="dxa"/>
                  <w:vMerge w:val="continue"/>
                  <w:vAlign w:val="center"/>
                </w:tcPr>
                <w:p>
                  <w:pPr>
                    <w:jc w:val="center"/>
                    <w:rPr>
                      <w:szCs w:val="21"/>
                    </w:rPr>
                  </w:pPr>
                </w:p>
              </w:tc>
              <w:tc>
                <w:tcPr>
                  <w:tcW w:w="705" w:type="dxa"/>
                  <w:vMerge w:val="restart"/>
                  <w:vAlign w:val="center"/>
                </w:tcPr>
                <w:p>
                  <w:pPr>
                    <w:jc w:val="center"/>
                    <w:rPr>
                      <w:szCs w:val="21"/>
                    </w:rPr>
                  </w:pPr>
                  <w:r>
                    <w:rPr>
                      <w:szCs w:val="21"/>
                    </w:rPr>
                    <w:t>噪声</w:t>
                  </w:r>
                </w:p>
              </w:tc>
              <w:tc>
                <w:tcPr>
                  <w:tcW w:w="1203" w:type="dxa"/>
                  <w:vAlign w:val="center"/>
                </w:tcPr>
                <w:p>
                  <w:pPr>
                    <w:jc w:val="center"/>
                    <w:rPr>
                      <w:szCs w:val="21"/>
                    </w:rPr>
                  </w:pPr>
                  <w:r>
                    <w:rPr>
                      <w:rFonts w:hint="eastAsia"/>
                      <w:szCs w:val="21"/>
                    </w:rPr>
                    <w:t>设备噪声</w:t>
                  </w:r>
                </w:p>
              </w:tc>
              <w:tc>
                <w:tcPr>
                  <w:tcW w:w="3795" w:type="dxa"/>
                  <w:vAlign w:val="center"/>
                </w:tcPr>
                <w:p>
                  <w:pPr>
                    <w:jc w:val="center"/>
                    <w:rPr>
                      <w:szCs w:val="21"/>
                    </w:rPr>
                  </w:pPr>
                  <w:r>
                    <w:rPr>
                      <w:szCs w:val="21"/>
                    </w:rPr>
                    <w:t>减振、隔声、消声器</w:t>
                  </w:r>
                </w:p>
              </w:tc>
              <w:tc>
                <w:tcPr>
                  <w:tcW w:w="2523" w:type="dxa"/>
                  <w:vAlign w:val="center"/>
                </w:tcPr>
                <w:p>
                  <w:pPr>
                    <w:jc w:val="center"/>
                    <w:rPr>
                      <w:szCs w:val="21"/>
                    </w:rPr>
                  </w:pPr>
                  <w:r>
                    <w:rPr>
                      <w:rFonts w:hint="eastAsia"/>
                      <w:szCs w:val="21"/>
                    </w:rPr>
                    <w:t>《工业企业厂界噪声排放标准》（</w:t>
                  </w:r>
                  <w:r>
                    <w:rPr>
                      <w:szCs w:val="21"/>
                    </w:rPr>
                    <w:t>GB12348-2008</w:t>
                  </w:r>
                  <w:r>
                    <w:rPr>
                      <w:rFonts w:hint="eastAsia"/>
                      <w:szCs w:val="21"/>
                    </w:rPr>
                    <w:t>）2类标准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73" w:hRule="atLeast"/>
                <w:jc w:val="center"/>
              </w:trPr>
              <w:tc>
                <w:tcPr>
                  <w:tcW w:w="675" w:type="dxa"/>
                  <w:vMerge w:val="continue"/>
                  <w:vAlign w:val="center"/>
                </w:tcPr>
                <w:p>
                  <w:pPr>
                    <w:jc w:val="center"/>
                    <w:rPr>
                      <w:szCs w:val="21"/>
                    </w:rPr>
                  </w:pPr>
                </w:p>
              </w:tc>
              <w:tc>
                <w:tcPr>
                  <w:tcW w:w="705" w:type="dxa"/>
                  <w:vMerge w:val="continue"/>
                  <w:vAlign w:val="center"/>
                </w:tcPr>
                <w:p>
                  <w:pPr>
                    <w:jc w:val="center"/>
                    <w:rPr>
                      <w:szCs w:val="21"/>
                    </w:rPr>
                  </w:pPr>
                </w:p>
              </w:tc>
              <w:tc>
                <w:tcPr>
                  <w:tcW w:w="1203" w:type="dxa"/>
                  <w:vAlign w:val="center"/>
                </w:tcPr>
                <w:p>
                  <w:pPr>
                    <w:jc w:val="center"/>
                    <w:rPr>
                      <w:szCs w:val="21"/>
                    </w:rPr>
                  </w:pPr>
                  <w:r>
                    <w:rPr>
                      <w:rFonts w:hint="eastAsia"/>
                      <w:szCs w:val="21"/>
                    </w:rPr>
                    <w:t>车辆交通</w:t>
                  </w:r>
                </w:p>
              </w:tc>
              <w:tc>
                <w:tcPr>
                  <w:tcW w:w="3795" w:type="dxa"/>
                  <w:vAlign w:val="center"/>
                </w:tcPr>
                <w:p>
                  <w:pPr>
                    <w:jc w:val="center"/>
                    <w:rPr>
                      <w:szCs w:val="21"/>
                    </w:rPr>
                  </w:pPr>
                  <w:r>
                    <w:rPr>
                      <w:rFonts w:hint="eastAsia" w:hAnsi="宋体"/>
                      <w:bCs/>
                      <w:szCs w:val="21"/>
                    </w:rPr>
                    <w:t>禁鸣标志、安装超速监控设施</w:t>
                  </w:r>
                </w:p>
              </w:tc>
              <w:tc>
                <w:tcPr>
                  <w:tcW w:w="2523" w:type="dxa"/>
                  <w:vAlign w:val="center"/>
                </w:tcPr>
                <w:p>
                  <w:pPr>
                    <w:jc w:val="center"/>
                    <w:rPr>
                      <w:szCs w:val="21"/>
                    </w:rPr>
                  </w:pPr>
                  <w:r>
                    <w:rPr>
                      <w:rFonts w:hint="eastAsia"/>
                      <w:szCs w:val="21"/>
                    </w:rPr>
                    <w:t>《工业企业厂界噪声排放标准》（</w:t>
                  </w:r>
                  <w:r>
                    <w:rPr>
                      <w:szCs w:val="21"/>
                    </w:rPr>
                    <w:t>GB12348-2008</w:t>
                  </w:r>
                  <w:r>
                    <w:rPr>
                      <w:rFonts w:hint="eastAsia"/>
                      <w:szCs w:val="21"/>
                    </w:rPr>
                    <w:t>）4类标准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07" w:hRule="atLeast"/>
                <w:jc w:val="center"/>
              </w:trPr>
              <w:tc>
                <w:tcPr>
                  <w:tcW w:w="675" w:type="dxa"/>
                  <w:vMerge w:val="continue"/>
                  <w:vAlign w:val="center"/>
                </w:tcPr>
                <w:p>
                  <w:pPr>
                    <w:jc w:val="center"/>
                    <w:rPr>
                      <w:szCs w:val="21"/>
                    </w:rPr>
                  </w:pPr>
                </w:p>
              </w:tc>
              <w:tc>
                <w:tcPr>
                  <w:tcW w:w="705" w:type="dxa"/>
                  <w:vMerge w:val="restart"/>
                  <w:vAlign w:val="center"/>
                </w:tcPr>
                <w:p>
                  <w:pPr>
                    <w:jc w:val="center"/>
                    <w:rPr>
                      <w:szCs w:val="21"/>
                    </w:rPr>
                  </w:pPr>
                  <w:r>
                    <w:rPr>
                      <w:szCs w:val="21"/>
                    </w:rPr>
                    <w:t>固体</w:t>
                  </w:r>
                </w:p>
                <w:p>
                  <w:pPr>
                    <w:jc w:val="center"/>
                    <w:rPr>
                      <w:szCs w:val="21"/>
                    </w:rPr>
                  </w:pPr>
                  <w:r>
                    <w:rPr>
                      <w:szCs w:val="21"/>
                    </w:rPr>
                    <w:t>废物</w:t>
                  </w:r>
                </w:p>
              </w:tc>
              <w:tc>
                <w:tcPr>
                  <w:tcW w:w="1203" w:type="dxa"/>
                  <w:vAlign w:val="center"/>
                </w:tcPr>
                <w:p>
                  <w:pPr>
                    <w:jc w:val="center"/>
                    <w:rPr>
                      <w:szCs w:val="21"/>
                    </w:rPr>
                  </w:pPr>
                  <w:r>
                    <w:rPr>
                      <w:rFonts w:hint="eastAsia"/>
                      <w:szCs w:val="21"/>
                    </w:rPr>
                    <w:t>格栅栅渣</w:t>
                  </w:r>
                </w:p>
              </w:tc>
              <w:tc>
                <w:tcPr>
                  <w:tcW w:w="3795" w:type="dxa"/>
                  <w:vMerge w:val="restart"/>
                  <w:vAlign w:val="center"/>
                </w:tcPr>
                <w:p>
                  <w:pPr>
                    <w:jc w:val="center"/>
                    <w:rPr>
                      <w:szCs w:val="21"/>
                    </w:rPr>
                  </w:pPr>
                  <w:r>
                    <w:rPr>
                      <w:rFonts w:hint="eastAsia"/>
                      <w:szCs w:val="21"/>
                    </w:rPr>
                    <w:t>外运宁县和盛镇生活垃圾填埋场卫生填埋</w:t>
                  </w:r>
                </w:p>
              </w:tc>
              <w:tc>
                <w:tcPr>
                  <w:tcW w:w="2523" w:type="dxa"/>
                  <w:vMerge w:val="restart"/>
                  <w:vAlign w:val="center"/>
                </w:tcPr>
                <w:p>
                  <w:pPr>
                    <w:jc w:val="center"/>
                    <w:rPr>
                      <w:szCs w:val="21"/>
                    </w:rPr>
                  </w:pPr>
                  <w:r>
                    <w:rPr>
                      <w:rFonts w:hAnsi="宋体"/>
                      <w:szCs w:val="21"/>
                    </w:rPr>
                    <w:t>《一般工业固体废物贮存、处置场污染控制标准》（GB 18599-2001）及其修改单（国家环保部2013年第36号文件）要求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07" w:hRule="atLeast"/>
                <w:jc w:val="center"/>
              </w:trPr>
              <w:tc>
                <w:tcPr>
                  <w:tcW w:w="675" w:type="dxa"/>
                  <w:vMerge w:val="continue"/>
                  <w:vAlign w:val="center"/>
                </w:tcPr>
                <w:p>
                  <w:pPr>
                    <w:jc w:val="center"/>
                    <w:rPr>
                      <w:szCs w:val="21"/>
                    </w:rPr>
                  </w:pPr>
                </w:p>
              </w:tc>
              <w:tc>
                <w:tcPr>
                  <w:tcW w:w="705" w:type="dxa"/>
                  <w:vMerge w:val="continue"/>
                  <w:vAlign w:val="center"/>
                </w:tcPr>
                <w:p>
                  <w:pPr>
                    <w:jc w:val="center"/>
                    <w:rPr>
                      <w:szCs w:val="21"/>
                    </w:rPr>
                  </w:pPr>
                </w:p>
              </w:tc>
              <w:tc>
                <w:tcPr>
                  <w:tcW w:w="1203" w:type="dxa"/>
                  <w:vAlign w:val="center"/>
                </w:tcPr>
                <w:p>
                  <w:pPr>
                    <w:jc w:val="center"/>
                    <w:rPr>
                      <w:szCs w:val="21"/>
                    </w:rPr>
                  </w:pPr>
                  <w:r>
                    <w:rPr>
                      <w:rFonts w:hint="eastAsia" w:hAnsi="宋体"/>
                      <w:szCs w:val="21"/>
                    </w:rPr>
                    <w:t>废滤料</w:t>
                  </w:r>
                </w:p>
              </w:tc>
              <w:tc>
                <w:tcPr>
                  <w:tcW w:w="3795" w:type="dxa"/>
                  <w:vMerge w:val="continue"/>
                  <w:vAlign w:val="center"/>
                </w:tcPr>
                <w:p>
                  <w:pPr>
                    <w:jc w:val="center"/>
                    <w:rPr>
                      <w:szCs w:val="21"/>
                    </w:rPr>
                  </w:pPr>
                </w:p>
              </w:tc>
              <w:tc>
                <w:tcPr>
                  <w:tcW w:w="2523"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07" w:hRule="atLeast"/>
                <w:jc w:val="center"/>
              </w:trPr>
              <w:tc>
                <w:tcPr>
                  <w:tcW w:w="675" w:type="dxa"/>
                  <w:vMerge w:val="continue"/>
                  <w:vAlign w:val="center"/>
                </w:tcPr>
                <w:p>
                  <w:pPr>
                    <w:jc w:val="center"/>
                    <w:rPr>
                      <w:szCs w:val="21"/>
                    </w:rPr>
                  </w:pPr>
                </w:p>
              </w:tc>
              <w:tc>
                <w:tcPr>
                  <w:tcW w:w="705" w:type="dxa"/>
                  <w:vMerge w:val="continue"/>
                  <w:vAlign w:val="center"/>
                </w:tcPr>
                <w:p>
                  <w:pPr>
                    <w:jc w:val="center"/>
                    <w:rPr>
                      <w:szCs w:val="21"/>
                    </w:rPr>
                  </w:pPr>
                </w:p>
              </w:tc>
              <w:tc>
                <w:tcPr>
                  <w:tcW w:w="1203" w:type="dxa"/>
                  <w:vAlign w:val="center"/>
                </w:tcPr>
                <w:p>
                  <w:pPr>
                    <w:jc w:val="center"/>
                    <w:rPr>
                      <w:szCs w:val="21"/>
                    </w:rPr>
                  </w:pPr>
                  <w:r>
                    <w:rPr>
                      <w:rFonts w:hint="eastAsia"/>
                      <w:szCs w:val="21"/>
                    </w:rPr>
                    <w:t>污水管网</w:t>
                  </w:r>
                  <w:r>
                    <w:rPr>
                      <w:rFonts w:hint="eastAsia" w:hAnsi="宋体"/>
                      <w:szCs w:val="21"/>
                    </w:rPr>
                    <w:t>淤泥</w:t>
                  </w:r>
                </w:p>
              </w:tc>
              <w:tc>
                <w:tcPr>
                  <w:tcW w:w="3795" w:type="dxa"/>
                  <w:vAlign w:val="center"/>
                </w:tcPr>
                <w:p>
                  <w:pPr>
                    <w:jc w:val="center"/>
                    <w:rPr>
                      <w:szCs w:val="21"/>
                    </w:rPr>
                  </w:pPr>
                  <w:r>
                    <w:rPr>
                      <w:rFonts w:hint="eastAsia"/>
                      <w:szCs w:val="21"/>
                    </w:rPr>
                    <w:t>和污水站污泥一起处理</w:t>
                  </w:r>
                </w:p>
              </w:tc>
              <w:tc>
                <w:tcPr>
                  <w:tcW w:w="2523"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07" w:hRule="atLeast"/>
                <w:jc w:val="center"/>
              </w:trPr>
              <w:tc>
                <w:tcPr>
                  <w:tcW w:w="675" w:type="dxa"/>
                  <w:vMerge w:val="continue"/>
                  <w:vAlign w:val="center"/>
                </w:tcPr>
                <w:p>
                  <w:pPr>
                    <w:jc w:val="center"/>
                    <w:rPr>
                      <w:szCs w:val="21"/>
                    </w:rPr>
                  </w:pPr>
                </w:p>
              </w:tc>
              <w:tc>
                <w:tcPr>
                  <w:tcW w:w="705" w:type="dxa"/>
                  <w:vMerge w:val="continue"/>
                  <w:vAlign w:val="center"/>
                </w:tcPr>
                <w:p>
                  <w:pPr>
                    <w:jc w:val="center"/>
                    <w:rPr>
                      <w:szCs w:val="21"/>
                    </w:rPr>
                  </w:pPr>
                </w:p>
              </w:tc>
              <w:tc>
                <w:tcPr>
                  <w:tcW w:w="1203" w:type="dxa"/>
                  <w:vAlign w:val="center"/>
                </w:tcPr>
                <w:p>
                  <w:pPr>
                    <w:adjustRightInd w:val="0"/>
                    <w:snapToGrid w:val="0"/>
                    <w:spacing w:line="340" w:lineRule="exact"/>
                    <w:jc w:val="center"/>
                    <w:rPr>
                      <w:bCs/>
                      <w:szCs w:val="21"/>
                    </w:rPr>
                  </w:pPr>
                  <w:r>
                    <w:rPr>
                      <w:rFonts w:hint="eastAsia"/>
                      <w:bCs/>
                      <w:szCs w:val="21"/>
                    </w:rPr>
                    <w:t>污泥池剩余污泥</w:t>
                  </w:r>
                </w:p>
              </w:tc>
              <w:tc>
                <w:tcPr>
                  <w:tcW w:w="3795" w:type="dxa"/>
                  <w:vAlign w:val="center"/>
                </w:tcPr>
                <w:p>
                  <w:pPr>
                    <w:adjustRightInd w:val="0"/>
                    <w:snapToGrid w:val="0"/>
                    <w:spacing w:line="340" w:lineRule="exact"/>
                    <w:jc w:val="center"/>
                    <w:rPr>
                      <w:bCs/>
                      <w:szCs w:val="21"/>
                    </w:rPr>
                  </w:pPr>
                  <w:r>
                    <w:rPr>
                      <w:rFonts w:hint="eastAsia"/>
                      <w:bCs/>
                      <w:szCs w:val="21"/>
                    </w:rPr>
                    <w:t>近期交由有资质单位处理，远期建设深度处理，至含水率低于60%送</w:t>
                  </w:r>
                  <w:r>
                    <w:rPr>
                      <w:rFonts w:hint="eastAsia"/>
                      <w:szCs w:val="21"/>
                    </w:rPr>
                    <w:t>宁县和盛镇生活垃圾填埋场</w:t>
                  </w:r>
                  <w:r>
                    <w:rPr>
                      <w:rFonts w:hint="eastAsia"/>
                      <w:bCs/>
                      <w:szCs w:val="21"/>
                    </w:rPr>
                    <w:t>卫生填埋</w:t>
                  </w:r>
                </w:p>
              </w:tc>
              <w:tc>
                <w:tcPr>
                  <w:tcW w:w="2523"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jc w:val="center"/>
              </w:trPr>
              <w:tc>
                <w:tcPr>
                  <w:tcW w:w="675" w:type="dxa"/>
                  <w:vMerge w:val="continue"/>
                  <w:vAlign w:val="center"/>
                </w:tcPr>
                <w:p>
                  <w:pPr>
                    <w:jc w:val="center"/>
                    <w:rPr>
                      <w:szCs w:val="21"/>
                    </w:rPr>
                  </w:pPr>
                </w:p>
              </w:tc>
              <w:tc>
                <w:tcPr>
                  <w:tcW w:w="705" w:type="dxa"/>
                  <w:vMerge w:val="continue"/>
                  <w:vAlign w:val="center"/>
                </w:tcPr>
                <w:p>
                  <w:pPr>
                    <w:jc w:val="center"/>
                    <w:rPr>
                      <w:szCs w:val="21"/>
                    </w:rPr>
                  </w:pPr>
                </w:p>
              </w:tc>
              <w:tc>
                <w:tcPr>
                  <w:tcW w:w="1203" w:type="dxa"/>
                  <w:vAlign w:val="center"/>
                </w:tcPr>
                <w:p>
                  <w:pPr>
                    <w:adjustRightInd w:val="0"/>
                    <w:snapToGrid w:val="0"/>
                    <w:spacing w:line="340" w:lineRule="exact"/>
                    <w:jc w:val="center"/>
                    <w:rPr>
                      <w:bCs/>
                      <w:szCs w:val="21"/>
                    </w:rPr>
                  </w:pPr>
                  <w:r>
                    <w:rPr>
                      <w:rFonts w:hint="eastAsia"/>
                      <w:bCs/>
                      <w:szCs w:val="21"/>
                    </w:rPr>
                    <w:t>路面及广场垃圾</w:t>
                  </w:r>
                </w:p>
              </w:tc>
              <w:tc>
                <w:tcPr>
                  <w:tcW w:w="3795" w:type="dxa"/>
                  <w:vAlign w:val="center"/>
                </w:tcPr>
                <w:p>
                  <w:pPr>
                    <w:adjustRightInd w:val="0"/>
                    <w:snapToGrid w:val="0"/>
                    <w:spacing w:line="340" w:lineRule="exact"/>
                    <w:jc w:val="center"/>
                    <w:rPr>
                      <w:bCs/>
                      <w:szCs w:val="21"/>
                    </w:rPr>
                  </w:pPr>
                  <w:r>
                    <w:rPr>
                      <w:rFonts w:hint="eastAsia" w:hAnsi="宋体"/>
                      <w:szCs w:val="21"/>
                    </w:rPr>
                    <w:t>清理</w:t>
                  </w:r>
                  <w:r>
                    <w:rPr>
                      <w:rFonts w:hint="eastAsia" w:hAnsi="宋体"/>
                      <w:bCs/>
                      <w:szCs w:val="21"/>
                    </w:rPr>
                    <w:t>运至</w:t>
                  </w:r>
                  <w:r>
                    <w:rPr>
                      <w:rFonts w:hAnsi="宋体"/>
                      <w:szCs w:val="21"/>
                    </w:rPr>
                    <w:t>政府指定的生活垃圾填埋场处置</w:t>
                  </w:r>
                </w:p>
              </w:tc>
              <w:tc>
                <w:tcPr>
                  <w:tcW w:w="2523" w:type="dxa"/>
                  <w:vAlign w:val="center"/>
                </w:tcPr>
                <w:p>
                  <w:pPr>
                    <w:jc w:val="center"/>
                    <w:rPr>
                      <w:szCs w:val="21"/>
                    </w:rPr>
                  </w:pPr>
                  <w:r>
                    <w:rPr>
                      <w:szCs w:val="21"/>
                    </w:rPr>
                    <w:t>妥善处置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07" w:hRule="atLeast"/>
                <w:jc w:val="center"/>
              </w:trPr>
              <w:tc>
                <w:tcPr>
                  <w:tcW w:w="675" w:type="dxa"/>
                  <w:vMerge w:val="continue"/>
                  <w:vAlign w:val="center"/>
                </w:tcPr>
                <w:p>
                  <w:pPr>
                    <w:jc w:val="center"/>
                    <w:rPr>
                      <w:szCs w:val="21"/>
                    </w:rPr>
                  </w:pPr>
                </w:p>
              </w:tc>
              <w:tc>
                <w:tcPr>
                  <w:tcW w:w="705" w:type="dxa"/>
                  <w:vMerge w:val="restart"/>
                  <w:vAlign w:val="center"/>
                </w:tcPr>
                <w:p>
                  <w:pPr>
                    <w:jc w:val="center"/>
                    <w:rPr>
                      <w:szCs w:val="21"/>
                    </w:rPr>
                  </w:pPr>
                  <w:r>
                    <w:rPr>
                      <w:szCs w:val="21"/>
                    </w:rPr>
                    <w:t>废气</w:t>
                  </w:r>
                </w:p>
              </w:tc>
              <w:tc>
                <w:tcPr>
                  <w:tcW w:w="1203" w:type="dxa"/>
                  <w:vAlign w:val="center"/>
                </w:tcPr>
                <w:p>
                  <w:pPr>
                    <w:jc w:val="center"/>
                    <w:rPr>
                      <w:szCs w:val="21"/>
                      <w:vertAlign w:val="subscript"/>
                    </w:rPr>
                  </w:pPr>
                  <w:r>
                    <w:rPr>
                      <w:rFonts w:hint="eastAsia"/>
                      <w:szCs w:val="21"/>
                    </w:rPr>
                    <w:t>NH</w:t>
                  </w:r>
                  <w:r>
                    <w:rPr>
                      <w:rFonts w:hint="eastAsia"/>
                      <w:szCs w:val="21"/>
                      <w:vertAlign w:val="subscript"/>
                    </w:rPr>
                    <w:t>3</w:t>
                  </w:r>
                </w:p>
                <w:p>
                  <w:pPr>
                    <w:jc w:val="center"/>
                    <w:rPr>
                      <w:szCs w:val="21"/>
                    </w:rPr>
                  </w:pPr>
                  <w:r>
                    <w:rPr>
                      <w:rFonts w:hint="eastAsia"/>
                      <w:szCs w:val="21"/>
                    </w:rPr>
                    <w:t>H</w:t>
                  </w:r>
                  <w:r>
                    <w:rPr>
                      <w:rFonts w:hint="eastAsia"/>
                      <w:szCs w:val="21"/>
                      <w:vertAlign w:val="subscript"/>
                    </w:rPr>
                    <w:t>2</w:t>
                  </w:r>
                  <w:r>
                    <w:rPr>
                      <w:rFonts w:hint="eastAsia"/>
                      <w:szCs w:val="21"/>
                    </w:rPr>
                    <w:t>S</w:t>
                  </w:r>
                </w:p>
              </w:tc>
              <w:tc>
                <w:tcPr>
                  <w:tcW w:w="3795" w:type="dxa"/>
                  <w:vAlign w:val="center"/>
                </w:tcPr>
                <w:p>
                  <w:pPr>
                    <w:jc w:val="center"/>
                    <w:rPr>
                      <w:szCs w:val="21"/>
                    </w:rPr>
                  </w:pPr>
                  <w:r>
                    <w:rPr>
                      <w:rFonts w:hint="eastAsia"/>
                      <w:szCs w:val="21"/>
                    </w:rPr>
                    <w:t>采取加盖措施，采用封闭地埋式设施</w:t>
                  </w:r>
                  <w:r>
                    <w:rPr>
                      <w:szCs w:val="21"/>
                    </w:rPr>
                    <w:t xml:space="preserve"> </w:t>
                  </w:r>
                </w:p>
              </w:tc>
              <w:tc>
                <w:tcPr>
                  <w:tcW w:w="2523" w:type="dxa"/>
                  <w:vAlign w:val="center"/>
                </w:tcPr>
                <w:p>
                  <w:pPr>
                    <w:jc w:val="center"/>
                    <w:rPr>
                      <w:szCs w:val="21"/>
                    </w:rPr>
                  </w:pPr>
                  <w:r>
                    <w:rPr>
                      <w:bCs/>
                      <w:szCs w:val="21"/>
                    </w:rPr>
                    <w:t>《城镇污水处理厂污染物排放标准》（GB18918-2002）中表4</w:t>
                  </w:r>
                  <w:r>
                    <w:rPr>
                      <w:rFonts w:hint="eastAsia"/>
                      <w:bCs/>
                      <w:szCs w:val="21"/>
                    </w:rPr>
                    <w:t>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07" w:hRule="atLeast"/>
                <w:jc w:val="center"/>
              </w:trPr>
              <w:tc>
                <w:tcPr>
                  <w:tcW w:w="675" w:type="dxa"/>
                  <w:vMerge w:val="continue"/>
                  <w:vAlign w:val="center"/>
                </w:tcPr>
                <w:p>
                  <w:pPr>
                    <w:jc w:val="center"/>
                    <w:rPr>
                      <w:szCs w:val="21"/>
                    </w:rPr>
                  </w:pPr>
                </w:p>
              </w:tc>
              <w:tc>
                <w:tcPr>
                  <w:tcW w:w="705" w:type="dxa"/>
                  <w:vMerge w:val="continue"/>
                  <w:vAlign w:val="center"/>
                </w:tcPr>
                <w:p>
                  <w:pPr>
                    <w:jc w:val="center"/>
                    <w:rPr>
                      <w:szCs w:val="21"/>
                    </w:rPr>
                  </w:pPr>
                </w:p>
              </w:tc>
              <w:tc>
                <w:tcPr>
                  <w:tcW w:w="1203" w:type="dxa"/>
                  <w:vAlign w:val="center"/>
                </w:tcPr>
                <w:p>
                  <w:pPr>
                    <w:jc w:val="center"/>
                    <w:rPr>
                      <w:szCs w:val="21"/>
                    </w:rPr>
                  </w:pPr>
                  <w:r>
                    <w:rPr>
                      <w:rFonts w:hint="eastAsia"/>
                      <w:szCs w:val="21"/>
                    </w:rPr>
                    <w:t>汽车尾气及扬尘</w:t>
                  </w:r>
                </w:p>
              </w:tc>
              <w:tc>
                <w:tcPr>
                  <w:tcW w:w="3795" w:type="dxa"/>
                  <w:vAlign w:val="center"/>
                </w:tcPr>
                <w:p>
                  <w:pPr>
                    <w:jc w:val="center"/>
                    <w:rPr>
                      <w:szCs w:val="21"/>
                    </w:rPr>
                  </w:pPr>
                  <w:r>
                    <w:rPr>
                      <w:rFonts w:hint="eastAsia"/>
                      <w:szCs w:val="21"/>
                    </w:rPr>
                    <w:t>限速、清洁路面、洒水</w:t>
                  </w:r>
                </w:p>
              </w:tc>
              <w:tc>
                <w:tcPr>
                  <w:tcW w:w="2523" w:type="dxa"/>
                  <w:vAlign w:val="center"/>
                </w:tcPr>
                <w:p>
                  <w:pPr>
                    <w:jc w:val="center"/>
                    <w:rPr>
                      <w:bCs/>
                      <w:szCs w:val="21"/>
                    </w:rPr>
                  </w:pPr>
                  <w:r>
                    <w:rPr>
                      <w:bCs/>
                      <w:szCs w:val="21"/>
                    </w:rPr>
                    <w:t>《大气污染物综合排放标准》（GB16297-1996）</w:t>
                  </w:r>
                  <w:r>
                    <w:rPr>
                      <w:rFonts w:hint="eastAsia"/>
                      <w:bCs/>
                      <w:szCs w:val="21"/>
                    </w:rPr>
                    <w:t>表2二级</w:t>
                  </w:r>
                </w:p>
              </w:tc>
            </w:tr>
          </w:tbl>
          <w:p>
            <w:pPr>
              <w:spacing w:line="360" w:lineRule="auto"/>
              <w:rPr>
                <w:sz w:val="24"/>
              </w:rPr>
            </w:pPr>
          </w:p>
        </w:tc>
      </w:tr>
    </w:tbl>
    <w:p>
      <w:pPr>
        <w:outlineLvl w:val="0"/>
        <w:rPr>
          <w:b/>
          <w:sz w:val="32"/>
        </w:rPr>
      </w:pPr>
    </w:p>
    <w:p>
      <w:pPr>
        <w:outlineLvl w:val="0"/>
        <w:rPr>
          <w:b/>
          <w:sz w:val="32"/>
        </w:rPr>
      </w:pPr>
      <w:r>
        <w:rPr>
          <w:rFonts w:hint="eastAsia"/>
          <w:b/>
          <w:sz w:val="32"/>
        </w:rPr>
        <w:t>评价适用标准</w:t>
      </w:r>
    </w:p>
    <w:tbl>
      <w:tblPr>
        <w:tblStyle w:val="35"/>
        <w:tblW w:w="911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0"/>
        <w:gridCol w:w="81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15" w:hRule="atLeast"/>
          <w:jc w:val="center"/>
        </w:trPr>
        <w:tc>
          <w:tcPr>
            <w:tcW w:w="930" w:type="dxa"/>
            <w:tcBorders>
              <w:top w:val="single" w:color="auto" w:sz="12" w:space="0"/>
            </w:tcBorders>
            <w:vAlign w:val="center"/>
          </w:tcPr>
          <w:p>
            <w:pPr>
              <w:spacing w:line="360" w:lineRule="auto"/>
              <w:jc w:val="center"/>
              <w:rPr>
                <w:kern w:val="21"/>
                <w:sz w:val="28"/>
              </w:rPr>
            </w:pPr>
            <w:r>
              <w:rPr>
                <w:rFonts w:hint="eastAsia"/>
                <w:kern w:val="21"/>
                <w:sz w:val="28"/>
              </w:rPr>
              <w:t>环</w:t>
            </w:r>
          </w:p>
          <w:p>
            <w:pPr>
              <w:spacing w:line="360" w:lineRule="auto"/>
              <w:jc w:val="center"/>
              <w:rPr>
                <w:kern w:val="21"/>
                <w:sz w:val="28"/>
              </w:rPr>
            </w:pPr>
            <w:r>
              <w:rPr>
                <w:rFonts w:hint="eastAsia"/>
                <w:kern w:val="21"/>
                <w:sz w:val="28"/>
              </w:rPr>
              <w:t>境</w:t>
            </w:r>
          </w:p>
          <w:p>
            <w:pPr>
              <w:spacing w:line="360" w:lineRule="auto"/>
              <w:jc w:val="center"/>
              <w:rPr>
                <w:kern w:val="21"/>
                <w:sz w:val="28"/>
              </w:rPr>
            </w:pPr>
            <w:r>
              <w:rPr>
                <w:rFonts w:hint="eastAsia"/>
                <w:kern w:val="21"/>
                <w:sz w:val="28"/>
              </w:rPr>
              <w:t>质</w:t>
            </w:r>
          </w:p>
          <w:p>
            <w:pPr>
              <w:spacing w:line="360" w:lineRule="auto"/>
              <w:jc w:val="center"/>
              <w:rPr>
                <w:kern w:val="21"/>
                <w:sz w:val="28"/>
              </w:rPr>
            </w:pPr>
            <w:r>
              <w:rPr>
                <w:rFonts w:hint="eastAsia"/>
                <w:kern w:val="21"/>
                <w:sz w:val="28"/>
              </w:rPr>
              <w:t>量</w:t>
            </w:r>
          </w:p>
          <w:p>
            <w:pPr>
              <w:spacing w:line="360" w:lineRule="auto"/>
              <w:jc w:val="center"/>
              <w:rPr>
                <w:kern w:val="21"/>
                <w:sz w:val="28"/>
              </w:rPr>
            </w:pPr>
            <w:r>
              <w:rPr>
                <w:rFonts w:hint="eastAsia"/>
                <w:kern w:val="21"/>
                <w:sz w:val="28"/>
              </w:rPr>
              <w:t>标</w:t>
            </w:r>
          </w:p>
          <w:p>
            <w:pPr>
              <w:spacing w:line="360" w:lineRule="auto"/>
              <w:jc w:val="center"/>
              <w:rPr>
                <w:sz w:val="24"/>
              </w:rPr>
            </w:pPr>
            <w:r>
              <w:rPr>
                <w:rFonts w:hint="eastAsia"/>
                <w:kern w:val="21"/>
                <w:sz w:val="28"/>
              </w:rPr>
              <w:t>准</w:t>
            </w:r>
          </w:p>
        </w:tc>
        <w:tc>
          <w:tcPr>
            <w:tcW w:w="8187" w:type="dxa"/>
            <w:tcBorders>
              <w:top w:val="single" w:color="auto" w:sz="12" w:space="0"/>
            </w:tcBorders>
            <w:vAlign w:val="center"/>
          </w:tcPr>
          <w:p>
            <w:pPr>
              <w:spacing w:line="360" w:lineRule="auto"/>
              <w:ind w:firstLine="470" w:firstLineChars="196"/>
              <w:rPr>
                <w:sz w:val="24"/>
              </w:rPr>
            </w:pPr>
            <w:r>
              <w:rPr>
                <w:sz w:val="24"/>
              </w:rPr>
              <w:t>1.</w:t>
            </w:r>
            <w:r>
              <w:rPr>
                <w:rFonts w:hint="eastAsia"/>
                <w:sz w:val="24"/>
              </w:rPr>
              <w:t>环境空气质量标准</w:t>
            </w:r>
          </w:p>
          <w:p>
            <w:pPr>
              <w:spacing w:line="360" w:lineRule="auto"/>
              <w:ind w:firstLine="470" w:firstLineChars="196"/>
              <w:rPr>
                <w:sz w:val="24"/>
              </w:rPr>
            </w:pPr>
            <w:r>
              <w:rPr>
                <w:rFonts w:hAnsi="宋体"/>
                <w:sz w:val="24"/>
              </w:rPr>
              <w:t>根据《环境空气质量标准》（GB3095-2012），本项目所在区为环境空气质量二类区，执行《环境空气质量标准》（GB3095-2012）二级标准；</w:t>
            </w:r>
            <w:r>
              <w:rPr>
                <w:rFonts w:hint="eastAsia" w:hAnsi="宋体"/>
                <w:sz w:val="24"/>
              </w:rPr>
              <w:t>氨和硫化氢执行《工业企业设计卫生标准》（TJ36-1979）。</w:t>
            </w:r>
          </w:p>
          <w:p>
            <w:pPr>
              <w:autoSpaceDE w:val="0"/>
              <w:autoSpaceDN w:val="0"/>
              <w:adjustRightInd w:val="0"/>
              <w:spacing w:line="440" w:lineRule="exact"/>
              <w:jc w:val="center"/>
              <w:rPr>
                <w:rFonts w:eastAsia="黑体"/>
              </w:rPr>
            </w:pPr>
            <w:r>
              <w:rPr>
                <w:rFonts w:hint="eastAsia"/>
                <w:b/>
                <w:bCs/>
                <w:szCs w:val="21"/>
              </w:rPr>
              <w:t>表24-1</w:t>
            </w:r>
            <w:r>
              <w:rPr>
                <w:b/>
                <w:bCs/>
                <w:szCs w:val="21"/>
              </w:rPr>
              <w:t xml:space="preserve">   </w:t>
            </w:r>
            <w:r>
              <w:rPr>
                <w:rFonts w:hint="eastAsia"/>
                <w:b/>
                <w:bCs/>
                <w:szCs w:val="21"/>
              </w:rPr>
              <w:t>《环境空气质量标准》（</w:t>
            </w:r>
            <w:r>
              <w:rPr>
                <w:b/>
                <w:bCs/>
                <w:szCs w:val="21"/>
              </w:rPr>
              <w:t>GB3095-2012</w:t>
            </w:r>
            <w:r>
              <w:rPr>
                <w:rFonts w:hint="eastAsia"/>
                <w:b/>
                <w:bCs/>
                <w:szCs w:val="21"/>
              </w:rPr>
              <w:t>）二级</w:t>
            </w:r>
          </w:p>
          <w:tbl>
            <w:tblPr>
              <w:tblStyle w:val="35"/>
              <w:tblW w:w="797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57"/>
              <w:gridCol w:w="1446"/>
              <w:gridCol w:w="1331"/>
              <w:gridCol w:w="1331"/>
              <w:gridCol w:w="25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1357" w:type="dxa"/>
                  <w:vMerge w:val="restart"/>
                  <w:vAlign w:val="center"/>
                </w:tcPr>
                <w:p>
                  <w:pPr>
                    <w:pStyle w:val="24"/>
                    <w:snapToGrid w:val="0"/>
                    <w:spacing w:line="240" w:lineRule="auto"/>
                    <w:rPr>
                      <w:b/>
                      <w:sz w:val="21"/>
                      <w:szCs w:val="21"/>
                    </w:rPr>
                  </w:pPr>
                  <w:r>
                    <w:rPr>
                      <w:rFonts w:hint="eastAsia"/>
                      <w:b/>
                      <w:sz w:val="21"/>
                      <w:szCs w:val="21"/>
                    </w:rPr>
                    <w:t>项目</w:t>
                  </w:r>
                </w:p>
              </w:tc>
              <w:tc>
                <w:tcPr>
                  <w:tcW w:w="1446" w:type="dxa"/>
                  <w:vMerge w:val="restart"/>
                  <w:vAlign w:val="center"/>
                </w:tcPr>
                <w:p>
                  <w:pPr>
                    <w:pStyle w:val="24"/>
                    <w:snapToGrid w:val="0"/>
                    <w:spacing w:line="240" w:lineRule="auto"/>
                    <w:rPr>
                      <w:b/>
                      <w:sz w:val="21"/>
                      <w:szCs w:val="21"/>
                    </w:rPr>
                  </w:pPr>
                  <w:r>
                    <w:rPr>
                      <w:rFonts w:hint="eastAsia"/>
                      <w:b/>
                      <w:sz w:val="21"/>
                      <w:szCs w:val="21"/>
                    </w:rPr>
                    <w:t>取值时间</w:t>
                  </w:r>
                </w:p>
              </w:tc>
              <w:tc>
                <w:tcPr>
                  <w:tcW w:w="2662" w:type="dxa"/>
                  <w:gridSpan w:val="2"/>
                  <w:vAlign w:val="center"/>
                </w:tcPr>
                <w:p>
                  <w:pPr>
                    <w:pStyle w:val="24"/>
                    <w:snapToGrid w:val="0"/>
                    <w:spacing w:line="240" w:lineRule="auto"/>
                    <w:rPr>
                      <w:sz w:val="21"/>
                      <w:szCs w:val="21"/>
                    </w:rPr>
                  </w:pPr>
                  <w:r>
                    <w:rPr>
                      <w:rFonts w:hint="eastAsia"/>
                      <w:sz w:val="21"/>
                      <w:szCs w:val="21"/>
                    </w:rPr>
                    <w:t>浓度限值</w:t>
                  </w:r>
                </w:p>
              </w:tc>
              <w:tc>
                <w:tcPr>
                  <w:tcW w:w="2506" w:type="dxa"/>
                  <w:vMerge w:val="restart"/>
                  <w:vAlign w:val="center"/>
                </w:tcPr>
                <w:p>
                  <w:pPr>
                    <w:pStyle w:val="24"/>
                    <w:snapToGrid w:val="0"/>
                    <w:spacing w:line="240" w:lineRule="auto"/>
                    <w:rPr>
                      <w:b/>
                      <w:sz w:val="21"/>
                      <w:szCs w:val="21"/>
                    </w:rPr>
                  </w:pPr>
                  <w:r>
                    <w:rPr>
                      <w:rFonts w:hint="eastAsia"/>
                      <w:b/>
                      <w:sz w:val="21"/>
                      <w:szCs w:val="21"/>
                    </w:rPr>
                    <w:t>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1357" w:type="dxa"/>
                  <w:vMerge w:val="continue"/>
                  <w:vAlign w:val="center"/>
                </w:tcPr>
                <w:p>
                  <w:pPr>
                    <w:pStyle w:val="24"/>
                    <w:snapToGrid w:val="0"/>
                    <w:spacing w:line="240" w:lineRule="auto"/>
                    <w:ind w:firstLine="455"/>
                    <w:rPr>
                      <w:b/>
                      <w:sz w:val="21"/>
                      <w:szCs w:val="21"/>
                    </w:rPr>
                  </w:pPr>
                </w:p>
              </w:tc>
              <w:tc>
                <w:tcPr>
                  <w:tcW w:w="1446" w:type="dxa"/>
                  <w:vMerge w:val="continue"/>
                  <w:vAlign w:val="center"/>
                </w:tcPr>
                <w:p>
                  <w:pPr>
                    <w:pStyle w:val="24"/>
                    <w:snapToGrid w:val="0"/>
                    <w:spacing w:line="240" w:lineRule="auto"/>
                    <w:ind w:firstLine="455"/>
                    <w:rPr>
                      <w:b/>
                      <w:sz w:val="21"/>
                      <w:szCs w:val="21"/>
                    </w:rPr>
                  </w:pPr>
                </w:p>
              </w:tc>
              <w:tc>
                <w:tcPr>
                  <w:tcW w:w="1331" w:type="dxa"/>
                  <w:vAlign w:val="center"/>
                </w:tcPr>
                <w:p>
                  <w:pPr>
                    <w:pStyle w:val="24"/>
                    <w:snapToGrid w:val="0"/>
                    <w:spacing w:line="240" w:lineRule="auto"/>
                    <w:ind w:firstLine="210" w:firstLineChars="100"/>
                    <w:rPr>
                      <w:sz w:val="21"/>
                      <w:szCs w:val="21"/>
                    </w:rPr>
                  </w:pPr>
                  <w:r>
                    <w:rPr>
                      <w:rFonts w:hint="eastAsia"/>
                      <w:sz w:val="21"/>
                      <w:szCs w:val="21"/>
                    </w:rPr>
                    <w:t>二级标准</w:t>
                  </w:r>
                </w:p>
              </w:tc>
              <w:tc>
                <w:tcPr>
                  <w:tcW w:w="1331" w:type="dxa"/>
                  <w:vAlign w:val="center"/>
                </w:tcPr>
                <w:p>
                  <w:pPr>
                    <w:pStyle w:val="24"/>
                    <w:snapToGrid w:val="0"/>
                    <w:spacing w:line="240" w:lineRule="auto"/>
                    <w:ind w:firstLine="210" w:firstLineChars="100"/>
                    <w:rPr>
                      <w:sz w:val="21"/>
                      <w:szCs w:val="21"/>
                    </w:rPr>
                  </w:pPr>
                  <w:r>
                    <w:rPr>
                      <w:rFonts w:hint="eastAsia"/>
                      <w:sz w:val="21"/>
                      <w:szCs w:val="21"/>
                    </w:rPr>
                    <w:t>单位</w:t>
                  </w:r>
                </w:p>
              </w:tc>
              <w:tc>
                <w:tcPr>
                  <w:tcW w:w="2506" w:type="dxa"/>
                  <w:vMerge w:val="continue"/>
                  <w:vAlign w:val="center"/>
                </w:tcPr>
                <w:p>
                  <w:pPr>
                    <w:pStyle w:val="24"/>
                    <w:snapToGrid w:val="0"/>
                    <w:spacing w:line="240" w:lineRule="auto"/>
                    <w:ind w:firstLine="455"/>
                    <w:rPr>
                      <w:b/>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1357" w:type="dxa"/>
                  <w:vAlign w:val="center"/>
                </w:tcPr>
                <w:p>
                  <w:pPr>
                    <w:pStyle w:val="24"/>
                    <w:snapToGrid w:val="0"/>
                    <w:spacing w:line="240" w:lineRule="auto"/>
                    <w:rPr>
                      <w:sz w:val="21"/>
                      <w:szCs w:val="21"/>
                    </w:rPr>
                  </w:pPr>
                  <w:r>
                    <w:rPr>
                      <w:sz w:val="21"/>
                      <w:szCs w:val="21"/>
                    </w:rPr>
                    <w:t>SO</w:t>
                  </w:r>
                  <w:r>
                    <w:rPr>
                      <w:sz w:val="21"/>
                      <w:szCs w:val="21"/>
                      <w:vertAlign w:val="subscript"/>
                    </w:rPr>
                    <w:t>2</w:t>
                  </w:r>
                </w:p>
              </w:tc>
              <w:tc>
                <w:tcPr>
                  <w:tcW w:w="1446" w:type="dxa"/>
                  <w:vAlign w:val="center"/>
                </w:tcPr>
                <w:p>
                  <w:pPr>
                    <w:adjustRightInd w:val="0"/>
                    <w:snapToGrid w:val="0"/>
                    <w:jc w:val="center"/>
                    <w:rPr>
                      <w:szCs w:val="21"/>
                    </w:rPr>
                  </w:pPr>
                  <w:r>
                    <w:rPr>
                      <w:rFonts w:hint="eastAsia"/>
                      <w:szCs w:val="21"/>
                    </w:rPr>
                    <w:t>年平均</w:t>
                  </w:r>
                </w:p>
                <w:p>
                  <w:pPr>
                    <w:adjustRightInd w:val="0"/>
                    <w:snapToGrid w:val="0"/>
                    <w:jc w:val="center"/>
                    <w:rPr>
                      <w:szCs w:val="21"/>
                    </w:rPr>
                  </w:pPr>
                  <w:r>
                    <w:rPr>
                      <w:szCs w:val="21"/>
                    </w:rPr>
                    <w:t>24</w:t>
                  </w:r>
                  <w:r>
                    <w:rPr>
                      <w:rFonts w:hint="eastAsia"/>
                      <w:szCs w:val="21"/>
                    </w:rPr>
                    <w:t>小时平均</w:t>
                  </w:r>
                </w:p>
                <w:p>
                  <w:pPr>
                    <w:adjustRightInd w:val="0"/>
                    <w:snapToGrid w:val="0"/>
                    <w:jc w:val="center"/>
                    <w:rPr>
                      <w:szCs w:val="21"/>
                    </w:rPr>
                  </w:pPr>
                  <w:r>
                    <w:rPr>
                      <w:szCs w:val="21"/>
                    </w:rPr>
                    <w:t>1</w:t>
                  </w:r>
                  <w:r>
                    <w:rPr>
                      <w:rFonts w:hint="eastAsia"/>
                      <w:szCs w:val="21"/>
                    </w:rPr>
                    <w:t>小时平均</w:t>
                  </w:r>
                </w:p>
              </w:tc>
              <w:tc>
                <w:tcPr>
                  <w:tcW w:w="1331" w:type="dxa"/>
                  <w:vAlign w:val="center"/>
                </w:tcPr>
                <w:p>
                  <w:pPr>
                    <w:pStyle w:val="24"/>
                    <w:snapToGrid w:val="0"/>
                    <w:spacing w:line="240" w:lineRule="auto"/>
                    <w:rPr>
                      <w:sz w:val="21"/>
                      <w:szCs w:val="21"/>
                    </w:rPr>
                  </w:pPr>
                  <w:r>
                    <w:rPr>
                      <w:sz w:val="21"/>
                      <w:szCs w:val="21"/>
                    </w:rPr>
                    <w:t>60</w:t>
                  </w:r>
                </w:p>
                <w:p>
                  <w:pPr>
                    <w:pStyle w:val="24"/>
                    <w:snapToGrid w:val="0"/>
                    <w:spacing w:line="240" w:lineRule="auto"/>
                    <w:rPr>
                      <w:sz w:val="21"/>
                      <w:szCs w:val="21"/>
                    </w:rPr>
                  </w:pPr>
                  <w:r>
                    <w:rPr>
                      <w:sz w:val="21"/>
                      <w:szCs w:val="21"/>
                    </w:rPr>
                    <w:t>150</w:t>
                  </w:r>
                </w:p>
                <w:p>
                  <w:pPr>
                    <w:pStyle w:val="24"/>
                    <w:snapToGrid w:val="0"/>
                    <w:spacing w:line="240" w:lineRule="auto"/>
                    <w:rPr>
                      <w:sz w:val="21"/>
                      <w:szCs w:val="21"/>
                    </w:rPr>
                  </w:pPr>
                  <w:r>
                    <w:rPr>
                      <w:sz w:val="21"/>
                      <w:szCs w:val="21"/>
                    </w:rPr>
                    <w:t>500</w:t>
                  </w:r>
                </w:p>
              </w:tc>
              <w:tc>
                <w:tcPr>
                  <w:tcW w:w="1331" w:type="dxa"/>
                  <w:vMerge w:val="restart"/>
                  <w:vAlign w:val="center"/>
                </w:tcPr>
                <w:p>
                  <w:pPr>
                    <w:pStyle w:val="24"/>
                    <w:snapToGrid w:val="0"/>
                    <w:spacing w:line="240" w:lineRule="auto"/>
                    <w:rPr>
                      <w:sz w:val="21"/>
                      <w:szCs w:val="21"/>
                    </w:rPr>
                  </w:pPr>
                  <w:r>
                    <w:rPr>
                      <w:rFonts w:hint="eastAsia"/>
                      <w:sz w:val="21"/>
                      <w:szCs w:val="21"/>
                    </w:rPr>
                    <w:t>μ</w:t>
                  </w:r>
                  <w:r>
                    <w:rPr>
                      <w:sz w:val="21"/>
                      <w:szCs w:val="21"/>
                    </w:rPr>
                    <w:t>g/m</w:t>
                  </w:r>
                  <w:r>
                    <w:rPr>
                      <w:sz w:val="21"/>
                      <w:szCs w:val="21"/>
                      <w:vertAlign w:val="superscript"/>
                    </w:rPr>
                    <w:t>3</w:t>
                  </w:r>
                </w:p>
              </w:tc>
              <w:tc>
                <w:tcPr>
                  <w:tcW w:w="2506" w:type="dxa"/>
                  <w:vMerge w:val="restart"/>
                  <w:vAlign w:val="center"/>
                </w:tcPr>
                <w:p>
                  <w:pPr>
                    <w:pStyle w:val="24"/>
                    <w:snapToGrid w:val="0"/>
                    <w:spacing w:line="240" w:lineRule="auto"/>
                    <w:rPr>
                      <w:sz w:val="21"/>
                      <w:szCs w:val="21"/>
                    </w:rPr>
                  </w:pPr>
                  <w:r>
                    <w:rPr>
                      <w:rFonts w:hint="eastAsia"/>
                      <w:sz w:val="21"/>
                      <w:szCs w:val="21"/>
                    </w:rPr>
                    <w:t>《环境空气质量标准》（</w:t>
                  </w:r>
                  <w:r>
                    <w:rPr>
                      <w:sz w:val="21"/>
                      <w:szCs w:val="21"/>
                    </w:rPr>
                    <w:t>GB3095-2012</w:t>
                  </w:r>
                  <w:r>
                    <w:rPr>
                      <w:rFonts w:hint="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622" w:hRule="atLeast"/>
                <w:jc w:val="center"/>
              </w:trPr>
              <w:tc>
                <w:tcPr>
                  <w:tcW w:w="1357" w:type="dxa"/>
                  <w:vAlign w:val="center"/>
                </w:tcPr>
                <w:p>
                  <w:pPr>
                    <w:pStyle w:val="24"/>
                    <w:snapToGrid w:val="0"/>
                    <w:spacing w:line="240" w:lineRule="auto"/>
                    <w:rPr>
                      <w:sz w:val="21"/>
                      <w:szCs w:val="21"/>
                    </w:rPr>
                  </w:pPr>
                  <w:r>
                    <w:rPr>
                      <w:sz w:val="21"/>
                      <w:szCs w:val="21"/>
                    </w:rPr>
                    <w:t>NO</w:t>
                  </w:r>
                  <w:r>
                    <w:rPr>
                      <w:sz w:val="21"/>
                      <w:szCs w:val="21"/>
                      <w:vertAlign w:val="subscript"/>
                    </w:rPr>
                    <w:t>2</w:t>
                  </w:r>
                </w:p>
              </w:tc>
              <w:tc>
                <w:tcPr>
                  <w:tcW w:w="1446" w:type="dxa"/>
                  <w:vAlign w:val="center"/>
                </w:tcPr>
                <w:p>
                  <w:pPr>
                    <w:adjustRightInd w:val="0"/>
                    <w:snapToGrid w:val="0"/>
                    <w:jc w:val="center"/>
                    <w:rPr>
                      <w:szCs w:val="21"/>
                    </w:rPr>
                  </w:pPr>
                  <w:r>
                    <w:rPr>
                      <w:rFonts w:hint="eastAsia"/>
                      <w:szCs w:val="21"/>
                    </w:rPr>
                    <w:t>年平均</w:t>
                  </w:r>
                </w:p>
                <w:p>
                  <w:pPr>
                    <w:adjustRightInd w:val="0"/>
                    <w:snapToGrid w:val="0"/>
                    <w:jc w:val="center"/>
                    <w:rPr>
                      <w:szCs w:val="21"/>
                    </w:rPr>
                  </w:pPr>
                  <w:r>
                    <w:rPr>
                      <w:szCs w:val="21"/>
                    </w:rPr>
                    <w:t>24</w:t>
                  </w:r>
                  <w:r>
                    <w:rPr>
                      <w:rFonts w:hint="eastAsia"/>
                      <w:szCs w:val="21"/>
                    </w:rPr>
                    <w:t>小时平均</w:t>
                  </w:r>
                </w:p>
                <w:p>
                  <w:pPr>
                    <w:adjustRightInd w:val="0"/>
                    <w:snapToGrid w:val="0"/>
                    <w:jc w:val="center"/>
                    <w:rPr>
                      <w:szCs w:val="21"/>
                    </w:rPr>
                  </w:pPr>
                  <w:r>
                    <w:rPr>
                      <w:szCs w:val="21"/>
                    </w:rPr>
                    <w:t>1</w:t>
                  </w:r>
                  <w:r>
                    <w:rPr>
                      <w:rFonts w:hint="eastAsia"/>
                      <w:szCs w:val="21"/>
                    </w:rPr>
                    <w:t>小时平均</w:t>
                  </w:r>
                </w:p>
              </w:tc>
              <w:tc>
                <w:tcPr>
                  <w:tcW w:w="1331" w:type="dxa"/>
                  <w:vAlign w:val="center"/>
                </w:tcPr>
                <w:p>
                  <w:pPr>
                    <w:pStyle w:val="24"/>
                    <w:snapToGrid w:val="0"/>
                    <w:spacing w:line="240" w:lineRule="auto"/>
                    <w:rPr>
                      <w:sz w:val="21"/>
                      <w:szCs w:val="21"/>
                    </w:rPr>
                  </w:pPr>
                  <w:r>
                    <w:rPr>
                      <w:sz w:val="21"/>
                      <w:szCs w:val="21"/>
                    </w:rPr>
                    <w:t>40</w:t>
                  </w:r>
                </w:p>
                <w:p>
                  <w:pPr>
                    <w:pStyle w:val="24"/>
                    <w:snapToGrid w:val="0"/>
                    <w:spacing w:line="240" w:lineRule="auto"/>
                    <w:rPr>
                      <w:sz w:val="21"/>
                      <w:szCs w:val="21"/>
                    </w:rPr>
                  </w:pPr>
                  <w:r>
                    <w:rPr>
                      <w:sz w:val="21"/>
                      <w:szCs w:val="21"/>
                    </w:rPr>
                    <w:t>80</w:t>
                  </w:r>
                </w:p>
                <w:p>
                  <w:pPr>
                    <w:pStyle w:val="24"/>
                    <w:snapToGrid w:val="0"/>
                    <w:spacing w:line="240" w:lineRule="auto"/>
                    <w:rPr>
                      <w:sz w:val="21"/>
                      <w:szCs w:val="21"/>
                    </w:rPr>
                  </w:pPr>
                  <w:r>
                    <w:rPr>
                      <w:sz w:val="21"/>
                      <w:szCs w:val="21"/>
                    </w:rPr>
                    <w:t>200</w:t>
                  </w:r>
                </w:p>
              </w:tc>
              <w:tc>
                <w:tcPr>
                  <w:tcW w:w="1331" w:type="dxa"/>
                  <w:vMerge w:val="continue"/>
                  <w:vAlign w:val="center"/>
                </w:tcPr>
                <w:p>
                  <w:pPr>
                    <w:pStyle w:val="24"/>
                    <w:snapToGrid w:val="0"/>
                    <w:rPr>
                      <w:sz w:val="21"/>
                      <w:szCs w:val="21"/>
                    </w:rPr>
                  </w:pPr>
                </w:p>
              </w:tc>
              <w:tc>
                <w:tcPr>
                  <w:tcW w:w="2506" w:type="dxa"/>
                  <w:vMerge w:val="continue"/>
                  <w:vAlign w:val="center"/>
                </w:tcPr>
                <w:p>
                  <w:pPr>
                    <w:pStyle w:val="24"/>
                    <w:snapToGrid w:val="0"/>
                    <w:spacing w:line="240" w:lineRule="auto"/>
                    <w:ind w:firstLine="453"/>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1357" w:type="dxa"/>
                  <w:vAlign w:val="center"/>
                </w:tcPr>
                <w:p>
                  <w:pPr>
                    <w:pStyle w:val="24"/>
                    <w:snapToGrid w:val="0"/>
                    <w:spacing w:line="240" w:lineRule="auto"/>
                    <w:rPr>
                      <w:sz w:val="21"/>
                      <w:szCs w:val="21"/>
                    </w:rPr>
                  </w:pPr>
                  <w:r>
                    <w:rPr>
                      <w:sz w:val="21"/>
                      <w:szCs w:val="21"/>
                    </w:rPr>
                    <w:t>PM</w:t>
                  </w:r>
                  <w:r>
                    <w:rPr>
                      <w:sz w:val="21"/>
                      <w:szCs w:val="21"/>
                      <w:vertAlign w:val="subscript"/>
                    </w:rPr>
                    <w:t>10</w:t>
                  </w:r>
                </w:p>
              </w:tc>
              <w:tc>
                <w:tcPr>
                  <w:tcW w:w="1446" w:type="dxa"/>
                  <w:vAlign w:val="center"/>
                </w:tcPr>
                <w:p>
                  <w:pPr>
                    <w:adjustRightInd w:val="0"/>
                    <w:snapToGrid w:val="0"/>
                    <w:jc w:val="center"/>
                    <w:rPr>
                      <w:szCs w:val="21"/>
                    </w:rPr>
                  </w:pPr>
                  <w:r>
                    <w:rPr>
                      <w:rFonts w:hint="eastAsia"/>
                      <w:szCs w:val="21"/>
                    </w:rPr>
                    <w:t>年平均</w:t>
                  </w:r>
                </w:p>
                <w:p>
                  <w:pPr>
                    <w:adjustRightInd w:val="0"/>
                    <w:snapToGrid w:val="0"/>
                    <w:jc w:val="center"/>
                    <w:rPr>
                      <w:szCs w:val="21"/>
                    </w:rPr>
                  </w:pPr>
                  <w:r>
                    <w:rPr>
                      <w:szCs w:val="21"/>
                    </w:rPr>
                    <w:t>24</w:t>
                  </w:r>
                  <w:r>
                    <w:rPr>
                      <w:rFonts w:hint="eastAsia"/>
                      <w:szCs w:val="21"/>
                    </w:rPr>
                    <w:t>小时平均</w:t>
                  </w:r>
                </w:p>
              </w:tc>
              <w:tc>
                <w:tcPr>
                  <w:tcW w:w="1331" w:type="dxa"/>
                  <w:vAlign w:val="center"/>
                </w:tcPr>
                <w:p>
                  <w:pPr>
                    <w:pStyle w:val="24"/>
                    <w:snapToGrid w:val="0"/>
                    <w:spacing w:line="240" w:lineRule="auto"/>
                    <w:rPr>
                      <w:sz w:val="21"/>
                      <w:szCs w:val="21"/>
                    </w:rPr>
                  </w:pPr>
                  <w:r>
                    <w:rPr>
                      <w:sz w:val="21"/>
                      <w:szCs w:val="21"/>
                    </w:rPr>
                    <w:t>70</w:t>
                  </w:r>
                </w:p>
                <w:p>
                  <w:pPr>
                    <w:pStyle w:val="24"/>
                    <w:snapToGrid w:val="0"/>
                    <w:spacing w:line="240" w:lineRule="auto"/>
                    <w:rPr>
                      <w:sz w:val="21"/>
                      <w:szCs w:val="21"/>
                    </w:rPr>
                  </w:pPr>
                  <w:r>
                    <w:rPr>
                      <w:sz w:val="21"/>
                      <w:szCs w:val="21"/>
                    </w:rPr>
                    <w:t>150</w:t>
                  </w:r>
                </w:p>
              </w:tc>
              <w:tc>
                <w:tcPr>
                  <w:tcW w:w="1331" w:type="dxa"/>
                  <w:vMerge w:val="continue"/>
                  <w:vAlign w:val="center"/>
                </w:tcPr>
                <w:p>
                  <w:pPr>
                    <w:pStyle w:val="24"/>
                    <w:snapToGrid w:val="0"/>
                    <w:spacing w:line="240" w:lineRule="auto"/>
                    <w:rPr>
                      <w:sz w:val="21"/>
                      <w:szCs w:val="21"/>
                    </w:rPr>
                  </w:pPr>
                </w:p>
              </w:tc>
              <w:tc>
                <w:tcPr>
                  <w:tcW w:w="2506" w:type="dxa"/>
                  <w:vMerge w:val="continue"/>
                  <w:vAlign w:val="center"/>
                </w:tcPr>
                <w:p>
                  <w:pPr>
                    <w:pStyle w:val="24"/>
                    <w:snapToGrid w:val="0"/>
                    <w:spacing w:line="240" w:lineRule="auto"/>
                    <w:ind w:firstLine="453"/>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1357" w:type="dxa"/>
                  <w:vAlign w:val="center"/>
                </w:tcPr>
                <w:p>
                  <w:pPr>
                    <w:pStyle w:val="24"/>
                    <w:snapToGrid w:val="0"/>
                    <w:spacing w:line="240" w:lineRule="auto"/>
                    <w:rPr>
                      <w:sz w:val="21"/>
                      <w:szCs w:val="21"/>
                    </w:rPr>
                  </w:pPr>
                  <w:r>
                    <w:rPr>
                      <w:rFonts w:hint="eastAsia"/>
                      <w:sz w:val="21"/>
                      <w:szCs w:val="21"/>
                    </w:rPr>
                    <w:t>TSP</w:t>
                  </w:r>
                </w:p>
              </w:tc>
              <w:tc>
                <w:tcPr>
                  <w:tcW w:w="1446" w:type="dxa"/>
                  <w:vAlign w:val="center"/>
                </w:tcPr>
                <w:p>
                  <w:pPr>
                    <w:adjustRightInd w:val="0"/>
                    <w:snapToGrid w:val="0"/>
                    <w:jc w:val="center"/>
                    <w:rPr>
                      <w:szCs w:val="21"/>
                    </w:rPr>
                  </w:pPr>
                  <w:r>
                    <w:rPr>
                      <w:rFonts w:hint="eastAsia"/>
                      <w:szCs w:val="21"/>
                    </w:rPr>
                    <w:t>年平均</w:t>
                  </w:r>
                </w:p>
                <w:p>
                  <w:pPr>
                    <w:adjustRightInd w:val="0"/>
                    <w:snapToGrid w:val="0"/>
                    <w:jc w:val="center"/>
                    <w:rPr>
                      <w:szCs w:val="21"/>
                    </w:rPr>
                  </w:pPr>
                  <w:r>
                    <w:rPr>
                      <w:szCs w:val="21"/>
                    </w:rPr>
                    <w:t>24</w:t>
                  </w:r>
                  <w:r>
                    <w:rPr>
                      <w:rFonts w:hint="eastAsia"/>
                      <w:szCs w:val="21"/>
                    </w:rPr>
                    <w:t>小时平均</w:t>
                  </w:r>
                </w:p>
              </w:tc>
              <w:tc>
                <w:tcPr>
                  <w:tcW w:w="1331" w:type="dxa"/>
                  <w:vAlign w:val="center"/>
                </w:tcPr>
                <w:p>
                  <w:pPr>
                    <w:pStyle w:val="24"/>
                    <w:rPr>
                      <w:szCs w:val="21"/>
                    </w:rPr>
                  </w:pPr>
                  <w:r>
                    <w:rPr>
                      <w:rFonts w:hint="eastAsia"/>
                      <w:szCs w:val="21"/>
                    </w:rPr>
                    <w:t>200</w:t>
                  </w:r>
                </w:p>
                <w:p>
                  <w:pPr>
                    <w:pStyle w:val="24"/>
                    <w:rPr>
                      <w:szCs w:val="21"/>
                    </w:rPr>
                  </w:pPr>
                  <w:r>
                    <w:rPr>
                      <w:rFonts w:hint="eastAsia"/>
                      <w:szCs w:val="21"/>
                    </w:rPr>
                    <w:t>300</w:t>
                  </w:r>
                </w:p>
              </w:tc>
              <w:tc>
                <w:tcPr>
                  <w:tcW w:w="1331" w:type="dxa"/>
                  <w:vMerge w:val="continue"/>
                  <w:vAlign w:val="center"/>
                </w:tcPr>
                <w:p>
                  <w:pPr>
                    <w:pStyle w:val="24"/>
                    <w:snapToGrid w:val="0"/>
                    <w:spacing w:line="240" w:lineRule="auto"/>
                    <w:rPr>
                      <w:sz w:val="21"/>
                      <w:szCs w:val="21"/>
                    </w:rPr>
                  </w:pPr>
                </w:p>
              </w:tc>
              <w:tc>
                <w:tcPr>
                  <w:tcW w:w="2506" w:type="dxa"/>
                  <w:vMerge w:val="continue"/>
                  <w:vAlign w:val="center"/>
                </w:tcPr>
                <w:p>
                  <w:pPr>
                    <w:pStyle w:val="24"/>
                    <w:snapToGrid w:val="0"/>
                    <w:spacing w:line="240" w:lineRule="auto"/>
                    <w:ind w:firstLine="453"/>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1357" w:type="dxa"/>
                  <w:vAlign w:val="center"/>
                </w:tcPr>
                <w:p>
                  <w:pPr>
                    <w:pStyle w:val="24"/>
                    <w:snapToGrid w:val="0"/>
                    <w:spacing w:line="240" w:lineRule="auto"/>
                    <w:rPr>
                      <w:sz w:val="21"/>
                      <w:szCs w:val="21"/>
                    </w:rPr>
                  </w:pPr>
                  <w:r>
                    <w:rPr>
                      <w:rFonts w:hint="eastAsia"/>
                      <w:sz w:val="21"/>
                      <w:szCs w:val="21"/>
                    </w:rPr>
                    <w:t>CO</w:t>
                  </w:r>
                </w:p>
              </w:tc>
              <w:tc>
                <w:tcPr>
                  <w:tcW w:w="1446" w:type="dxa"/>
                  <w:vAlign w:val="center"/>
                </w:tcPr>
                <w:p>
                  <w:pPr>
                    <w:adjustRightInd w:val="0"/>
                    <w:snapToGrid w:val="0"/>
                    <w:jc w:val="center"/>
                    <w:rPr>
                      <w:szCs w:val="21"/>
                    </w:rPr>
                  </w:pPr>
                  <w:r>
                    <w:rPr>
                      <w:szCs w:val="21"/>
                    </w:rPr>
                    <w:t>24</w:t>
                  </w:r>
                  <w:r>
                    <w:rPr>
                      <w:rFonts w:hint="eastAsia"/>
                      <w:szCs w:val="21"/>
                    </w:rPr>
                    <w:t>小时平均</w:t>
                  </w:r>
                </w:p>
                <w:p>
                  <w:pPr>
                    <w:adjustRightInd w:val="0"/>
                    <w:snapToGrid w:val="0"/>
                    <w:jc w:val="center"/>
                    <w:rPr>
                      <w:szCs w:val="21"/>
                    </w:rPr>
                  </w:pPr>
                  <w:r>
                    <w:rPr>
                      <w:szCs w:val="21"/>
                    </w:rPr>
                    <w:t>1</w:t>
                  </w:r>
                  <w:r>
                    <w:rPr>
                      <w:rFonts w:hint="eastAsia"/>
                      <w:szCs w:val="21"/>
                    </w:rPr>
                    <w:t>小时平均</w:t>
                  </w:r>
                </w:p>
              </w:tc>
              <w:tc>
                <w:tcPr>
                  <w:tcW w:w="1331" w:type="dxa"/>
                  <w:vAlign w:val="center"/>
                </w:tcPr>
                <w:p>
                  <w:pPr>
                    <w:pStyle w:val="24"/>
                    <w:rPr>
                      <w:szCs w:val="21"/>
                    </w:rPr>
                  </w:pPr>
                  <w:r>
                    <w:rPr>
                      <w:rFonts w:hint="eastAsia"/>
                      <w:szCs w:val="21"/>
                    </w:rPr>
                    <w:t>4</w:t>
                  </w:r>
                </w:p>
                <w:p>
                  <w:pPr>
                    <w:pStyle w:val="24"/>
                    <w:rPr>
                      <w:szCs w:val="21"/>
                    </w:rPr>
                  </w:pPr>
                  <w:r>
                    <w:rPr>
                      <w:rFonts w:hint="eastAsia"/>
                      <w:szCs w:val="21"/>
                    </w:rPr>
                    <w:t>10</w:t>
                  </w:r>
                </w:p>
              </w:tc>
              <w:tc>
                <w:tcPr>
                  <w:tcW w:w="1331" w:type="dxa"/>
                  <w:vAlign w:val="center"/>
                </w:tcPr>
                <w:p>
                  <w:pPr>
                    <w:pStyle w:val="24"/>
                    <w:snapToGrid w:val="0"/>
                    <w:spacing w:line="240" w:lineRule="auto"/>
                    <w:rPr>
                      <w:sz w:val="21"/>
                      <w:szCs w:val="21"/>
                    </w:rPr>
                  </w:pPr>
                  <w:r>
                    <w:rPr>
                      <w:rFonts w:hint="eastAsia"/>
                      <w:sz w:val="21"/>
                      <w:szCs w:val="21"/>
                    </w:rPr>
                    <w:t>m</w:t>
                  </w:r>
                  <w:r>
                    <w:rPr>
                      <w:sz w:val="21"/>
                      <w:szCs w:val="21"/>
                    </w:rPr>
                    <w:t>g/m</w:t>
                  </w:r>
                  <w:r>
                    <w:rPr>
                      <w:sz w:val="21"/>
                      <w:szCs w:val="21"/>
                      <w:vertAlign w:val="superscript"/>
                    </w:rPr>
                    <w:t>3</w:t>
                  </w:r>
                </w:p>
              </w:tc>
              <w:tc>
                <w:tcPr>
                  <w:tcW w:w="2506" w:type="dxa"/>
                  <w:vMerge w:val="continue"/>
                  <w:vAlign w:val="center"/>
                </w:tcPr>
                <w:p>
                  <w:pPr>
                    <w:pStyle w:val="24"/>
                    <w:snapToGrid w:val="0"/>
                    <w:spacing w:line="240" w:lineRule="auto"/>
                    <w:ind w:firstLine="453"/>
                    <w:rPr>
                      <w:sz w:val="21"/>
                      <w:szCs w:val="21"/>
                    </w:rPr>
                  </w:pPr>
                </w:p>
              </w:tc>
            </w:tr>
          </w:tbl>
          <w:p>
            <w:pPr>
              <w:spacing w:line="360" w:lineRule="auto"/>
              <w:ind w:firstLine="417" w:firstLineChars="198"/>
              <w:jc w:val="center"/>
              <w:rPr>
                <w:b/>
                <w:szCs w:val="21"/>
              </w:rPr>
            </w:pPr>
            <w:r>
              <w:rPr>
                <w:rFonts w:hint="eastAsia"/>
                <w:b/>
                <w:szCs w:val="21"/>
              </w:rPr>
              <w:t>表24-2  《工业企业设计卫生标准》（TJ36-1979）</w:t>
            </w:r>
          </w:p>
          <w:tbl>
            <w:tblPr>
              <w:tblStyle w:val="35"/>
              <w:tblW w:w="797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57"/>
              <w:gridCol w:w="1446"/>
              <w:gridCol w:w="1331"/>
              <w:gridCol w:w="1331"/>
              <w:gridCol w:w="25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1357" w:type="dxa"/>
                  <w:vMerge w:val="restart"/>
                  <w:vAlign w:val="center"/>
                </w:tcPr>
                <w:p>
                  <w:pPr>
                    <w:pStyle w:val="24"/>
                    <w:snapToGrid w:val="0"/>
                    <w:spacing w:line="240" w:lineRule="auto"/>
                    <w:rPr>
                      <w:b/>
                      <w:sz w:val="21"/>
                      <w:szCs w:val="21"/>
                    </w:rPr>
                  </w:pPr>
                  <w:r>
                    <w:rPr>
                      <w:rFonts w:hint="eastAsia"/>
                      <w:b/>
                      <w:sz w:val="21"/>
                      <w:szCs w:val="21"/>
                    </w:rPr>
                    <w:t>项目</w:t>
                  </w:r>
                </w:p>
              </w:tc>
              <w:tc>
                <w:tcPr>
                  <w:tcW w:w="1446" w:type="dxa"/>
                  <w:vMerge w:val="restart"/>
                  <w:vAlign w:val="center"/>
                </w:tcPr>
                <w:p>
                  <w:pPr>
                    <w:pStyle w:val="24"/>
                    <w:snapToGrid w:val="0"/>
                    <w:spacing w:line="240" w:lineRule="auto"/>
                    <w:rPr>
                      <w:b/>
                      <w:sz w:val="21"/>
                      <w:szCs w:val="21"/>
                    </w:rPr>
                  </w:pPr>
                  <w:r>
                    <w:rPr>
                      <w:rFonts w:hint="eastAsia"/>
                      <w:b/>
                      <w:sz w:val="21"/>
                      <w:szCs w:val="21"/>
                    </w:rPr>
                    <w:t>取值时间</w:t>
                  </w:r>
                </w:p>
              </w:tc>
              <w:tc>
                <w:tcPr>
                  <w:tcW w:w="2662" w:type="dxa"/>
                  <w:gridSpan w:val="2"/>
                  <w:vAlign w:val="center"/>
                </w:tcPr>
                <w:p>
                  <w:pPr>
                    <w:pStyle w:val="24"/>
                    <w:snapToGrid w:val="0"/>
                    <w:spacing w:line="240" w:lineRule="auto"/>
                    <w:rPr>
                      <w:sz w:val="21"/>
                      <w:szCs w:val="21"/>
                    </w:rPr>
                  </w:pPr>
                  <w:r>
                    <w:rPr>
                      <w:rFonts w:hint="eastAsia"/>
                      <w:sz w:val="21"/>
                      <w:szCs w:val="21"/>
                    </w:rPr>
                    <w:t>浓度限值</w:t>
                  </w:r>
                </w:p>
              </w:tc>
              <w:tc>
                <w:tcPr>
                  <w:tcW w:w="2506" w:type="dxa"/>
                  <w:vMerge w:val="restart"/>
                  <w:vAlign w:val="center"/>
                </w:tcPr>
                <w:p>
                  <w:pPr>
                    <w:pStyle w:val="24"/>
                    <w:snapToGrid w:val="0"/>
                    <w:spacing w:line="240" w:lineRule="auto"/>
                    <w:rPr>
                      <w:b/>
                      <w:sz w:val="21"/>
                      <w:szCs w:val="21"/>
                    </w:rPr>
                  </w:pPr>
                  <w:r>
                    <w:rPr>
                      <w:rFonts w:hint="eastAsia"/>
                      <w:b/>
                      <w:sz w:val="21"/>
                      <w:szCs w:val="21"/>
                    </w:rPr>
                    <w:t>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1357" w:type="dxa"/>
                  <w:vMerge w:val="continue"/>
                  <w:vAlign w:val="center"/>
                </w:tcPr>
                <w:p>
                  <w:pPr>
                    <w:pStyle w:val="24"/>
                    <w:snapToGrid w:val="0"/>
                    <w:spacing w:line="240" w:lineRule="auto"/>
                    <w:ind w:firstLine="455"/>
                    <w:rPr>
                      <w:b/>
                      <w:sz w:val="21"/>
                      <w:szCs w:val="21"/>
                    </w:rPr>
                  </w:pPr>
                </w:p>
              </w:tc>
              <w:tc>
                <w:tcPr>
                  <w:tcW w:w="1446" w:type="dxa"/>
                  <w:vMerge w:val="continue"/>
                  <w:vAlign w:val="center"/>
                </w:tcPr>
                <w:p>
                  <w:pPr>
                    <w:pStyle w:val="24"/>
                    <w:snapToGrid w:val="0"/>
                    <w:spacing w:line="240" w:lineRule="auto"/>
                    <w:ind w:firstLine="455"/>
                    <w:rPr>
                      <w:b/>
                      <w:sz w:val="21"/>
                      <w:szCs w:val="21"/>
                    </w:rPr>
                  </w:pPr>
                </w:p>
              </w:tc>
              <w:tc>
                <w:tcPr>
                  <w:tcW w:w="1331" w:type="dxa"/>
                  <w:vAlign w:val="center"/>
                </w:tcPr>
                <w:p>
                  <w:pPr>
                    <w:pStyle w:val="24"/>
                    <w:snapToGrid w:val="0"/>
                    <w:spacing w:line="240" w:lineRule="auto"/>
                    <w:rPr>
                      <w:sz w:val="21"/>
                      <w:szCs w:val="21"/>
                    </w:rPr>
                  </w:pPr>
                  <w:r>
                    <w:rPr>
                      <w:rFonts w:hint="eastAsia"/>
                      <w:sz w:val="21"/>
                      <w:szCs w:val="21"/>
                    </w:rPr>
                    <w:t>标准</w:t>
                  </w:r>
                </w:p>
              </w:tc>
              <w:tc>
                <w:tcPr>
                  <w:tcW w:w="1331" w:type="dxa"/>
                  <w:vAlign w:val="center"/>
                </w:tcPr>
                <w:p>
                  <w:pPr>
                    <w:pStyle w:val="24"/>
                    <w:snapToGrid w:val="0"/>
                    <w:spacing w:line="240" w:lineRule="auto"/>
                    <w:ind w:firstLine="210" w:firstLineChars="100"/>
                    <w:rPr>
                      <w:sz w:val="21"/>
                      <w:szCs w:val="21"/>
                    </w:rPr>
                  </w:pPr>
                  <w:r>
                    <w:rPr>
                      <w:rFonts w:hint="eastAsia"/>
                      <w:sz w:val="21"/>
                      <w:szCs w:val="21"/>
                    </w:rPr>
                    <w:t>单位</w:t>
                  </w:r>
                </w:p>
              </w:tc>
              <w:tc>
                <w:tcPr>
                  <w:tcW w:w="2506" w:type="dxa"/>
                  <w:vMerge w:val="continue"/>
                  <w:vAlign w:val="center"/>
                </w:tcPr>
                <w:p>
                  <w:pPr>
                    <w:pStyle w:val="24"/>
                    <w:snapToGrid w:val="0"/>
                    <w:spacing w:line="240" w:lineRule="auto"/>
                    <w:ind w:firstLine="455"/>
                    <w:rPr>
                      <w:b/>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1357" w:type="dxa"/>
                  <w:vAlign w:val="center"/>
                </w:tcPr>
                <w:p>
                  <w:pPr>
                    <w:pStyle w:val="24"/>
                    <w:snapToGrid w:val="0"/>
                    <w:spacing w:line="240" w:lineRule="auto"/>
                    <w:rPr>
                      <w:sz w:val="21"/>
                      <w:szCs w:val="21"/>
                    </w:rPr>
                  </w:pPr>
                  <w:r>
                    <w:rPr>
                      <w:rFonts w:hint="eastAsia"/>
                      <w:sz w:val="21"/>
                      <w:szCs w:val="21"/>
                    </w:rPr>
                    <w:t>氨</w:t>
                  </w:r>
                </w:p>
              </w:tc>
              <w:tc>
                <w:tcPr>
                  <w:tcW w:w="1446" w:type="dxa"/>
                  <w:vAlign w:val="center"/>
                </w:tcPr>
                <w:p>
                  <w:pPr>
                    <w:adjustRightInd w:val="0"/>
                    <w:snapToGrid w:val="0"/>
                    <w:jc w:val="center"/>
                    <w:rPr>
                      <w:szCs w:val="21"/>
                    </w:rPr>
                  </w:pPr>
                  <w:r>
                    <w:rPr>
                      <w:rFonts w:hint="eastAsia"/>
                      <w:szCs w:val="21"/>
                    </w:rPr>
                    <w:t>一次浓度</w:t>
                  </w:r>
                </w:p>
              </w:tc>
              <w:tc>
                <w:tcPr>
                  <w:tcW w:w="1331" w:type="dxa"/>
                  <w:vAlign w:val="center"/>
                </w:tcPr>
                <w:p>
                  <w:pPr>
                    <w:pStyle w:val="24"/>
                    <w:snapToGrid w:val="0"/>
                    <w:spacing w:line="240" w:lineRule="auto"/>
                    <w:rPr>
                      <w:sz w:val="21"/>
                      <w:szCs w:val="21"/>
                    </w:rPr>
                  </w:pPr>
                  <w:r>
                    <w:rPr>
                      <w:rFonts w:hint="eastAsia"/>
                      <w:sz w:val="21"/>
                      <w:szCs w:val="21"/>
                    </w:rPr>
                    <w:t>0.2</w:t>
                  </w:r>
                </w:p>
              </w:tc>
              <w:tc>
                <w:tcPr>
                  <w:tcW w:w="1331" w:type="dxa"/>
                  <w:vMerge w:val="restart"/>
                  <w:vAlign w:val="center"/>
                </w:tcPr>
                <w:p>
                  <w:pPr>
                    <w:pStyle w:val="24"/>
                    <w:snapToGrid w:val="0"/>
                    <w:spacing w:line="240" w:lineRule="auto"/>
                    <w:rPr>
                      <w:sz w:val="21"/>
                      <w:szCs w:val="21"/>
                    </w:rPr>
                  </w:pPr>
                  <w:r>
                    <w:rPr>
                      <w:rFonts w:hint="eastAsia"/>
                      <w:sz w:val="21"/>
                      <w:szCs w:val="21"/>
                    </w:rPr>
                    <w:t>m</w:t>
                  </w:r>
                  <w:r>
                    <w:rPr>
                      <w:sz w:val="21"/>
                      <w:szCs w:val="21"/>
                    </w:rPr>
                    <w:t>g/m</w:t>
                  </w:r>
                  <w:r>
                    <w:rPr>
                      <w:sz w:val="21"/>
                      <w:szCs w:val="21"/>
                      <w:vertAlign w:val="superscript"/>
                    </w:rPr>
                    <w:t>3</w:t>
                  </w:r>
                </w:p>
              </w:tc>
              <w:tc>
                <w:tcPr>
                  <w:tcW w:w="2506" w:type="dxa"/>
                  <w:vMerge w:val="restart"/>
                  <w:vAlign w:val="center"/>
                </w:tcPr>
                <w:p>
                  <w:pPr>
                    <w:pStyle w:val="24"/>
                    <w:snapToGrid w:val="0"/>
                    <w:spacing w:line="240" w:lineRule="auto"/>
                    <w:rPr>
                      <w:sz w:val="21"/>
                      <w:szCs w:val="21"/>
                    </w:rPr>
                  </w:pPr>
                  <w:r>
                    <w:rPr>
                      <w:rFonts w:hint="eastAsia"/>
                      <w:sz w:val="21"/>
                      <w:szCs w:val="21"/>
                    </w:rPr>
                    <w:t>《工业企业设计卫生标准》（TJ36-1979）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622" w:hRule="atLeast"/>
                <w:jc w:val="center"/>
              </w:trPr>
              <w:tc>
                <w:tcPr>
                  <w:tcW w:w="1357" w:type="dxa"/>
                  <w:vAlign w:val="center"/>
                </w:tcPr>
                <w:p>
                  <w:pPr>
                    <w:pStyle w:val="24"/>
                    <w:snapToGrid w:val="0"/>
                    <w:spacing w:line="240" w:lineRule="auto"/>
                    <w:rPr>
                      <w:sz w:val="21"/>
                      <w:szCs w:val="21"/>
                    </w:rPr>
                  </w:pPr>
                  <w:r>
                    <w:rPr>
                      <w:rFonts w:hint="eastAsia"/>
                      <w:sz w:val="21"/>
                      <w:szCs w:val="21"/>
                    </w:rPr>
                    <w:t>硫化氢</w:t>
                  </w:r>
                </w:p>
              </w:tc>
              <w:tc>
                <w:tcPr>
                  <w:tcW w:w="1446" w:type="dxa"/>
                  <w:vAlign w:val="center"/>
                </w:tcPr>
                <w:p>
                  <w:pPr>
                    <w:adjustRightInd w:val="0"/>
                    <w:snapToGrid w:val="0"/>
                    <w:jc w:val="center"/>
                    <w:rPr>
                      <w:szCs w:val="21"/>
                    </w:rPr>
                  </w:pPr>
                  <w:r>
                    <w:rPr>
                      <w:rFonts w:hint="eastAsia"/>
                      <w:szCs w:val="21"/>
                    </w:rPr>
                    <w:t>一次浓度</w:t>
                  </w:r>
                </w:p>
              </w:tc>
              <w:tc>
                <w:tcPr>
                  <w:tcW w:w="1331" w:type="dxa"/>
                  <w:vAlign w:val="center"/>
                </w:tcPr>
                <w:p>
                  <w:pPr>
                    <w:pStyle w:val="24"/>
                    <w:snapToGrid w:val="0"/>
                    <w:spacing w:line="240" w:lineRule="auto"/>
                    <w:rPr>
                      <w:sz w:val="21"/>
                      <w:szCs w:val="21"/>
                    </w:rPr>
                  </w:pPr>
                  <w:r>
                    <w:rPr>
                      <w:rFonts w:hint="eastAsia"/>
                      <w:sz w:val="21"/>
                      <w:szCs w:val="21"/>
                    </w:rPr>
                    <w:t>0.01</w:t>
                  </w:r>
                </w:p>
              </w:tc>
              <w:tc>
                <w:tcPr>
                  <w:tcW w:w="1331" w:type="dxa"/>
                  <w:vMerge w:val="continue"/>
                  <w:vAlign w:val="center"/>
                </w:tcPr>
                <w:p>
                  <w:pPr>
                    <w:pStyle w:val="24"/>
                    <w:snapToGrid w:val="0"/>
                    <w:rPr>
                      <w:sz w:val="21"/>
                      <w:szCs w:val="21"/>
                    </w:rPr>
                  </w:pPr>
                </w:p>
              </w:tc>
              <w:tc>
                <w:tcPr>
                  <w:tcW w:w="2506" w:type="dxa"/>
                  <w:vMerge w:val="continue"/>
                  <w:vAlign w:val="center"/>
                </w:tcPr>
                <w:p>
                  <w:pPr>
                    <w:pStyle w:val="24"/>
                    <w:snapToGrid w:val="0"/>
                    <w:spacing w:line="240" w:lineRule="auto"/>
                    <w:ind w:firstLine="453"/>
                    <w:rPr>
                      <w:sz w:val="21"/>
                      <w:szCs w:val="21"/>
                    </w:rPr>
                  </w:pPr>
                </w:p>
              </w:tc>
            </w:tr>
          </w:tbl>
          <w:p>
            <w:pPr>
              <w:spacing w:line="360" w:lineRule="auto"/>
              <w:ind w:firstLine="475" w:firstLineChars="198"/>
              <w:rPr>
                <w:sz w:val="24"/>
              </w:rPr>
            </w:pPr>
            <w:r>
              <w:rPr>
                <w:rFonts w:hint="eastAsia"/>
                <w:sz w:val="24"/>
              </w:rPr>
              <w:t>2.地表水质量标准</w:t>
            </w:r>
          </w:p>
          <w:p>
            <w:pPr>
              <w:spacing w:line="360" w:lineRule="auto"/>
              <w:ind w:firstLine="475" w:firstLineChars="198"/>
              <w:rPr>
                <w:sz w:val="24"/>
              </w:rPr>
            </w:pPr>
            <w:r>
              <w:rPr>
                <w:rFonts w:hint="eastAsia"/>
                <w:sz w:val="24"/>
              </w:rPr>
              <w:t>本项目位于宁县太昌镇，地表水老虎沟属于</w:t>
            </w:r>
            <w:r>
              <w:rPr>
                <w:rFonts w:hint="eastAsia" w:ascii="宋体" w:hAnsi="宋体" w:cs="宋体"/>
                <w:sz w:val="24"/>
              </w:rPr>
              <w:t>Ⅳ</w:t>
            </w:r>
            <w:r>
              <w:rPr>
                <w:sz w:val="24"/>
              </w:rPr>
              <w:t>类水域</w:t>
            </w:r>
            <w:r>
              <w:rPr>
                <w:rFonts w:hint="eastAsia"/>
                <w:sz w:val="24"/>
              </w:rPr>
              <w:t>，</w:t>
            </w:r>
            <w:r>
              <w:rPr>
                <w:sz w:val="24"/>
              </w:rPr>
              <w:t>地表水环境质量执行《地表水环境质量</w:t>
            </w:r>
            <w:r>
              <w:rPr>
                <w:rFonts w:hint="eastAsia"/>
                <w:sz w:val="24"/>
              </w:rPr>
              <w:t>标准</w:t>
            </w:r>
            <w:r>
              <w:rPr>
                <w:sz w:val="24"/>
              </w:rPr>
              <w:t>》（GB3838-2002）</w:t>
            </w:r>
            <w:r>
              <w:rPr>
                <w:rFonts w:hint="eastAsia" w:ascii="宋体" w:hAnsi="宋体" w:cs="宋体"/>
                <w:sz w:val="24"/>
              </w:rPr>
              <w:t>Ⅳ</w:t>
            </w:r>
            <w:r>
              <w:rPr>
                <w:sz w:val="24"/>
              </w:rPr>
              <w:t>类标准。</w:t>
            </w:r>
          </w:p>
          <w:p>
            <w:pPr>
              <w:spacing w:line="360" w:lineRule="auto"/>
              <w:jc w:val="center"/>
              <w:rPr>
                <w:b/>
                <w:szCs w:val="21"/>
              </w:rPr>
            </w:pPr>
            <w:r>
              <w:rPr>
                <w:rFonts w:hint="eastAsia"/>
                <w:b/>
                <w:szCs w:val="21"/>
              </w:rPr>
              <w:t xml:space="preserve">表24-3 </w:t>
            </w:r>
            <w:r>
              <w:rPr>
                <w:b/>
                <w:szCs w:val="21"/>
              </w:rPr>
              <w:t>《地表水环境质量</w:t>
            </w:r>
            <w:r>
              <w:rPr>
                <w:rFonts w:hint="eastAsia"/>
                <w:b/>
                <w:szCs w:val="21"/>
              </w:rPr>
              <w:t>标准</w:t>
            </w:r>
            <w:r>
              <w:rPr>
                <w:b/>
                <w:szCs w:val="21"/>
              </w:rPr>
              <w:t>》（GB3838-2002）</w:t>
            </w:r>
            <w:r>
              <w:rPr>
                <w:rFonts w:hint="eastAsia" w:ascii="宋体" w:hAnsi="宋体" w:cs="宋体"/>
                <w:b/>
                <w:szCs w:val="21"/>
              </w:rPr>
              <w:t>Ⅳ</w:t>
            </w:r>
            <w:r>
              <w:rPr>
                <w:b/>
                <w:szCs w:val="21"/>
              </w:rPr>
              <w:t>类</w:t>
            </w:r>
            <w:r>
              <w:rPr>
                <w:rFonts w:hint="eastAsia"/>
                <w:b/>
                <w:szCs w:val="21"/>
              </w:rPr>
              <w:t xml:space="preserve"> </w:t>
            </w:r>
            <w:r>
              <w:rPr>
                <w:b/>
                <w:szCs w:val="21"/>
              </w:rPr>
              <w:t xml:space="preserve">单位：mg/L </w:t>
            </w:r>
          </w:p>
          <w:tbl>
            <w:tblPr>
              <w:tblStyle w:val="35"/>
              <w:tblW w:w="797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07"/>
              <w:gridCol w:w="1699"/>
              <w:gridCol w:w="1986"/>
              <w:gridCol w:w="23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trPr>
              <w:tc>
                <w:tcPr>
                  <w:tcW w:w="1907" w:type="dxa"/>
                  <w:vAlign w:val="center"/>
                </w:tcPr>
                <w:p>
                  <w:pPr>
                    <w:widowControl/>
                    <w:jc w:val="center"/>
                    <w:rPr>
                      <w:b/>
                      <w:bCs/>
                      <w:kern w:val="0"/>
                      <w:szCs w:val="21"/>
                    </w:rPr>
                  </w:pPr>
                  <w:r>
                    <w:rPr>
                      <w:rFonts w:hAnsi="宋体"/>
                      <w:b/>
                      <w:bCs/>
                      <w:kern w:val="0"/>
                      <w:szCs w:val="21"/>
                    </w:rPr>
                    <w:t>项目</w:t>
                  </w:r>
                </w:p>
              </w:tc>
              <w:tc>
                <w:tcPr>
                  <w:tcW w:w="1699" w:type="dxa"/>
                  <w:vAlign w:val="center"/>
                </w:tcPr>
                <w:p>
                  <w:pPr>
                    <w:widowControl/>
                    <w:jc w:val="center"/>
                    <w:rPr>
                      <w:b/>
                      <w:kern w:val="0"/>
                      <w:szCs w:val="21"/>
                    </w:rPr>
                  </w:pPr>
                  <w:r>
                    <w:rPr>
                      <w:rFonts w:hint="eastAsia"/>
                      <w:b/>
                      <w:szCs w:val="21"/>
                      <w:lang w:val="zh-CN"/>
                    </w:rPr>
                    <w:t>标准</w:t>
                  </w:r>
                </w:p>
              </w:tc>
              <w:tc>
                <w:tcPr>
                  <w:tcW w:w="1986" w:type="dxa"/>
                  <w:vAlign w:val="center"/>
                </w:tcPr>
                <w:p>
                  <w:pPr>
                    <w:widowControl/>
                    <w:jc w:val="center"/>
                    <w:rPr>
                      <w:b/>
                      <w:bCs/>
                      <w:kern w:val="0"/>
                      <w:szCs w:val="21"/>
                    </w:rPr>
                  </w:pPr>
                  <w:r>
                    <w:rPr>
                      <w:rFonts w:hAnsi="宋体"/>
                      <w:b/>
                      <w:bCs/>
                      <w:kern w:val="0"/>
                      <w:szCs w:val="21"/>
                    </w:rPr>
                    <w:t>项目</w:t>
                  </w:r>
                </w:p>
              </w:tc>
              <w:tc>
                <w:tcPr>
                  <w:tcW w:w="2379" w:type="dxa"/>
                  <w:vAlign w:val="center"/>
                </w:tcPr>
                <w:p>
                  <w:pPr>
                    <w:widowControl/>
                    <w:jc w:val="center"/>
                    <w:rPr>
                      <w:b/>
                      <w:kern w:val="0"/>
                      <w:szCs w:val="21"/>
                    </w:rPr>
                  </w:pPr>
                  <w:r>
                    <w:rPr>
                      <w:rFonts w:hint="eastAsia"/>
                      <w:b/>
                      <w:szCs w:val="21"/>
                      <w:lang w:val="zh-CN"/>
                    </w:rPr>
                    <w:t>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907" w:type="dxa"/>
                  <w:vAlign w:val="center"/>
                </w:tcPr>
                <w:p>
                  <w:pPr>
                    <w:widowControl/>
                    <w:jc w:val="center"/>
                    <w:rPr>
                      <w:bCs/>
                      <w:kern w:val="0"/>
                      <w:szCs w:val="21"/>
                    </w:rPr>
                  </w:pPr>
                  <w:r>
                    <w:rPr>
                      <w:bCs/>
                      <w:kern w:val="0"/>
                      <w:szCs w:val="21"/>
                    </w:rPr>
                    <w:t>pH</w:t>
                  </w:r>
                  <w:r>
                    <w:rPr>
                      <w:rFonts w:hint="eastAsia"/>
                      <w:bCs/>
                      <w:kern w:val="0"/>
                      <w:szCs w:val="21"/>
                    </w:rPr>
                    <w:t>（</w:t>
                  </w:r>
                  <w:r>
                    <w:rPr>
                      <w:szCs w:val="21"/>
                    </w:rPr>
                    <w:t>无量纲</w:t>
                  </w:r>
                  <w:r>
                    <w:rPr>
                      <w:rFonts w:hint="eastAsia"/>
                      <w:bCs/>
                      <w:kern w:val="0"/>
                      <w:szCs w:val="21"/>
                    </w:rPr>
                    <w:t>）</w:t>
                  </w:r>
                </w:p>
              </w:tc>
              <w:tc>
                <w:tcPr>
                  <w:tcW w:w="1699" w:type="dxa"/>
                  <w:vAlign w:val="center"/>
                </w:tcPr>
                <w:p>
                  <w:pPr>
                    <w:widowControl/>
                    <w:jc w:val="center"/>
                    <w:rPr>
                      <w:kern w:val="0"/>
                      <w:szCs w:val="21"/>
                    </w:rPr>
                  </w:pPr>
                  <w:r>
                    <w:rPr>
                      <w:kern w:val="0"/>
                      <w:szCs w:val="21"/>
                    </w:rPr>
                    <w:t>6</w:t>
                  </w:r>
                  <w:r>
                    <w:rPr>
                      <w:rFonts w:hAnsi="宋体"/>
                      <w:kern w:val="0"/>
                      <w:szCs w:val="21"/>
                    </w:rPr>
                    <w:t>～</w:t>
                  </w:r>
                  <w:r>
                    <w:rPr>
                      <w:kern w:val="0"/>
                      <w:szCs w:val="21"/>
                    </w:rPr>
                    <w:t>9</w:t>
                  </w:r>
                </w:p>
              </w:tc>
              <w:tc>
                <w:tcPr>
                  <w:tcW w:w="1986" w:type="dxa"/>
                  <w:vAlign w:val="center"/>
                </w:tcPr>
                <w:p>
                  <w:pPr>
                    <w:widowControl/>
                    <w:jc w:val="center"/>
                    <w:rPr>
                      <w:bCs/>
                      <w:kern w:val="0"/>
                      <w:szCs w:val="21"/>
                    </w:rPr>
                  </w:pPr>
                  <w:r>
                    <w:rPr>
                      <w:bCs/>
                      <w:kern w:val="0"/>
                      <w:szCs w:val="21"/>
                    </w:rPr>
                    <w:t>Cr</w:t>
                  </w:r>
                  <w:r>
                    <w:rPr>
                      <w:bCs/>
                      <w:kern w:val="0"/>
                      <w:szCs w:val="21"/>
                      <w:vertAlign w:val="superscript"/>
                    </w:rPr>
                    <w:t>6</w:t>
                  </w:r>
                  <w:r>
                    <w:rPr>
                      <w:rFonts w:hAnsi="宋体"/>
                      <w:bCs/>
                      <w:kern w:val="0"/>
                      <w:szCs w:val="21"/>
                      <w:vertAlign w:val="superscript"/>
                    </w:rPr>
                    <w:t>＋</w:t>
                  </w:r>
                </w:p>
              </w:tc>
              <w:tc>
                <w:tcPr>
                  <w:tcW w:w="2379" w:type="dxa"/>
                  <w:vAlign w:val="center"/>
                </w:tcPr>
                <w:p>
                  <w:pPr>
                    <w:widowControl/>
                    <w:jc w:val="center"/>
                    <w:rPr>
                      <w:kern w:val="0"/>
                      <w:szCs w:val="21"/>
                    </w:rPr>
                  </w:pPr>
                  <w:r>
                    <w:rPr>
                      <w:szCs w:val="21"/>
                    </w:rPr>
                    <w:t>≤</w:t>
                  </w:r>
                  <w:r>
                    <w:rPr>
                      <w:kern w:val="0"/>
                      <w:szCs w:val="21"/>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907" w:type="dxa"/>
                  <w:vAlign w:val="center"/>
                </w:tcPr>
                <w:p>
                  <w:pPr>
                    <w:widowControl/>
                    <w:jc w:val="center"/>
                    <w:rPr>
                      <w:bCs/>
                      <w:kern w:val="0"/>
                      <w:szCs w:val="21"/>
                    </w:rPr>
                  </w:pPr>
                  <w:r>
                    <w:rPr>
                      <w:rFonts w:hAnsi="宋体"/>
                      <w:bCs/>
                      <w:kern w:val="0"/>
                      <w:szCs w:val="21"/>
                    </w:rPr>
                    <w:t>总磷</w:t>
                  </w:r>
                </w:p>
              </w:tc>
              <w:tc>
                <w:tcPr>
                  <w:tcW w:w="1699" w:type="dxa"/>
                  <w:vAlign w:val="center"/>
                </w:tcPr>
                <w:p>
                  <w:pPr>
                    <w:widowControl/>
                    <w:jc w:val="center"/>
                    <w:rPr>
                      <w:kern w:val="0"/>
                      <w:szCs w:val="21"/>
                    </w:rPr>
                  </w:pPr>
                  <w:r>
                    <w:rPr>
                      <w:szCs w:val="21"/>
                    </w:rPr>
                    <w:t>≤</w:t>
                  </w:r>
                  <w:r>
                    <w:rPr>
                      <w:kern w:val="0"/>
                      <w:szCs w:val="21"/>
                    </w:rPr>
                    <w:t>0.</w:t>
                  </w:r>
                  <w:r>
                    <w:rPr>
                      <w:rFonts w:hint="eastAsia"/>
                      <w:kern w:val="0"/>
                      <w:szCs w:val="21"/>
                    </w:rPr>
                    <w:t>3</w:t>
                  </w:r>
                </w:p>
              </w:tc>
              <w:tc>
                <w:tcPr>
                  <w:tcW w:w="1986" w:type="dxa"/>
                  <w:vAlign w:val="center"/>
                </w:tcPr>
                <w:p>
                  <w:pPr>
                    <w:widowControl/>
                    <w:jc w:val="center"/>
                    <w:rPr>
                      <w:bCs/>
                      <w:kern w:val="0"/>
                      <w:szCs w:val="21"/>
                    </w:rPr>
                  </w:pPr>
                  <w:r>
                    <w:rPr>
                      <w:rFonts w:hAnsi="宋体"/>
                      <w:bCs/>
                      <w:kern w:val="0"/>
                      <w:szCs w:val="21"/>
                    </w:rPr>
                    <w:t>石油类</w:t>
                  </w:r>
                </w:p>
              </w:tc>
              <w:tc>
                <w:tcPr>
                  <w:tcW w:w="2379" w:type="dxa"/>
                  <w:vAlign w:val="center"/>
                </w:tcPr>
                <w:p>
                  <w:pPr>
                    <w:widowControl/>
                    <w:jc w:val="center"/>
                    <w:rPr>
                      <w:kern w:val="0"/>
                      <w:szCs w:val="21"/>
                    </w:rPr>
                  </w:pPr>
                  <w:r>
                    <w:rPr>
                      <w:szCs w:val="21"/>
                    </w:rPr>
                    <w:t>≤</w:t>
                  </w:r>
                  <w:r>
                    <w:rPr>
                      <w:kern w:val="0"/>
                      <w:szCs w:val="21"/>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907" w:type="dxa"/>
                  <w:vAlign w:val="center"/>
                </w:tcPr>
                <w:p>
                  <w:pPr>
                    <w:widowControl/>
                    <w:jc w:val="center"/>
                    <w:rPr>
                      <w:bCs/>
                      <w:kern w:val="0"/>
                      <w:szCs w:val="21"/>
                    </w:rPr>
                  </w:pPr>
                  <w:r>
                    <w:rPr>
                      <w:bCs/>
                      <w:kern w:val="0"/>
                      <w:szCs w:val="21"/>
                    </w:rPr>
                    <w:t>COD</w:t>
                  </w:r>
                </w:p>
              </w:tc>
              <w:tc>
                <w:tcPr>
                  <w:tcW w:w="1699" w:type="dxa"/>
                  <w:vAlign w:val="center"/>
                </w:tcPr>
                <w:p>
                  <w:pPr>
                    <w:widowControl/>
                    <w:jc w:val="center"/>
                    <w:rPr>
                      <w:kern w:val="0"/>
                      <w:szCs w:val="21"/>
                    </w:rPr>
                  </w:pPr>
                  <w:r>
                    <w:rPr>
                      <w:szCs w:val="21"/>
                    </w:rPr>
                    <w:t>≤</w:t>
                  </w:r>
                  <w:r>
                    <w:rPr>
                      <w:rFonts w:hint="eastAsia"/>
                      <w:kern w:val="0"/>
                      <w:szCs w:val="21"/>
                    </w:rPr>
                    <w:t>30</w:t>
                  </w:r>
                </w:p>
              </w:tc>
              <w:tc>
                <w:tcPr>
                  <w:tcW w:w="1986" w:type="dxa"/>
                  <w:vAlign w:val="center"/>
                </w:tcPr>
                <w:p>
                  <w:pPr>
                    <w:widowControl/>
                    <w:jc w:val="center"/>
                    <w:rPr>
                      <w:bCs/>
                      <w:kern w:val="0"/>
                      <w:szCs w:val="21"/>
                    </w:rPr>
                  </w:pPr>
                  <w:r>
                    <w:rPr>
                      <w:rFonts w:hAnsi="宋体"/>
                      <w:bCs/>
                      <w:kern w:val="0"/>
                      <w:szCs w:val="21"/>
                    </w:rPr>
                    <w:t>氟化物</w:t>
                  </w:r>
                </w:p>
              </w:tc>
              <w:tc>
                <w:tcPr>
                  <w:tcW w:w="2379" w:type="dxa"/>
                  <w:vAlign w:val="center"/>
                </w:tcPr>
                <w:p>
                  <w:pPr>
                    <w:widowControl/>
                    <w:jc w:val="center"/>
                    <w:rPr>
                      <w:kern w:val="0"/>
                      <w:szCs w:val="21"/>
                    </w:rPr>
                  </w:pPr>
                  <w:r>
                    <w:rPr>
                      <w:szCs w:val="21"/>
                    </w:rPr>
                    <w:t>≤</w:t>
                  </w:r>
                  <w:r>
                    <w:rPr>
                      <w:kern w:val="0"/>
                      <w:szCs w:val="21"/>
                    </w:rPr>
                    <w:t>1.</w:t>
                  </w:r>
                  <w:r>
                    <w:rPr>
                      <w:rFonts w:hint="eastAsia"/>
                      <w:kern w:val="0"/>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907" w:type="dxa"/>
                  <w:vAlign w:val="center"/>
                </w:tcPr>
                <w:p>
                  <w:pPr>
                    <w:widowControl/>
                    <w:jc w:val="center"/>
                    <w:rPr>
                      <w:bCs/>
                      <w:kern w:val="0"/>
                      <w:szCs w:val="21"/>
                    </w:rPr>
                  </w:pPr>
                  <w:r>
                    <w:rPr>
                      <w:rFonts w:hAnsi="宋体"/>
                      <w:bCs/>
                      <w:kern w:val="0"/>
                      <w:szCs w:val="21"/>
                    </w:rPr>
                    <w:t>阴离子表面活性剂</w:t>
                  </w:r>
                </w:p>
              </w:tc>
              <w:tc>
                <w:tcPr>
                  <w:tcW w:w="1699" w:type="dxa"/>
                  <w:vAlign w:val="center"/>
                </w:tcPr>
                <w:p>
                  <w:pPr>
                    <w:widowControl/>
                    <w:jc w:val="center"/>
                    <w:rPr>
                      <w:kern w:val="0"/>
                      <w:szCs w:val="21"/>
                    </w:rPr>
                  </w:pPr>
                  <w:r>
                    <w:rPr>
                      <w:szCs w:val="21"/>
                    </w:rPr>
                    <w:t>≤</w:t>
                  </w:r>
                  <w:r>
                    <w:rPr>
                      <w:kern w:val="0"/>
                      <w:szCs w:val="21"/>
                    </w:rPr>
                    <w:t>0.</w:t>
                  </w:r>
                  <w:r>
                    <w:rPr>
                      <w:rFonts w:hint="eastAsia"/>
                      <w:kern w:val="0"/>
                      <w:szCs w:val="21"/>
                    </w:rPr>
                    <w:t>3</w:t>
                  </w:r>
                </w:p>
              </w:tc>
              <w:tc>
                <w:tcPr>
                  <w:tcW w:w="1986" w:type="dxa"/>
                  <w:vAlign w:val="center"/>
                </w:tcPr>
                <w:p>
                  <w:pPr>
                    <w:widowControl/>
                    <w:jc w:val="center"/>
                    <w:rPr>
                      <w:bCs/>
                      <w:kern w:val="0"/>
                      <w:szCs w:val="21"/>
                    </w:rPr>
                  </w:pPr>
                  <w:r>
                    <w:rPr>
                      <w:bCs/>
                      <w:kern w:val="0"/>
                      <w:szCs w:val="21"/>
                    </w:rPr>
                    <w:t>BOD</w:t>
                  </w:r>
                  <w:r>
                    <w:rPr>
                      <w:bCs/>
                      <w:kern w:val="0"/>
                      <w:szCs w:val="21"/>
                      <w:vertAlign w:val="subscript"/>
                    </w:rPr>
                    <w:t>5</w:t>
                  </w:r>
                </w:p>
              </w:tc>
              <w:tc>
                <w:tcPr>
                  <w:tcW w:w="2379" w:type="dxa"/>
                  <w:vAlign w:val="center"/>
                </w:tcPr>
                <w:p>
                  <w:pPr>
                    <w:widowControl/>
                    <w:jc w:val="center"/>
                    <w:rPr>
                      <w:kern w:val="0"/>
                      <w:szCs w:val="21"/>
                    </w:rPr>
                  </w:pPr>
                  <w:r>
                    <w:rPr>
                      <w:szCs w:val="21"/>
                    </w:rPr>
                    <w:t>≤</w:t>
                  </w:r>
                  <w:r>
                    <w:rPr>
                      <w:rFonts w:hint="eastAsia"/>
                      <w:kern w:val="0"/>
                      <w:szCs w:val="21"/>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907" w:type="dxa"/>
                  <w:vAlign w:val="center"/>
                </w:tcPr>
                <w:p>
                  <w:pPr>
                    <w:widowControl/>
                    <w:jc w:val="center"/>
                    <w:rPr>
                      <w:bCs/>
                      <w:kern w:val="0"/>
                      <w:szCs w:val="21"/>
                    </w:rPr>
                  </w:pPr>
                  <w:r>
                    <w:rPr>
                      <w:rFonts w:hAnsi="宋体"/>
                      <w:bCs/>
                      <w:kern w:val="0"/>
                      <w:szCs w:val="21"/>
                    </w:rPr>
                    <w:t>氨氮</w:t>
                  </w:r>
                </w:p>
              </w:tc>
              <w:tc>
                <w:tcPr>
                  <w:tcW w:w="1699" w:type="dxa"/>
                  <w:vAlign w:val="center"/>
                </w:tcPr>
                <w:p>
                  <w:pPr>
                    <w:widowControl/>
                    <w:jc w:val="center"/>
                    <w:rPr>
                      <w:kern w:val="0"/>
                      <w:szCs w:val="21"/>
                    </w:rPr>
                  </w:pPr>
                  <w:r>
                    <w:rPr>
                      <w:szCs w:val="21"/>
                    </w:rPr>
                    <w:t>≤</w:t>
                  </w:r>
                  <w:r>
                    <w:rPr>
                      <w:kern w:val="0"/>
                      <w:szCs w:val="21"/>
                    </w:rPr>
                    <w:t>1.</w:t>
                  </w:r>
                  <w:r>
                    <w:rPr>
                      <w:rFonts w:hint="eastAsia"/>
                      <w:kern w:val="0"/>
                      <w:szCs w:val="21"/>
                    </w:rPr>
                    <w:t>5</w:t>
                  </w:r>
                </w:p>
              </w:tc>
              <w:tc>
                <w:tcPr>
                  <w:tcW w:w="1986" w:type="dxa"/>
                  <w:vAlign w:val="center"/>
                </w:tcPr>
                <w:p>
                  <w:pPr>
                    <w:widowControl/>
                    <w:jc w:val="center"/>
                    <w:rPr>
                      <w:bCs/>
                      <w:kern w:val="0"/>
                      <w:szCs w:val="21"/>
                    </w:rPr>
                  </w:pPr>
                  <w:r>
                    <w:rPr>
                      <w:rFonts w:hAnsi="宋体"/>
                      <w:bCs/>
                      <w:kern w:val="0"/>
                      <w:szCs w:val="21"/>
                    </w:rPr>
                    <w:t>粪大肠菌群</w:t>
                  </w:r>
                </w:p>
              </w:tc>
              <w:tc>
                <w:tcPr>
                  <w:tcW w:w="2379" w:type="dxa"/>
                  <w:vAlign w:val="center"/>
                </w:tcPr>
                <w:p>
                  <w:pPr>
                    <w:widowControl/>
                    <w:jc w:val="center"/>
                    <w:rPr>
                      <w:kern w:val="0"/>
                      <w:szCs w:val="21"/>
                    </w:rPr>
                  </w:pPr>
                  <w:r>
                    <w:rPr>
                      <w:szCs w:val="21"/>
                    </w:rPr>
                    <w:t>≤</w:t>
                  </w:r>
                  <w:r>
                    <w:rPr>
                      <w:rFonts w:hint="eastAsia"/>
                      <w:kern w:val="0"/>
                      <w:szCs w:val="21"/>
                    </w:rPr>
                    <w:t>2</w:t>
                  </w:r>
                  <w:r>
                    <w:rPr>
                      <w:kern w:val="0"/>
                      <w:szCs w:val="21"/>
                    </w:rPr>
                    <w:t>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907" w:type="dxa"/>
                  <w:vAlign w:val="center"/>
                </w:tcPr>
                <w:p>
                  <w:pPr>
                    <w:widowControl/>
                    <w:jc w:val="center"/>
                    <w:rPr>
                      <w:bCs/>
                      <w:kern w:val="0"/>
                      <w:szCs w:val="21"/>
                    </w:rPr>
                  </w:pPr>
                  <w:r>
                    <w:rPr>
                      <w:rFonts w:hAnsi="宋体"/>
                      <w:bCs/>
                      <w:kern w:val="0"/>
                      <w:szCs w:val="21"/>
                    </w:rPr>
                    <w:t>挥发酚</w:t>
                  </w:r>
                </w:p>
              </w:tc>
              <w:tc>
                <w:tcPr>
                  <w:tcW w:w="1699" w:type="dxa"/>
                  <w:vAlign w:val="center"/>
                </w:tcPr>
                <w:p>
                  <w:pPr>
                    <w:widowControl/>
                    <w:jc w:val="center"/>
                    <w:rPr>
                      <w:kern w:val="0"/>
                      <w:szCs w:val="21"/>
                    </w:rPr>
                  </w:pPr>
                  <w:r>
                    <w:rPr>
                      <w:szCs w:val="21"/>
                    </w:rPr>
                    <w:t>≤</w:t>
                  </w:r>
                  <w:r>
                    <w:rPr>
                      <w:kern w:val="0"/>
                      <w:szCs w:val="21"/>
                    </w:rPr>
                    <w:t>0.0</w:t>
                  </w:r>
                  <w:r>
                    <w:rPr>
                      <w:rFonts w:hint="eastAsia"/>
                      <w:kern w:val="0"/>
                      <w:szCs w:val="21"/>
                    </w:rPr>
                    <w:t>1</w:t>
                  </w:r>
                </w:p>
              </w:tc>
              <w:tc>
                <w:tcPr>
                  <w:tcW w:w="1986" w:type="dxa"/>
                  <w:vAlign w:val="center"/>
                </w:tcPr>
                <w:p>
                  <w:pPr>
                    <w:widowControl/>
                    <w:jc w:val="center"/>
                    <w:rPr>
                      <w:bCs/>
                      <w:kern w:val="0"/>
                      <w:szCs w:val="21"/>
                    </w:rPr>
                  </w:pPr>
                  <w:r>
                    <w:rPr>
                      <w:bCs/>
                      <w:kern w:val="0"/>
                      <w:szCs w:val="21"/>
                    </w:rPr>
                    <w:t>TP</w:t>
                  </w:r>
                </w:p>
              </w:tc>
              <w:tc>
                <w:tcPr>
                  <w:tcW w:w="2379" w:type="dxa"/>
                  <w:vAlign w:val="center"/>
                </w:tcPr>
                <w:p>
                  <w:pPr>
                    <w:widowControl/>
                    <w:jc w:val="center"/>
                    <w:rPr>
                      <w:kern w:val="0"/>
                      <w:szCs w:val="21"/>
                    </w:rPr>
                  </w:pPr>
                  <w:r>
                    <w:rPr>
                      <w:szCs w:val="21"/>
                    </w:rPr>
                    <w:t>≤</w:t>
                  </w:r>
                  <w:r>
                    <w:rPr>
                      <w:kern w:val="0"/>
                      <w:szCs w:val="21"/>
                    </w:rPr>
                    <w:t>0.</w:t>
                  </w:r>
                  <w:r>
                    <w:rPr>
                      <w:rFonts w:hint="eastAsia"/>
                      <w:kern w:val="0"/>
                      <w:szCs w:val="21"/>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907" w:type="dxa"/>
                  <w:vAlign w:val="center"/>
                </w:tcPr>
                <w:p>
                  <w:pPr>
                    <w:widowControl/>
                    <w:jc w:val="center"/>
                    <w:rPr>
                      <w:bCs/>
                      <w:kern w:val="0"/>
                      <w:szCs w:val="21"/>
                    </w:rPr>
                  </w:pPr>
                  <w:r>
                    <w:rPr>
                      <w:rFonts w:hAnsi="宋体"/>
                      <w:bCs/>
                      <w:kern w:val="0"/>
                      <w:szCs w:val="21"/>
                    </w:rPr>
                    <w:t>溶解氧</w:t>
                  </w:r>
                </w:p>
              </w:tc>
              <w:tc>
                <w:tcPr>
                  <w:tcW w:w="1699" w:type="dxa"/>
                  <w:vAlign w:val="center"/>
                </w:tcPr>
                <w:p>
                  <w:pPr>
                    <w:widowControl/>
                    <w:jc w:val="center"/>
                    <w:rPr>
                      <w:kern w:val="0"/>
                      <w:szCs w:val="21"/>
                    </w:rPr>
                  </w:pPr>
                  <w:r>
                    <w:rPr>
                      <w:szCs w:val="21"/>
                    </w:rPr>
                    <w:t>≥</w:t>
                  </w:r>
                  <w:r>
                    <w:rPr>
                      <w:rFonts w:hint="eastAsia"/>
                      <w:kern w:val="0"/>
                      <w:szCs w:val="21"/>
                    </w:rPr>
                    <w:t>3</w:t>
                  </w:r>
                </w:p>
              </w:tc>
              <w:tc>
                <w:tcPr>
                  <w:tcW w:w="1986" w:type="dxa"/>
                  <w:vAlign w:val="center"/>
                </w:tcPr>
                <w:p>
                  <w:pPr>
                    <w:widowControl/>
                    <w:jc w:val="center"/>
                    <w:rPr>
                      <w:bCs/>
                      <w:kern w:val="0"/>
                      <w:szCs w:val="21"/>
                    </w:rPr>
                  </w:pPr>
                  <w:r>
                    <w:rPr>
                      <w:rFonts w:hAnsi="宋体"/>
                      <w:bCs/>
                      <w:kern w:val="0"/>
                      <w:szCs w:val="21"/>
                    </w:rPr>
                    <w:t>铅</w:t>
                  </w:r>
                </w:p>
              </w:tc>
              <w:tc>
                <w:tcPr>
                  <w:tcW w:w="2379" w:type="dxa"/>
                  <w:vAlign w:val="center"/>
                </w:tcPr>
                <w:p>
                  <w:pPr>
                    <w:widowControl/>
                    <w:jc w:val="center"/>
                    <w:rPr>
                      <w:kern w:val="0"/>
                      <w:szCs w:val="21"/>
                    </w:rPr>
                  </w:pPr>
                  <w:r>
                    <w:rPr>
                      <w:szCs w:val="21"/>
                    </w:rPr>
                    <w:t>≤</w:t>
                  </w:r>
                  <w:r>
                    <w:rPr>
                      <w:kern w:val="0"/>
                      <w:szCs w:val="21"/>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907" w:type="dxa"/>
                  <w:vAlign w:val="center"/>
                </w:tcPr>
                <w:p>
                  <w:pPr>
                    <w:widowControl/>
                    <w:jc w:val="center"/>
                    <w:rPr>
                      <w:bCs/>
                      <w:kern w:val="0"/>
                      <w:szCs w:val="21"/>
                    </w:rPr>
                  </w:pPr>
                  <w:r>
                    <w:rPr>
                      <w:rFonts w:hAnsi="宋体"/>
                      <w:bCs/>
                      <w:kern w:val="0"/>
                      <w:szCs w:val="21"/>
                    </w:rPr>
                    <w:t>铜</w:t>
                  </w:r>
                </w:p>
              </w:tc>
              <w:tc>
                <w:tcPr>
                  <w:tcW w:w="1699" w:type="dxa"/>
                  <w:vAlign w:val="center"/>
                </w:tcPr>
                <w:p>
                  <w:pPr>
                    <w:widowControl/>
                    <w:jc w:val="center"/>
                    <w:rPr>
                      <w:kern w:val="0"/>
                      <w:szCs w:val="21"/>
                    </w:rPr>
                  </w:pPr>
                  <w:r>
                    <w:rPr>
                      <w:szCs w:val="21"/>
                    </w:rPr>
                    <w:t>≤</w:t>
                  </w:r>
                  <w:r>
                    <w:rPr>
                      <w:kern w:val="0"/>
                      <w:szCs w:val="21"/>
                    </w:rPr>
                    <w:t>1</w:t>
                  </w:r>
                  <w:r>
                    <w:rPr>
                      <w:rFonts w:hint="eastAsia"/>
                      <w:kern w:val="0"/>
                      <w:szCs w:val="21"/>
                    </w:rPr>
                    <w:t>.0</w:t>
                  </w:r>
                </w:p>
              </w:tc>
              <w:tc>
                <w:tcPr>
                  <w:tcW w:w="1986" w:type="dxa"/>
                  <w:vAlign w:val="center"/>
                </w:tcPr>
                <w:p>
                  <w:pPr>
                    <w:widowControl/>
                    <w:jc w:val="center"/>
                    <w:rPr>
                      <w:bCs/>
                      <w:kern w:val="0"/>
                      <w:szCs w:val="21"/>
                    </w:rPr>
                  </w:pPr>
                  <w:r>
                    <w:rPr>
                      <w:rFonts w:hAnsi="宋体"/>
                      <w:bCs/>
                      <w:kern w:val="0"/>
                      <w:szCs w:val="21"/>
                    </w:rPr>
                    <w:t>氰化物</w:t>
                  </w:r>
                </w:p>
              </w:tc>
              <w:tc>
                <w:tcPr>
                  <w:tcW w:w="2379" w:type="dxa"/>
                  <w:vAlign w:val="center"/>
                </w:tcPr>
                <w:p>
                  <w:pPr>
                    <w:widowControl/>
                    <w:jc w:val="center"/>
                    <w:rPr>
                      <w:kern w:val="0"/>
                      <w:szCs w:val="21"/>
                    </w:rPr>
                  </w:pPr>
                  <w:r>
                    <w:rPr>
                      <w:szCs w:val="21"/>
                    </w:rPr>
                    <w:t>≤</w:t>
                  </w:r>
                  <w:r>
                    <w:rPr>
                      <w:kern w:val="0"/>
                      <w:szCs w:val="21"/>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907" w:type="dxa"/>
                  <w:vAlign w:val="center"/>
                </w:tcPr>
                <w:p>
                  <w:pPr>
                    <w:widowControl/>
                    <w:jc w:val="center"/>
                    <w:rPr>
                      <w:bCs/>
                      <w:kern w:val="0"/>
                      <w:szCs w:val="21"/>
                    </w:rPr>
                  </w:pPr>
                  <w:r>
                    <w:rPr>
                      <w:rFonts w:hAnsi="宋体"/>
                      <w:bCs/>
                      <w:kern w:val="0"/>
                      <w:szCs w:val="21"/>
                    </w:rPr>
                    <w:t>砷</w:t>
                  </w:r>
                </w:p>
              </w:tc>
              <w:tc>
                <w:tcPr>
                  <w:tcW w:w="1699" w:type="dxa"/>
                  <w:vAlign w:val="center"/>
                </w:tcPr>
                <w:p>
                  <w:pPr>
                    <w:widowControl/>
                    <w:jc w:val="center"/>
                    <w:rPr>
                      <w:kern w:val="0"/>
                      <w:szCs w:val="21"/>
                    </w:rPr>
                  </w:pPr>
                  <w:r>
                    <w:rPr>
                      <w:szCs w:val="21"/>
                    </w:rPr>
                    <w:t>≤</w:t>
                  </w:r>
                  <w:r>
                    <w:rPr>
                      <w:kern w:val="0"/>
                      <w:szCs w:val="21"/>
                    </w:rPr>
                    <w:t>0.</w:t>
                  </w:r>
                  <w:r>
                    <w:rPr>
                      <w:rFonts w:hint="eastAsia"/>
                      <w:kern w:val="0"/>
                      <w:szCs w:val="21"/>
                    </w:rPr>
                    <w:t>1</w:t>
                  </w:r>
                </w:p>
              </w:tc>
              <w:tc>
                <w:tcPr>
                  <w:tcW w:w="1986" w:type="dxa"/>
                  <w:vAlign w:val="center"/>
                </w:tcPr>
                <w:p>
                  <w:pPr>
                    <w:widowControl/>
                    <w:jc w:val="center"/>
                    <w:rPr>
                      <w:bCs/>
                      <w:kern w:val="0"/>
                      <w:szCs w:val="21"/>
                    </w:rPr>
                  </w:pPr>
                  <w:r>
                    <w:rPr>
                      <w:rFonts w:hAnsi="宋体"/>
                      <w:bCs/>
                      <w:kern w:val="0"/>
                      <w:szCs w:val="21"/>
                    </w:rPr>
                    <w:t>硫化物</w:t>
                  </w:r>
                </w:p>
              </w:tc>
              <w:tc>
                <w:tcPr>
                  <w:tcW w:w="2379" w:type="dxa"/>
                  <w:vAlign w:val="center"/>
                </w:tcPr>
                <w:p>
                  <w:pPr>
                    <w:widowControl/>
                    <w:jc w:val="center"/>
                    <w:rPr>
                      <w:kern w:val="0"/>
                      <w:szCs w:val="21"/>
                    </w:rPr>
                  </w:pPr>
                  <w:r>
                    <w:rPr>
                      <w:szCs w:val="21"/>
                    </w:rPr>
                    <w:t>≤</w:t>
                  </w:r>
                  <w:r>
                    <w:rPr>
                      <w:kern w:val="0"/>
                      <w:szCs w:val="21"/>
                    </w:rPr>
                    <w:t>0.</w:t>
                  </w:r>
                  <w:r>
                    <w:rPr>
                      <w:rFonts w:hint="eastAsia"/>
                      <w:kern w:val="0"/>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907" w:type="dxa"/>
                  <w:vAlign w:val="center"/>
                </w:tcPr>
                <w:p>
                  <w:pPr>
                    <w:widowControl/>
                    <w:jc w:val="center"/>
                    <w:rPr>
                      <w:bCs/>
                      <w:kern w:val="0"/>
                      <w:szCs w:val="21"/>
                    </w:rPr>
                  </w:pPr>
                  <w:r>
                    <w:rPr>
                      <w:rFonts w:hAnsi="宋体"/>
                      <w:bCs/>
                      <w:kern w:val="0"/>
                      <w:szCs w:val="21"/>
                    </w:rPr>
                    <w:t>汞</w:t>
                  </w:r>
                </w:p>
              </w:tc>
              <w:tc>
                <w:tcPr>
                  <w:tcW w:w="1699" w:type="dxa"/>
                  <w:vAlign w:val="center"/>
                </w:tcPr>
                <w:p>
                  <w:pPr>
                    <w:widowControl/>
                    <w:jc w:val="center"/>
                    <w:rPr>
                      <w:kern w:val="0"/>
                      <w:szCs w:val="21"/>
                    </w:rPr>
                  </w:pPr>
                  <w:r>
                    <w:rPr>
                      <w:szCs w:val="21"/>
                    </w:rPr>
                    <w:t>≤</w:t>
                  </w:r>
                  <w:r>
                    <w:rPr>
                      <w:kern w:val="0"/>
                      <w:szCs w:val="21"/>
                    </w:rPr>
                    <w:t>0.001</w:t>
                  </w:r>
                </w:p>
              </w:tc>
              <w:tc>
                <w:tcPr>
                  <w:tcW w:w="1986" w:type="dxa"/>
                  <w:vAlign w:val="center"/>
                </w:tcPr>
                <w:p>
                  <w:pPr>
                    <w:widowControl/>
                    <w:jc w:val="center"/>
                    <w:rPr>
                      <w:bCs/>
                      <w:kern w:val="0"/>
                      <w:szCs w:val="21"/>
                    </w:rPr>
                  </w:pPr>
                  <w:r>
                    <w:rPr>
                      <w:rFonts w:hAnsi="宋体"/>
                      <w:bCs/>
                      <w:kern w:val="0"/>
                      <w:szCs w:val="21"/>
                    </w:rPr>
                    <w:t>镉</w:t>
                  </w:r>
                </w:p>
              </w:tc>
              <w:tc>
                <w:tcPr>
                  <w:tcW w:w="2379" w:type="dxa"/>
                  <w:vAlign w:val="center"/>
                </w:tcPr>
                <w:p>
                  <w:pPr>
                    <w:widowControl/>
                    <w:jc w:val="center"/>
                    <w:rPr>
                      <w:kern w:val="0"/>
                      <w:szCs w:val="21"/>
                    </w:rPr>
                  </w:pPr>
                  <w:r>
                    <w:rPr>
                      <w:szCs w:val="21"/>
                    </w:rPr>
                    <w:t>≤</w:t>
                  </w:r>
                  <w:r>
                    <w:rPr>
                      <w:kern w:val="0"/>
                      <w:szCs w:val="21"/>
                    </w:rPr>
                    <w:t>0.005</w:t>
                  </w:r>
                </w:p>
              </w:tc>
            </w:tr>
          </w:tbl>
          <w:p>
            <w:pPr>
              <w:spacing w:line="360" w:lineRule="auto"/>
              <w:ind w:firstLine="475" w:firstLineChars="198"/>
              <w:rPr>
                <w:sz w:val="24"/>
              </w:rPr>
            </w:pPr>
            <w:r>
              <w:rPr>
                <w:rFonts w:hint="eastAsia"/>
                <w:sz w:val="24"/>
              </w:rPr>
              <w:t>3.地下水质量标准</w:t>
            </w:r>
          </w:p>
          <w:p>
            <w:pPr>
              <w:spacing w:line="360" w:lineRule="auto"/>
              <w:ind w:firstLine="475" w:firstLineChars="198"/>
              <w:rPr>
                <w:sz w:val="24"/>
              </w:rPr>
            </w:pPr>
            <w:r>
              <w:rPr>
                <w:sz w:val="24"/>
              </w:rPr>
              <w:t>根据《地下水质量标准》（GB</w:t>
            </w:r>
            <w:r>
              <w:rPr>
                <w:rFonts w:hint="eastAsia"/>
                <w:sz w:val="24"/>
              </w:rPr>
              <w:t>/T</w:t>
            </w:r>
            <w:r>
              <w:rPr>
                <w:sz w:val="24"/>
              </w:rPr>
              <w:t>14848-</w:t>
            </w:r>
            <w:r>
              <w:rPr>
                <w:rFonts w:hint="eastAsia"/>
                <w:sz w:val="24"/>
              </w:rPr>
              <w:t>2017</w:t>
            </w:r>
            <w:r>
              <w:rPr>
                <w:sz w:val="24"/>
              </w:rPr>
              <w:t>），本项目所在地地下水属于</w:t>
            </w:r>
            <w:r>
              <w:rPr>
                <w:rFonts w:hint="eastAsia" w:ascii="宋体" w:hAnsi="宋体" w:cs="宋体"/>
                <w:sz w:val="24"/>
              </w:rPr>
              <w:t>Ⅲ</w:t>
            </w:r>
            <w:r>
              <w:rPr>
                <w:sz w:val="24"/>
              </w:rPr>
              <w:t>类，执行《地下水质量标准》（GB</w:t>
            </w:r>
            <w:r>
              <w:rPr>
                <w:rFonts w:hint="eastAsia"/>
                <w:sz w:val="24"/>
              </w:rPr>
              <w:t>/T</w:t>
            </w:r>
            <w:r>
              <w:rPr>
                <w:sz w:val="24"/>
              </w:rPr>
              <w:t>14848-</w:t>
            </w:r>
            <w:r>
              <w:rPr>
                <w:rFonts w:hint="eastAsia"/>
                <w:sz w:val="24"/>
              </w:rPr>
              <w:t>2017</w:t>
            </w:r>
            <w:r>
              <w:rPr>
                <w:sz w:val="24"/>
              </w:rPr>
              <w:t>）</w:t>
            </w:r>
            <w:r>
              <w:rPr>
                <w:rFonts w:hint="eastAsia" w:ascii="宋体" w:hAnsi="宋体" w:cs="宋体"/>
                <w:sz w:val="24"/>
              </w:rPr>
              <w:t>Ⅲ</w:t>
            </w:r>
            <w:r>
              <w:rPr>
                <w:sz w:val="24"/>
              </w:rPr>
              <w:t>类标准。</w:t>
            </w:r>
          </w:p>
          <w:p>
            <w:pPr>
              <w:spacing w:line="360" w:lineRule="auto"/>
              <w:ind w:firstLine="417" w:firstLineChars="198"/>
              <w:jc w:val="center"/>
              <w:rPr>
                <w:b/>
                <w:szCs w:val="21"/>
              </w:rPr>
            </w:pPr>
            <w:r>
              <w:rPr>
                <w:rFonts w:hint="eastAsia"/>
                <w:b/>
                <w:szCs w:val="21"/>
              </w:rPr>
              <w:t xml:space="preserve">表24-4 </w:t>
            </w:r>
            <w:r>
              <w:rPr>
                <w:b/>
                <w:szCs w:val="21"/>
              </w:rPr>
              <w:t>《地下水质量标准》（GB</w:t>
            </w:r>
            <w:r>
              <w:rPr>
                <w:rFonts w:hint="eastAsia"/>
                <w:b/>
                <w:szCs w:val="21"/>
              </w:rPr>
              <w:t>/T</w:t>
            </w:r>
            <w:r>
              <w:rPr>
                <w:b/>
                <w:szCs w:val="21"/>
              </w:rPr>
              <w:t>14848-</w:t>
            </w:r>
            <w:r>
              <w:rPr>
                <w:rFonts w:hint="eastAsia"/>
                <w:b/>
                <w:szCs w:val="21"/>
              </w:rPr>
              <w:t>2017</w:t>
            </w:r>
            <w:r>
              <w:rPr>
                <w:b/>
                <w:szCs w:val="21"/>
              </w:rPr>
              <w:t>）</w:t>
            </w:r>
            <w:r>
              <w:rPr>
                <w:rFonts w:hint="eastAsia" w:ascii="宋体" w:hAnsi="宋体" w:cs="宋体"/>
                <w:b/>
                <w:szCs w:val="21"/>
              </w:rPr>
              <w:t>Ⅲ</w:t>
            </w:r>
            <w:r>
              <w:rPr>
                <w:b/>
                <w:szCs w:val="21"/>
              </w:rPr>
              <w:t>类</w:t>
            </w:r>
            <w:r>
              <w:rPr>
                <w:rFonts w:hint="eastAsia"/>
                <w:b/>
                <w:szCs w:val="21"/>
              </w:rPr>
              <w:t xml:space="preserve">  </w:t>
            </w:r>
            <w:r>
              <w:rPr>
                <w:b/>
                <w:szCs w:val="21"/>
              </w:rPr>
              <w:t>单位：mg/L</w:t>
            </w:r>
          </w:p>
          <w:tbl>
            <w:tblPr>
              <w:tblStyle w:val="35"/>
              <w:tblW w:w="797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90"/>
              <w:gridCol w:w="1017"/>
              <w:gridCol w:w="3007"/>
              <w:gridCol w:w="9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990" w:type="dxa"/>
                  <w:vAlign w:val="center"/>
                </w:tcPr>
                <w:p>
                  <w:pPr>
                    <w:adjustRightInd w:val="0"/>
                    <w:snapToGrid w:val="0"/>
                    <w:jc w:val="center"/>
                    <w:rPr>
                      <w:b/>
                      <w:bCs/>
                      <w:snapToGrid w:val="0"/>
                      <w:kern w:val="0"/>
                      <w:szCs w:val="21"/>
                    </w:rPr>
                  </w:pPr>
                  <w:r>
                    <w:rPr>
                      <w:b/>
                      <w:bCs/>
                      <w:snapToGrid w:val="0"/>
                      <w:kern w:val="0"/>
                      <w:szCs w:val="21"/>
                    </w:rPr>
                    <w:t>项目</w:t>
                  </w:r>
                </w:p>
              </w:tc>
              <w:tc>
                <w:tcPr>
                  <w:tcW w:w="1017" w:type="dxa"/>
                  <w:vAlign w:val="center"/>
                </w:tcPr>
                <w:p>
                  <w:pPr>
                    <w:adjustRightInd w:val="0"/>
                    <w:snapToGrid w:val="0"/>
                    <w:jc w:val="center"/>
                    <w:rPr>
                      <w:b/>
                      <w:bCs/>
                      <w:snapToGrid w:val="0"/>
                      <w:kern w:val="0"/>
                      <w:szCs w:val="21"/>
                    </w:rPr>
                  </w:pPr>
                  <w:r>
                    <w:rPr>
                      <w:b/>
                      <w:bCs/>
                      <w:snapToGrid w:val="0"/>
                      <w:kern w:val="0"/>
                      <w:szCs w:val="21"/>
                    </w:rPr>
                    <w:t>标准</w:t>
                  </w:r>
                </w:p>
              </w:tc>
              <w:tc>
                <w:tcPr>
                  <w:tcW w:w="3007" w:type="dxa"/>
                  <w:vAlign w:val="center"/>
                </w:tcPr>
                <w:p>
                  <w:pPr>
                    <w:adjustRightInd w:val="0"/>
                    <w:snapToGrid w:val="0"/>
                    <w:jc w:val="center"/>
                    <w:rPr>
                      <w:b/>
                      <w:bCs/>
                      <w:snapToGrid w:val="0"/>
                      <w:kern w:val="0"/>
                      <w:szCs w:val="21"/>
                    </w:rPr>
                  </w:pPr>
                  <w:r>
                    <w:rPr>
                      <w:b/>
                      <w:bCs/>
                      <w:snapToGrid w:val="0"/>
                      <w:kern w:val="0"/>
                      <w:szCs w:val="21"/>
                    </w:rPr>
                    <w:t>项目</w:t>
                  </w:r>
                </w:p>
              </w:tc>
              <w:tc>
                <w:tcPr>
                  <w:tcW w:w="957" w:type="dxa"/>
                  <w:vAlign w:val="center"/>
                </w:tcPr>
                <w:p>
                  <w:pPr>
                    <w:adjustRightInd w:val="0"/>
                    <w:snapToGrid w:val="0"/>
                    <w:jc w:val="center"/>
                    <w:rPr>
                      <w:b/>
                      <w:bCs/>
                      <w:snapToGrid w:val="0"/>
                      <w:kern w:val="0"/>
                      <w:szCs w:val="21"/>
                    </w:rPr>
                  </w:pPr>
                  <w:r>
                    <w:rPr>
                      <w:b/>
                      <w:bCs/>
                      <w:snapToGrid w:val="0"/>
                      <w:kern w:val="0"/>
                      <w:szCs w:val="21"/>
                    </w:rPr>
                    <w:t>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990" w:type="dxa"/>
                  <w:vAlign w:val="center"/>
                </w:tcPr>
                <w:p>
                  <w:pPr>
                    <w:adjustRightInd w:val="0"/>
                    <w:snapToGrid w:val="0"/>
                    <w:jc w:val="center"/>
                    <w:rPr>
                      <w:snapToGrid w:val="0"/>
                      <w:kern w:val="0"/>
                      <w:szCs w:val="21"/>
                    </w:rPr>
                  </w:pPr>
                  <w:r>
                    <w:rPr>
                      <w:snapToGrid w:val="0"/>
                      <w:kern w:val="0"/>
                      <w:szCs w:val="21"/>
                    </w:rPr>
                    <w:t>pH</w:t>
                  </w:r>
                  <w:r>
                    <w:rPr>
                      <w:rFonts w:hint="eastAsia"/>
                      <w:snapToGrid w:val="0"/>
                      <w:kern w:val="0"/>
                      <w:szCs w:val="21"/>
                    </w:rPr>
                    <w:t>（</w:t>
                  </w:r>
                  <w:r>
                    <w:rPr>
                      <w:snapToGrid w:val="0"/>
                      <w:kern w:val="0"/>
                      <w:szCs w:val="21"/>
                    </w:rPr>
                    <w:t>无量纲</w:t>
                  </w:r>
                  <w:r>
                    <w:rPr>
                      <w:rFonts w:hint="eastAsia"/>
                      <w:snapToGrid w:val="0"/>
                      <w:kern w:val="0"/>
                      <w:szCs w:val="21"/>
                    </w:rPr>
                    <w:t>）</w:t>
                  </w:r>
                </w:p>
              </w:tc>
              <w:tc>
                <w:tcPr>
                  <w:tcW w:w="1017" w:type="dxa"/>
                  <w:vAlign w:val="center"/>
                </w:tcPr>
                <w:p>
                  <w:pPr>
                    <w:adjustRightInd w:val="0"/>
                    <w:snapToGrid w:val="0"/>
                    <w:jc w:val="center"/>
                    <w:rPr>
                      <w:snapToGrid w:val="0"/>
                      <w:kern w:val="0"/>
                      <w:szCs w:val="21"/>
                    </w:rPr>
                  </w:pPr>
                  <w:r>
                    <w:rPr>
                      <w:rFonts w:hint="eastAsia"/>
                      <w:snapToGrid w:val="0"/>
                      <w:kern w:val="0"/>
                      <w:szCs w:val="21"/>
                    </w:rPr>
                    <w:t>6.5~8.5</w:t>
                  </w:r>
                </w:p>
              </w:tc>
              <w:tc>
                <w:tcPr>
                  <w:tcW w:w="3007" w:type="dxa"/>
                  <w:vAlign w:val="center"/>
                </w:tcPr>
                <w:p>
                  <w:pPr>
                    <w:adjustRightInd w:val="0"/>
                    <w:snapToGrid w:val="0"/>
                    <w:jc w:val="center"/>
                    <w:rPr>
                      <w:snapToGrid w:val="0"/>
                      <w:kern w:val="0"/>
                      <w:szCs w:val="21"/>
                    </w:rPr>
                  </w:pPr>
                  <w:r>
                    <w:rPr>
                      <w:rFonts w:hint="eastAsia"/>
                      <w:spacing w:val="-2"/>
                      <w:szCs w:val="21"/>
                    </w:rPr>
                    <w:t>汞（Hg）</w:t>
                  </w:r>
                </w:p>
              </w:tc>
              <w:tc>
                <w:tcPr>
                  <w:tcW w:w="957" w:type="dxa"/>
                  <w:vAlign w:val="center"/>
                </w:tcPr>
                <w:p>
                  <w:pPr>
                    <w:adjustRightInd w:val="0"/>
                    <w:snapToGrid w:val="0"/>
                    <w:jc w:val="center"/>
                    <w:rPr>
                      <w:snapToGrid w:val="0"/>
                      <w:kern w:val="0"/>
                      <w:szCs w:val="21"/>
                    </w:rPr>
                  </w:pPr>
                  <w:r>
                    <w:rPr>
                      <w:snapToGrid w:val="0"/>
                      <w:kern w:val="0"/>
                      <w:szCs w:val="21"/>
                    </w:rPr>
                    <w:t>≤0.</w:t>
                  </w:r>
                  <w:r>
                    <w:rPr>
                      <w:rFonts w:hint="eastAsia"/>
                      <w:snapToGrid w:val="0"/>
                      <w:kern w:val="0"/>
                      <w:szCs w:val="21"/>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990" w:type="dxa"/>
                  <w:vAlign w:val="center"/>
                </w:tcPr>
                <w:p>
                  <w:pPr>
                    <w:adjustRightInd w:val="0"/>
                    <w:snapToGrid w:val="0"/>
                    <w:jc w:val="center"/>
                    <w:rPr>
                      <w:snapToGrid w:val="0"/>
                      <w:kern w:val="0"/>
                      <w:szCs w:val="21"/>
                    </w:rPr>
                  </w:pPr>
                  <w:r>
                    <w:rPr>
                      <w:snapToGrid w:val="0"/>
                      <w:kern w:val="0"/>
                      <w:szCs w:val="21"/>
                    </w:rPr>
                    <w:t>总硬度</w:t>
                  </w:r>
                  <w:r>
                    <w:rPr>
                      <w:rFonts w:hint="eastAsia"/>
                      <w:snapToGrid w:val="0"/>
                      <w:kern w:val="0"/>
                      <w:szCs w:val="21"/>
                    </w:rPr>
                    <w:t>（以CaCO</w:t>
                  </w:r>
                  <w:r>
                    <w:rPr>
                      <w:rFonts w:hint="eastAsia"/>
                      <w:snapToGrid w:val="0"/>
                      <w:kern w:val="0"/>
                      <w:szCs w:val="21"/>
                      <w:vertAlign w:val="subscript"/>
                    </w:rPr>
                    <w:t>3</w:t>
                  </w:r>
                  <w:r>
                    <w:rPr>
                      <w:rFonts w:hint="eastAsia"/>
                      <w:snapToGrid w:val="0"/>
                      <w:kern w:val="0"/>
                      <w:szCs w:val="21"/>
                    </w:rPr>
                    <w:t>计）</w:t>
                  </w:r>
                </w:p>
              </w:tc>
              <w:tc>
                <w:tcPr>
                  <w:tcW w:w="1017" w:type="dxa"/>
                  <w:vAlign w:val="center"/>
                </w:tcPr>
                <w:p>
                  <w:pPr>
                    <w:adjustRightInd w:val="0"/>
                    <w:snapToGrid w:val="0"/>
                    <w:jc w:val="center"/>
                    <w:rPr>
                      <w:snapToGrid w:val="0"/>
                      <w:kern w:val="0"/>
                      <w:szCs w:val="21"/>
                    </w:rPr>
                  </w:pPr>
                  <w:r>
                    <w:rPr>
                      <w:snapToGrid w:val="0"/>
                      <w:kern w:val="0"/>
                      <w:szCs w:val="21"/>
                    </w:rPr>
                    <w:t>≤</w:t>
                  </w:r>
                  <w:r>
                    <w:rPr>
                      <w:rFonts w:hint="eastAsia"/>
                      <w:snapToGrid w:val="0"/>
                      <w:kern w:val="0"/>
                      <w:szCs w:val="21"/>
                    </w:rPr>
                    <w:t>450</w:t>
                  </w:r>
                </w:p>
              </w:tc>
              <w:tc>
                <w:tcPr>
                  <w:tcW w:w="3007" w:type="dxa"/>
                  <w:vAlign w:val="center"/>
                </w:tcPr>
                <w:p>
                  <w:pPr>
                    <w:adjustRightInd w:val="0"/>
                    <w:snapToGrid w:val="0"/>
                    <w:jc w:val="center"/>
                    <w:rPr>
                      <w:snapToGrid w:val="0"/>
                      <w:kern w:val="0"/>
                      <w:szCs w:val="21"/>
                    </w:rPr>
                  </w:pPr>
                  <w:r>
                    <w:rPr>
                      <w:rFonts w:hint="eastAsia"/>
                      <w:spacing w:val="-2"/>
                      <w:szCs w:val="21"/>
                    </w:rPr>
                    <w:t>砷（As）</w:t>
                  </w:r>
                </w:p>
              </w:tc>
              <w:tc>
                <w:tcPr>
                  <w:tcW w:w="957" w:type="dxa"/>
                  <w:vAlign w:val="center"/>
                </w:tcPr>
                <w:p>
                  <w:pPr>
                    <w:adjustRightInd w:val="0"/>
                    <w:snapToGrid w:val="0"/>
                    <w:jc w:val="center"/>
                    <w:rPr>
                      <w:snapToGrid w:val="0"/>
                      <w:kern w:val="0"/>
                      <w:szCs w:val="21"/>
                    </w:rPr>
                  </w:pPr>
                  <w:r>
                    <w:rPr>
                      <w:snapToGrid w:val="0"/>
                      <w:kern w:val="0"/>
                      <w:szCs w:val="21"/>
                    </w:rPr>
                    <w:t>≤</w:t>
                  </w:r>
                  <w:r>
                    <w:rPr>
                      <w:rFonts w:hint="eastAsia"/>
                      <w:snapToGrid w:val="0"/>
                      <w:kern w:val="0"/>
                      <w:szCs w:val="21"/>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990" w:type="dxa"/>
                  <w:vAlign w:val="center"/>
                </w:tcPr>
                <w:p>
                  <w:pPr>
                    <w:adjustRightInd w:val="0"/>
                    <w:snapToGrid w:val="0"/>
                    <w:jc w:val="center"/>
                    <w:rPr>
                      <w:snapToGrid w:val="0"/>
                      <w:kern w:val="0"/>
                      <w:szCs w:val="21"/>
                    </w:rPr>
                  </w:pPr>
                  <w:r>
                    <w:rPr>
                      <w:snapToGrid w:val="0"/>
                      <w:kern w:val="0"/>
                      <w:szCs w:val="21"/>
                    </w:rPr>
                    <w:t>溶解性总固体</w:t>
                  </w:r>
                </w:p>
              </w:tc>
              <w:tc>
                <w:tcPr>
                  <w:tcW w:w="1017" w:type="dxa"/>
                  <w:vAlign w:val="center"/>
                </w:tcPr>
                <w:p>
                  <w:pPr>
                    <w:adjustRightInd w:val="0"/>
                    <w:snapToGrid w:val="0"/>
                    <w:jc w:val="center"/>
                    <w:rPr>
                      <w:snapToGrid w:val="0"/>
                      <w:kern w:val="0"/>
                      <w:szCs w:val="21"/>
                    </w:rPr>
                  </w:pPr>
                  <w:r>
                    <w:rPr>
                      <w:snapToGrid w:val="0"/>
                      <w:kern w:val="0"/>
                      <w:szCs w:val="21"/>
                    </w:rPr>
                    <w:t>≤</w:t>
                  </w:r>
                  <w:r>
                    <w:rPr>
                      <w:rFonts w:hint="eastAsia"/>
                      <w:snapToGrid w:val="0"/>
                      <w:kern w:val="0"/>
                      <w:szCs w:val="21"/>
                    </w:rPr>
                    <w:t>1000</w:t>
                  </w:r>
                </w:p>
              </w:tc>
              <w:tc>
                <w:tcPr>
                  <w:tcW w:w="3007" w:type="dxa"/>
                  <w:vAlign w:val="center"/>
                </w:tcPr>
                <w:p>
                  <w:pPr>
                    <w:adjustRightInd w:val="0"/>
                    <w:snapToGrid w:val="0"/>
                    <w:jc w:val="center"/>
                    <w:rPr>
                      <w:snapToGrid w:val="0"/>
                      <w:kern w:val="0"/>
                      <w:szCs w:val="21"/>
                    </w:rPr>
                  </w:pPr>
                  <w:r>
                    <w:rPr>
                      <w:rFonts w:hint="eastAsia"/>
                      <w:spacing w:val="-2"/>
                      <w:szCs w:val="21"/>
                    </w:rPr>
                    <w:t>氨氮（以N计）</w:t>
                  </w:r>
                </w:p>
              </w:tc>
              <w:tc>
                <w:tcPr>
                  <w:tcW w:w="957" w:type="dxa"/>
                  <w:vAlign w:val="center"/>
                </w:tcPr>
                <w:p>
                  <w:pPr>
                    <w:adjustRightInd w:val="0"/>
                    <w:snapToGrid w:val="0"/>
                    <w:jc w:val="center"/>
                    <w:rPr>
                      <w:snapToGrid w:val="0"/>
                      <w:kern w:val="0"/>
                      <w:szCs w:val="21"/>
                    </w:rPr>
                  </w:pPr>
                  <w:r>
                    <w:rPr>
                      <w:snapToGrid w:val="0"/>
                      <w:kern w:val="0"/>
                      <w:szCs w:val="21"/>
                    </w:rPr>
                    <w:t>≤</w:t>
                  </w:r>
                  <w:r>
                    <w:rPr>
                      <w:rFonts w:hint="eastAsia"/>
                      <w:snapToGrid w:val="0"/>
                      <w:kern w:val="0"/>
                      <w:szCs w:val="21"/>
                    </w:rPr>
                    <w:t>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990" w:type="dxa"/>
                  <w:vAlign w:val="center"/>
                </w:tcPr>
                <w:p>
                  <w:pPr>
                    <w:adjustRightInd w:val="0"/>
                    <w:snapToGrid w:val="0"/>
                    <w:jc w:val="center"/>
                    <w:rPr>
                      <w:snapToGrid w:val="0"/>
                      <w:kern w:val="0"/>
                      <w:szCs w:val="21"/>
                    </w:rPr>
                  </w:pPr>
                  <w:r>
                    <w:rPr>
                      <w:rFonts w:hint="eastAsia"/>
                      <w:snapToGrid w:val="0"/>
                      <w:kern w:val="0"/>
                      <w:szCs w:val="21"/>
                    </w:rPr>
                    <w:t>耗氧量（COD</w:t>
                  </w:r>
                  <w:r>
                    <w:rPr>
                      <w:rFonts w:hint="eastAsia"/>
                      <w:snapToGrid w:val="0"/>
                      <w:kern w:val="0"/>
                      <w:szCs w:val="21"/>
                      <w:vertAlign w:val="subscript"/>
                    </w:rPr>
                    <w:t>Mn</w:t>
                  </w:r>
                  <w:r>
                    <w:rPr>
                      <w:rFonts w:hint="eastAsia"/>
                      <w:snapToGrid w:val="0"/>
                      <w:kern w:val="0"/>
                      <w:szCs w:val="21"/>
                    </w:rPr>
                    <w:t>法，以O</w:t>
                  </w:r>
                  <w:r>
                    <w:rPr>
                      <w:rFonts w:hint="eastAsia"/>
                      <w:snapToGrid w:val="0"/>
                      <w:kern w:val="0"/>
                      <w:szCs w:val="21"/>
                      <w:vertAlign w:val="subscript"/>
                    </w:rPr>
                    <w:t>2</w:t>
                  </w:r>
                  <w:r>
                    <w:rPr>
                      <w:rFonts w:hint="eastAsia"/>
                      <w:snapToGrid w:val="0"/>
                      <w:kern w:val="0"/>
                      <w:szCs w:val="21"/>
                    </w:rPr>
                    <w:t>计）</w:t>
                  </w:r>
                </w:p>
              </w:tc>
              <w:tc>
                <w:tcPr>
                  <w:tcW w:w="1017" w:type="dxa"/>
                  <w:vAlign w:val="center"/>
                </w:tcPr>
                <w:p>
                  <w:pPr>
                    <w:adjustRightInd w:val="0"/>
                    <w:snapToGrid w:val="0"/>
                    <w:jc w:val="center"/>
                    <w:rPr>
                      <w:snapToGrid w:val="0"/>
                      <w:kern w:val="0"/>
                      <w:szCs w:val="21"/>
                    </w:rPr>
                  </w:pPr>
                  <w:r>
                    <w:rPr>
                      <w:snapToGrid w:val="0"/>
                      <w:kern w:val="0"/>
                      <w:szCs w:val="21"/>
                    </w:rPr>
                    <w:t>≤</w:t>
                  </w:r>
                  <w:r>
                    <w:rPr>
                      <w:rFonts w:hint="eastAsia"/>
                      <w:snapToGrid w:val="0"/>
                      <w:kern w:val="0"/>
                      <w:szCs w:val="21"/>
                    </w:rPr>
                    <w:t>3.0</w:t>
                  </w:r>
                </w:p>
              </w:tc>
              <w:tc>
                <w:tcPr>
                  <w:tcW w:w="3007" w:type="dxa"/>
                  <w:vAlign w:val="center"/>
                </w:tcPr>
                <w:p>
                  <w:pPr>
                    <w:adjustRightInd w:val="0"/>
                    <w:snapToGrid w:val="0"/>
                    <w:jc w:val="center"/>
                    <w:rPr>
                      <w:snapToGrid w:val="0"/>
                      <w:kern w:val="0"/>
                      <w:szCs w:val="21"/>
                    </w:rPr>
                  </w:pPr>
                  <w:r>
                    <w:rPr>
                      <w:rFonts w:hint="eastAsia"/>
                      <w:spacing w:val="-2"/>
                      <w:szCs w:val="21"/>
                    </w:rPr>
                    <w:t>镉</w:t>
                  </w:r>
                </w:p>
              </w:tc>
              <w:tc>
                <w:tcPr>
                  <w:tcW w:w="957" w:type="dxa"/>
                  <w:vAlign w:val="center"/>
                </w:tcPr>
                <w:p>
                  <w:pPr>
                    <w:adjustRightInd w:val="0"/>
                    <w:snapToGrid w:val="0"/>
                    <w:jc w:val="center"/>
                    <w:rPr>
                      <w:snapToGrid w:val="0"/>
                      <w:kern w:val="0"/>
                      <w:szCs w:val="21"/>
                    </w:rPr>
                  </w:pPr>
                  <w:r>
                    <w:rPr>
                      <w:snapToGrid w:val="0"/>
                      <w:kern w:val="0"/>
                      <w:szCs w:val="21"/>
                    </w:rPr>
                    <w:t>≤0.0</w:t>
                  </w:r>
                  <w:r>
                    <w:rPr>
                      <w:rFonts w:hint="eastAsia"/>
                      <w:snapToGrid w:val="0"/>
                      <w:kern w:val="0"/>
                      <w:szCs w:val="21"/>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990" w:type="dxa"/>
                  <w:vAlign w:val="center"/>
                </w:tcPr>
                <w:p>
                  <w:pPr>
                    <w:adjustRightInd w:val="0"/>
                    <w:snapToGrid w:val="0"/>
                    <w:jc w:val="center"/>
                    <w:rPr>
                      <w:snapToGrid w:val="0"/>
                      <w:kern w:val="0"/>
                      <w:szCs w:val="21"/>
                    </w:rPr>
                  </w:pPr>
                  <w:r>
                    <w:rPr>
                      <w:spacing w:val="-2"/>
                      <w:szCs w:val="21"/>
                    </w:rPr>
                    <w:t>氟化物</w:t>
                  </w:r>
                </w:p>
              </w:tc>
              <w:tc>
                <w:tcPr>
                  <w:tcW w:w="1017" w:type="dxa"/>
                  <w:vAlign w:val="center"/>
                </w:tcPr>
                <w:p>
                  <w:pPr>
                    <w:adjustRightInd w:val="0"/>
                    <w:snapToGrid w:val="0"/>
                    <w:jc w:val="center"/>
                    <w:rPr>
                      <w:snapToGrid w:val="0"/>
                      <w:kern w:val="0"/>
                      <w:szCs w:val="21"/>
                    </w:rPr>
                  </w:pPr>
                  <w:r>
                    <w:rPr>
                      <w:snapToGrid w:val="0"/>
                      <w:kern w:val="0"/>
                      <w:szCs w:val="21"/>
                    </w:rPr>
                    <w:t>≤</w:t>
                  </w:r>
                  <w:r>
                    <w:rPr>
                      <w:rFonts w:hint="eastAsia"/>
                      <w:snapToGrid w:val="0"/>
                      <w:kern w:val="0"/>
                      <w:szCs w:val="21"/>
                    </w:rPr>
                    <w:t>1.0</w:t>
                  </w:r>
                </w:p>
              </w:tc>
              <w:tc>
                <w:tcPr>
                  <w:tcW w:w="3007" w:type="dxa"/>
                  <w:vAlign w:val="center"/>
                </w:tcPr>
                <w:p>
                  <w:pPr>
                    <w:adjustRightInd w:val="0"/>
                    <w:snapToGrid w:val="0"/>
                    <w:jc w:val="center"/>
                    <w:rPr>
                      <w:snapToGrid w:val="0"/>
                      <w:kern w:val="0"/>
                      <w:szCs w:val="21"/>
                    </w:rPr>
                  </w:pPr>
                  <w:r>
                    <w:rPr>
                      <w:rFonts w:hint="eastAsia"/>
                      <w:spacing w:val="-2"/>
                      <w:szCs w:val="21"/>
                    </w:rPr>
                    <w:t>铅</w:t>
                  </w:r>
                </w:p>
              </w:tc>
              <w:tc>
                <w:tcPr>
                  <w:tcW w:w="957" w:type="dxa"/>
                  <w:vAlign w:val="center"/>
                </w:tcPr>
                <w:p>
                  <w:pPr>
                    <w:adjustRightInd w:val="0"/>
                    <w:snapToGrid w:val="0"/>
                    <w:jc w:val="center"/>
                    <w:rPr>
                      <w:snapToGrid w:val="0"/>
                      <w:kern w:val="0"/>
                      <w:szCs w:val="21"/>
                    </w:rPr>
                  </w:pPr>
                  <w:r>
                    <w:rPr>
                      <w:snapToGrid w:val="0"/>
                      <w:kern w:val="0"/>
                      <w:szCs w:val="21"/>
                    </w:rPr>
                    <w:t>≤0.</w:t>
                  </w:r>
                  <w:r>
                    <w:rPr>
                      <w:rFonts w:hint="eastAsia"/>
                      <w:snapToGrid w:val="0"/>
                      <w:kern w:val="0"/>
                      <w:szCs w:val="21"/>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990" w:type="dxa"/>
                  <w:vAlign w:val="center"/>
                </w:tcPr>
                <w:p>
                  <w:pPr>
                    <w:adjustRightInd w:val="0"/>
                    <w:snapToGrid w:val="0"/>
                    <w:jc w:val="center"/>
                    <w:rPr>
                      <w:snapToGrid w:val="0"/>
                      <w:kern w:val="0"/>
                      <w:szCs w:val="21"/>
                    </w:rPr>
                  </w:pPr>
                  <w:r>
                    <w:rPr>
                      <w:spacing w:val="-2"/>
                      <w:szCs w:val="21"/>
                    </w:rPr>
                    <w:t>硝酸盐</w:t>
                  </w:r>
                  <w:r>
                    <w:rPr>
                      <w:rFonts w:hint="eastAsia"/>
                      <w:spacing w:val="-2"/>
                      <w:szCs w:val="21"/>
                    </w:rPr>
                    <w:t>（以N计）</w:t>
                  </w:r>
                </w:p>
              </w:tc>
              <w:tc>
                <w:tcPr>
                  <w:tcW w:w="1017" w:type="dxa"/>
                  <w:vAlign w:val="center"/>
                </w:tcPr>
                <w:p>
                  <w:pPr>
                    <w:adjustRightInd w:val="0"/>
                    <w:snapToGrid w:val="0"/>
                    <w:jc w:val="center"/>
                    <w:rPr>
                      <w:snapToGrid w:val="0"/>
                      <w:kern w:val="0"/>
                      <w:szCs w:val="21"/>
                    </w:rPr>
                  </w:pPr>
                  <w:r>
                    <w:rPr>
                      <w:snapToGrid w:val="0"/>
                      <w:kern w:val="0"/>
                      <w:szCs w:val="21"/>
                    </w:rPr>
                    <w:t>≤</w:t>
                  </w:r>
                  <w:r>
                    <w:rPr>
                      <w:rFonts w:hint="eastAsia"/>
                      <w:snapToGrid w:val="0"/>
                      <w:kern w:val="0"/>
                      <w:szCs w:val="21"/>
                    </w:rPr>
                    <w:t>20.0</w:t>
                  </w:r>
                </w:p>
              </w:tc>
              <w:tc>
                <w:tcPr>
                  <w:tcW w:w="3007" w:type="dxa"/>
                  <w:vAlign w:val="center"/>
                </w:tcPr>
                <w:p>
                  <w:pPr>
                    <w:adjustRightInd w:val="0"/>
                    <w:snapToGrid w:val="0"/>
                    <w:jc w:val="center"/>
                    <w:rPr>
                      <w:snapToGrid w:val="0"/>
                      <w:kern w:val="0"/>
                      <w:szCs w:val="21"/>
                    </w:rPr>
                  </w:pPr>
                  <w:r>
                    <w:rPr>
                      <w:rFonts w:hint="eastAsia"/>
                      <w:spacing w:val="-2"/>
                      <w:szCs w:val="21"/>
                    </w:rPr>
                    <w:t>铬（六价）</w:t>
                  </w:r>
                </w:p>
              </w:tc>
              <w:tc>
                <w:tcPr>
                  <w:tcW w:w="957" w:type="dxa"/>
                  <w:vAlign w:val="center"/>
                </w:tcPr>
                <w:p>
                  <w:pPr>
                    <w:adjustRightInd w:val="0"/>
                    <w:snapToGrid w:val="0"/>
                    <w:jc w:val="center"/>
                    <w:rPr>
                      <w:snapToGrid w:val="0"/>
                      <w:kern w:val="0"/>
                      <w:szCs w:val="21"/>
                    </w:rPr>
                  </w:pPr>
                  <w:r>
                    <w:rPr>
                      <w:snapToGrid w:val="0"/>
                      <w:kern w:val="0"/>
                      <w:szCs w:val="21"/>
                    </w:rPr>
                    <w:t>≤0.</w:t>
                  </w:r>
                  <w:r>
                    <w:rPr>
                      <w:rFonts w:hint="eastAsia"/>
                      <w:snapToGrid w:val="0"/>
                      <w:kern w:val="0"/>
                      <w:szCs w:val="21"/>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990" w:type="dxa"/>
                  <w:vAlign w:val="center"/>
                </w:tcPr>
                <w:p>
                  <w:pPr>
                    <w:adjustRightInd w:val="0"/>
                    <w:snapToGrid w:val="0"/>
                    <w:jc w:val="center"/>
                    <w:rPr>
                      <w:snapToGrid w:val="0"/>
                      <w:kern w:val="0"/>
                      <w:szCs w:val="21"/>
                    </w:rPr>
                  </w:pPr>
                  <w:r>
                    <w:rPr>
                      <w:spacing w:val="-2"/>
                      <w:szCs w:val="21"/>
                    </w:rPr>
                    <w:t>亚硝酸盐</w:t>
                  </w:r>
                  <w:r>
                    <w:rPr>
                      <w:rFonts w:hint="eastAsia"/>
                      <w:spacing w:val="-2"/>
                      <w:szCs w:val="21"/>
                    </w:rPr>
                    <w:t>（以N计）</w:t>
                  </w:r>
                </w:p>
              </w:tc>
              <w:tc>
                <w:tcPr>
                  <w:tcW w:w="1017" w:type="dxa"/>
                  <w:vAlign w:val="center"/>
                </w:tcPr>
                <w:p>
                  <w:pPr>
                    <w:adjustRightInd w:val="0"/>
                    <w:snapToGrid w:val="0"/>
                    <w:jc w:val="center"/>
                    <w:rPr>
                      <w:snapToGrid w:val="0"/>
                      <w:kern w:val="0"/>
                      <w:szCs w:val="21"/>
                    </w:rPr>
                  </w:pPr>
                  <w:r>
                    <w:rPr>
                      <w:snapToGrid w:val="0"/>
                      <w:kern w:val="0"/>
                      <w:szCs w:val="21"/>
                    </w:rPr>
                    <w:t>≤</w:t>
                  </w:r>
                  <w:r>
                    <w:rPr>
                      <w:rFonts w:hint="eastAsia"/>
                      <w:snapToGrid w:val="0"/>
                      <w:kern w:val="0"/>
                      <w:szCs w:val="21"/>
                    </w:rPr>
                    <w:t>1.0</w:t>
                  </w:r>
                </w:p>
              </w:tc>
              <w:tc>
                <w:tcPr>
                  <w:tcW w:w="3007" w:type="dxa"/>
                  <w:vAlign w:val="center"/>
                </w:tcPr>
                <w:p>
                  <w:pPr>
                    <w:adjustRightInd w:val="0"/>
                    <w:snapToGrid w:val="0"/>
                    <w:jc w:val="center"/>
                    <w:rPr>
                      <w:snapToGrid w:val="0"/>
                      <w:kern w:val="0"/>
                      <w:szCs w:val="21"/>
                    </w:rPr>
                  </w:pPr>
                  <w:r>
                    <w:rPr>
                      <w:rFonts w:hint="eastAsia"/>
                      <w:spacing w:val="-2"/>
                      <w:szCs w:val="21"/>
                    </w:rPr>
                    <w:t>氰化物</w:t>
                  </w:r>
                </w:p>
              </w:tc>
              <w:tc>
                <w:tcPr>
                  <w:tcW w:w="957" w:type="dxa"/>
                  <w:vAlign w:val="center"/>
                </w:tcPr>
                <w:p>
                  <w:pPr>
                    <w:adjustRightInd w:val="0"/>
                    <w:snapToGrid w:val="0"/>
                    <w:jc w:val="center"/>
                    <w:rPr>
                      <w:snapToGrid w:val="0"/>
                      <w:kern w:val="0"/>
                      <w:szCs w:val="21"/>
                    </w:rPr>
                  </w:pPr>
                  <w:r>
                    <w:rPr>
                      <w:snapToGrid w:val="0"/>
                      <w:kern w:val="0"/>
                      <w:szCs w:val="21"/>
                    </w:rPr>
                    <w:t>≤0.</w:t>
                  </w:r>
                  <w:r>
                    <w:rPr>
                      <w:rFonts w:hint="eastAsia"/>
                      <w:snapToGrid w:val="0"/>
                      <w:kern w:val="0"/>
                      <w:szCs w:val="21"/>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990" w:type="dxa"/>
                  <w:vAlign w:val="center"/>
                </w:tcPr>
                <w:p>
                  <w:pPr>
                    <w:adjustRightInd w:val="0"/>
                    <w:snapToGrid w:val="0"/>
                    <w:jc w:val="center"/>
                    <w:rPr>
                      <w:snapToGrid w:val="0"/>
                      <w:kern w:val="0"/>
                      <w:szCs w:val="21"/>
                    </w:rPr>
                  </w:pPr>
                  <w:r>
                    <w:rPr>
                      <w:spacing w:val="-2"/>
                      <w:szCs w:val="21"/>
                    </w:rPr>
                    <w:t>挥发</w:t>
                  </w:r>
                  <w:r>
                    <w:rPr>
                      <w:rFonts w:hint="eastAsia"/>
                      <w:spacing w:val="-2"/>
                      <w:szCs w:val="21"/>
                    </w:rPr>
                    <w:t>性</w:t>
                  </w:r>
                  <w:r>
                    <w:rPr>
                      <w:spacing w:val="-2"/>
                      <w:szCs w:val="21"/>
                    </w:rPr>
                    <w:t>酚</w:t>
                  </w:r>
                  <w:r>
                    <w:rPr>
                      <w:rFonts w:hint="eastAsia"/>
                      <w:spacing w:val="-2"/>
                      <w:szCs w:val="21"/>
                    </w:rPr>
                    <w:t>类（以苯酚计）</w:t>
                  </w:r>
                </w:p>
              </w:tc>
              <w:tc>
                <w:tcPr>
                  <w:tcW w:w="1017" w:type="dxa"/>
                  <w:vAlign w:val="center"/>
                </w:tcPr>
                <w:p>
                  <w:pPr>
                    <w:adjustRightInd w:val="0"/>
                    <w:snapToGrid w:val="0"/>
                    <w:jc w:val="center"/>
                    <w:rPr>
                      <w:snapToGrid w:val="0"/>
                      <w:kern w:val="0"/>
                      <w:szCs w:val="21"/>
                    </w:rPr>
                  </w:pPr>
                  <w:r>
                    <w:rPr>
                      <w:snapToGrid w:val="0"/>
                      <w:kern w:val="0"/>
                      <w:szCs w:val="21"/>
                    </w:rPr>
                    <w:t>≤</w:t>
                  </w:r>
                  <w:r>
                    <w:rPr>
                      <w:rFonts w:hint="eastAsia"/>
                      <w:snapToGrid w:val="0"/>
                      <w:kern w:val="0"/>
                      <w:szCs w:val="21"/>
                    </w:rPr>
                    <w:t>0.002</w:t>
                  </w:r>
                </w:p>
              </w:tc>
              <w:tc>
                <w:tcPr>
                  <w:tcW w:w="3007" w:type="dxa"/>
                  <w:vAlign w:val="center"/>
                </w:tcPr>
                <w:p>
                  <w:pPr>
                    <w:adjustRightInd w:val="0"/>
                    <w:snapToGrid w:val="0"/>
                    <w:jc w:val="center"/>
                    <w:rPr>
                      <w:snapToGrid w:val="0"/>
                      <w:kern w:val="0"/>
                      <w:szCs w:val="21"/>
                    </w:rPr>
                  </w:pPr>
                  <w:r>
                    <w:rPr>
                      <w:rFonts w:hint="eastAsia"/>
                      <w:spacing w:val="-2"/>
                      <w:szCs w:val="21"/>
                    </w:rPr>
                    <w:t>氯化物</w:t>
                  </w:r>
                </w:p>
              </w:tc>
              <w:tc>
                <w:tcPr>
                  <w:tcW w:w="957" w:type="dxa"/>
                  <w:vAlign w:val="center"/>
                </w:tcPr>
                <w:p>
                  <w:pPr>
                    <w:adjustRightInd w:val="0"/>
                    <w:snapToGrid w:val="0"/>
                    <w:jc w:val="center"/>
                    <w:rPr>
                      <w:snapToGrid w:val="0"/>
                      <w:kern w:val="0"/>
                      <w:szCs w:val="21"/>
                    </w:rPr>
                  </w:pPr>
                  <w:r>
                    <w:rPr>
                      <w:snapToGrid w:val="0"/>
                      <w:kern w:val="0"/>
                      <w:szCs w:val="21"/>
                    </w:rPr>
                    <w:t>≤</w:t>
                  </w:r>
                  <w:r>
                    <w:rPr>
                      <w:rFonts w:hint="eastAsia"/>
                      <w:snapToGrid w:val="0"/>
                      <w:kern w:val="0"/>
                      <w:szCs w:val="21"/>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990" w:type="dxa"/>
                  <w:vAlign w:val="center"/>
                </w:tcPr>
                <w:p>
                  <w:pPr>
                    <w:adjustRightInd w:val="0"/>
                    <w:snapToGrid w:val="0"/>
                    <w:jc w:val="center"/>
                    <w:rPr>
                      <w:snapToGrid w:val="0"/>
                      <w:kern w:val="0"/>
                      <w:szCs w:val="21"/>
                    </w:rPr>
                  </w:pPr>
                  <w:r>
                    <w:rPr>
                      <w:rFonts w:hint="eastAsia"/>
                      <w:spacing w:val="-2"/>
                      <w:szCs w:val="21"/>
                    </w:rPr>
                    <w:t>硫酸盐</w:t>
                  </w:r>
                </w:p>
              </w:tc>
              <w:tc>
                <w:tcPr>
                  <w:tcW w:w="1017" w:type="dxa"/>
                  <w:vAlign w:val="center"/>
                </w:tcPr>
                <w:p>
                  <w:pPr>
                    <w:adjustRightInd w:val="0"/>
                    <w:snapToGrid w:val="0"/>
                    <w:jc w:val="center"/>
                    <w:rPr>
                      <w:snapToGrid w:val="0"/>
                      <w:kern w:val="0"/>
                      <w:szCs w:val="21"/>
                    </w:rPr>
                  </w:pPr>
                  <w:r>
                    <w:rPr>
                      <w:snapToGrid w:val="0"/>
                      <w:kern w:val="0"/>
                      <w:szCs w:val="21"/>
                    </w:rPr>
                    <w:t>≤</w:t>
                  </w:r>
                  <w:r>
                    <w:rPr>
                      <w:rFonts w:hint="eastAsia"/>
                      <w:snapToGrid w:val="0"/>
                      <w:kern w:val="0"/>
                      <w:szCs w:val="21"/>
                    </w:rPr>
                    <w:t>250</w:t>
                  </w:r>
                </w:p>
              </w:tc>
              <w:tc>
                <w:tcPr>
                  <w:tcW w:w="3007" w:type="dxa"/>
                  <w:vAlign w:val="center"/>
                </w:tcPr>
                <w:p>
                  <w:pPr>
                    <w:adjustRightInd w:val="0"/>
                    <w:snapToGrid w:val="0"/>
                    <w:jc w:val="center"/>
                    <w:rPr>
                      <w:snapToGrid w:val="0"/>
                      <w:kern w:val="0"/>
                      <w:szCs w:val="21"/>
                    </w:rPr>
                  </w:pPr>
                  <w:r>
                    <w:rPr>
                      <w:rFonts w:hint="eastAsia"/>
                      <w:snapToGrid w:val="0"/>
                      <w:kern w:val="0"/>
                      <w:szCs w:val="21"/>
                    </w:rPr>
                    <w:t>总</w:t>
                  </w:r>
                  <w:r>
                    <w:rPr>
                      <w:snapToGrid w:val="0"/>
                      <w:kern w:val="0"/>
                      <w:szCs w:val="21"/>
                    </w:rPr>
                    <w:t>大肠菌群(</w:t>
                  </w:r>
                  <w:r>
                    <w:rPr>
                      <w:rFonts w:hint="eastAsia"/>
                      <w:snapToGrid w:val="0"/>
                      <w:kern w:val="0"/>
                      <w:szCs w:val="21"/>
                    </w:rPr>
                    <w:t>MPN</w:t>
                  </w:r>
                  <w:r>
                    <w:rPr>
                      <w:rFonts w:hint="eastAsia"/>
                      <w:snapToGrid w:val="0"/>
                      <w:kern w:val="0"/>
                      <w:szCs w:val="21"/>
                      <w:vertAlign w:val="superscript"/>
                    </w:rPr>
                    <w:t>b</w:t>
                  </w:r>
                  <w:r>
                    <w:rPr>
                      <w:snapToGrid w:val="0"/>
                      <w:kern w:val="0"/>
                      <w:szCs w:val="21"/>
                    </w:rPr>
                    <w:t>/</w:t>
                  </w:r>
                  <w:r>
                    <w:rPr>
                      <w:rFonts w:hint="eastAsia"/>
                      <w:snapToGrid w:val="0"/>
                      <w:kern w:val="0"/>
                      <w:szCs w:val="21"/>
                    </w:rPr>
                    <w:t>100mL或CFU/100mL</w:t>
                  </w:r>
                  <w:r>
                    <w:rPr>
                      <w:snapToGrid w:val="0"/>
                      <w:kern w:val="0"/>
                      <w:szCs w:val="21"/>
                    </w:rPr>
                    <w:t>)</w:t>
                  </w:r>
                </w:p>
              </w:tc>
              <w:tc>
                <w:tcPr>
                  <w:tcW w:w="957" w:type="dxa"/>
                  <w:vAlign w:val="center"/>
                </w:tcPr>
                <w:p>
                  <w:pPr>
                    <w:adjustRightInd w:val="0"/>
                    <w:snapToGrid w:val="0"/>
                    <w:jc w:val="center"/>
                    <w:rPr>
                      <w:snapToGrid w:val="0"/>
                      <w:kern w:val="0"/>
                      <w:szCs w:val="21"/>
                    </w:rPr>
                  </w:pPr>
                  <w:r>
                    <w:rPr>
                      <w:snapToGrid w:val="0"/>
                      <w:kern w:val="0"/>
                      <w:szCs w:val="21"/>
                    </w:rPr>
                    <w:t>≤</w:t>
                  </w:r>
                  <w:r>
                    <w:rPr>
                      <w:rFonts w:hint="eastAsia"/>
                      <w:snapToGrid w:val="0"/>
                      <w:kern w:val="0"/>
                      <w:szCs w:val="21"/>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990" w:type="dxa"/>
                  <w:vAlign w:val="center"/>
                </w:tcPr>
                <w:p>
                  <w:pPr>
                    <w:adjustRightInd w:val="0"/>
                    <w:snapToGrid w:val="0"/>
                    <w:jc w:val="center"/>
                    <w:rPr>
                      <w:spacing w:val="-2"/>
                      <w:szCs w:val="21"/>
                    </w:rPr>
                  </w:pPr>
                  <w:r>
                    <w:rPr>
                      <w:rFonts w:hint="eastAsia"/>
                      <w:spacing w:val="-2"/>
                      <w:szCs w:val="21"/>
                    </w:rPr>
                    <w:t>铁</w:t>
                  </w:r>
                </w:p>
              </w:tc>
              <w:tc>
                <w:tcPr>
                  <w:tcW w:w="1017" w:type="dxa"/>
                  <w:vAlign w:val="center"/>
                </w:tcPr>
                <w:p>
                  <w:pPr>
                    <w:adjustRightInd w:val="0"/>
                    <w:snapToGrid w:val="0"/>
                    <w:jc w:val="center"/>
                    <w:rPr>
                      <w:snapToGrid w:val="0"/>
                      <w:kern w:val="0"/>
                      <w:szCs w:val="21"/>
                    </w:rPr>
                  </w:pPr>
                  <w:r>
                    <w:rPr>
                      <w:snapToGrid w:val="0"/>
                      <w:kern w:val="0"/>
                      <w:szCs w:val="21"/>
                    </w:rPr>
                    <w:t>≤</w:t>
                  </w:r>
                  <w:r>
                    <w:rPr>
                      <w:rFonts w:hint="eastAsia"/>
                      <w:snapToGrid w:val="0"/>
                      <w:kern w:val="0"/>
                      <w:szCs w:val="21"/>
                    </w:rPr>
                    <w:t>0.3</w:t>
                  </w:r>
                </w:p>
              </w:tc>
              <w:tc>
                <w:tcPr>
                  <w:tcW w:w="3007" w:type="dxa"/>
                  <w:vAlign w:val="center"/>
                </w:tcPr>
                <w:p>
                  <w:pPr>
                    <w:adjustRightInd w:val="0"/>
                    <w:snapToGrid w:val="0"/>
                    <w:jc w:val="center"/>
                    <w:rPr>
                      <w:snapToGrid w:val="0"/>
                      <w:kern w:val="0"/>
                      <w:szCs w:val="21"/>
                    </w:rPr>
                  </w:pPr>
                  <w:r>
                    <w:rPr>
                      <w:rFonts w:hint="eastAsia"/>
                      <w:snapToGrid w:val="0"/>
                      <w:kern w:val="0"/>
                      <w:szCs w:val="21"/>
                    </w:rPr>
                    <w:t>锰</w:t>
                  </w:r>
                </w:p>
              </w:tc>
              <w:tc>
                <w:tcPr>
                  <w:tcW w:w="957" w:type="dxa"/>
                  <w:vAlign w:val="center"/>
                </w:tcPr>
                <w:p>
                  <w:pPr>
                    <w:adjustRightInd w:val="0"/>
                    <w:snapToGrid w:val="0"/>
                    <w:jc w:val="center"/>
                    <w:rPr>
                      <w:snapToGrid w:val="0"/>
                      <w:kern w:val="0"/>
                      <w:szCs w:val="21"/>
                    </w:rPr>
                  </w:pPr>
                  <w:r>
                    <w:rPr>
                      <w:snapToGrid w:val="0"/>
                      <w:kern w:val="0"/>
                      <w:szCs w:val="21"/>
                    </w:rPr>
                    <w:t>≤</w:t>
                  </w:r>
                  <w:r>
                    <w:rPr>
                      <w:rFonts w:hint="eastAsia"/>
                      <w:snapToGrid w:val="0"/>
                      <w:kern w:val="0"/>
                      <w:szCs w:val="21"/>
                    </w:rPr>
                    <w:t>0.10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990" w:type="dxa"/>
                  <w:vAlign w:val="center"/>
                </w:tcPr>
                <w:p>
                  <w:pPr>
                    <w:adjustRightInd w:val="0"/>
                    <w:snapToGrid w:val="0"/>
                    <w:jc w:val="center"/>
                    <w:rPr>
                      <w:spacing w:val="-2"/>
                      <w:szCs w:val="21"/>
                    </w:rPr>
                  </w:pPr>
                  <w:r>
                    <w:rPr>
                      <w:rFonts w:hint="eastAsia"/>
                      <w:snapToGrid w:val="0"/>
                      <w:kern w:val="0"/>
                      <w:szCs w:val="21"/>
                    </w:rPr>
                    <w:t>细菌总数（CFU/mL）</w:t>
                  </w:r>
                </w:p>
              </w:tc>
              <w:tc>
                <w:tcPr>
                  <w:tcW w:w="1017" w:type="dxa"/>
                  <w:vAlign w:val="center"/>
                </w:tcPr>
                <w:p>
                  <w:pPr>
                    <w:adjustRightInd w:val="0"/>
                    <w:snapToGrid w:val="0"/>
                    <w:jc w:val="center"/>
                    <w:rPr>
                      <w:snapToGrid w:val="0"/>
                      <w:kern w:val="0"/>
                      <w:szCs w:val="21"/>
                    </w:rPr>
                  </w:pPr>
                  <w:r>
                    <w:rPr>
                      <w:snapToGrid w:val="0"/>
                      <w:kern w:val="0"/>
                      <w:szCs w:val="21"/>
                    </w:rPr>
                    <w:t>≤</w:t>
                  </w:r>
                  <w:r>
                    <w:rPr>
                      <w:rFonts w:hint="eastAsia"/>
                      <w:snapToGrid w:val="0"/>
                      <w:kern w:val="0"/>
                      <w:szCs w:val="21"/>
                    </w:rPr>
                    <w:t>100</w:t>
                  </w:r>
                </w:p>
              </w:tc>
              <w:tc>
                <w:tcPr>
                  <w:tcW w:w="3007" w:type="dxa"/>
                  <w:vAlign w:val="center"/>
                </w:tcPr>
                <w:p>
                  <w:pPr>
                    <w:adjustRightInd w:val="0"/>
                    <w:snapToGrid w:val="0"/>
                    <w:jc w:val="center"/>
                    <w:rPr>
                      <w:snapToGrid w:val="0"/>
                      <w:kern w:val="0"/>
                      <w:szCs w:val="21"/>
                    </w:rPr>
                  </w:pPr>
                  <w:r>
                    <w:rPr>
                      <w:rFonts w:hint="eastAsia"/>
                      <w:snapToGrid w:val="0"/>
                      <w:kern w:val="0"/>
                      <w:szCs w:val="21"/>
                    </w:rPr>
                    <w:t>苯</w:t>
                  </w:r>
                </w:p>
              </w:tc>
              <w:tc>
                <w:tcPr>
                  <w:tcW w:w="957" w:type="dxa"/>
                  <w:vAlign w:val="center"/>
                </w:tcPr>
                <w:p>
                  <w:pPr>
                    <w:adjustRightInd w:val="0"/>
                    <w:snapToGrid w:val="0"/>
                    <w:jc w:val="center"/>
                    <w:rPr>
                      <w:snapToGrid w:val="0"/>
                      <w:kern w:val="0"/>
                      <w:szCs w:val="21"/>
                    </w:rPr>
                  </w:pPr>
                  <w:r>
                    <w:rPr>
                      <w:snapToGrid w:val="0"/>
                      <w:kern w:val="0"/>
                      <w:szCs w:val="21"/>
                    </w:rPr>
                    <w:t>≤</w:t>
                  </w:r>
                  <w:r>
                    <w:rPr>
                      <w:rFonts w:hint="eastAsia"/>
                      <w:snapToGrid w:val="0"/>
                      <w:kern w:val="0"/>
                      <w:szCs w:val="21"/>
                    </w:rPr>
                    <w:t>10.0</w:t>
                  </w:r>
                </w:p>
              </w:tc>
            </w:tr>
          </w:tbl>
          <w:p>
            <w:pPr>
              <w:spacing w:line="360" w:lineRule="auto"/>
              <w:ind w:firstLine="475" w:firstLineChars="198"/>
              <w:rPr>
                <w:sz w:val="24"/>
              </w:rPr>
            </w:pPr>
            <w:r>
              <w:rPr>
                <w:rFonts w:hint="eastAsia"/>
                <w:sz w:val="24"/>
              </w:rPr>
              <w:t>4.声环境质量标准</w:t>
            </w:r>
          </w:p>
          <w:p>
            <w:pPr>
              <w:spacing w:line="360" w:lineRule="auto"/>
              <w:ind w:firstLine="475" w:firstLineChars="198"/>
              <w:rPr>
                <w:sz w:val="24"/>
              </w:rPr>
            </w:pPr>
            <w:r>
              <w:rPr>
                <w:sz w:val="24"/>
              </w:rPr>
              <w:t>根据《声环境质量标准》（GB3096-2008）中声环境功能区分类要求，确定本项目所在区域声环境功能区划为2类</w:t>
            </w:r>
            <w:r>
              <w:rPr>
                <w:rFonts w:hint="eastAsia"/>
                <w:sz w:val="24"/>
              </w:rPr>
              <w:t>和4a类</w:t>
            </w:r>
            <w:r>
              <w:rPr>
                <w:sz w:val="24"/>
              </w:rPr>
              <w:t>功能区，执行</w:t>
            </w:r>
            <w:r>
              <w:rPr>
                <w:rFonts w:hint="eastAsia"/>
                <w:sz w:val="24"/>
              </w:rPr>
              <w:t>《</w:t>
            </w:r>
            <w:r>
              <w:rPr>
                <w:sz w:val="24"/>
              </w:rPr>
              <w:t>声环境质量标准</w:t>
            </w:r>
            <w:r>
              <w:rPr>
                <w:rFonts w:hint="eastAsia"/>
                <w:sz w:val="24"/>
              </w:rPr>
              <w:t>》</w:t>
            </w:r>
            <w:r>
              <w:rPr>
                <w:sz w:val="24"/>
              </w:rPr>
              <w:t>（GB3096-2008）2类</w:t>
            </w:r>
            <w:r>
              <w:rPr>
                <w:rFonts w:hint="eastAsia"/>
                <w:sz w:val="24"/>
              </w:rPr>
              <w:t>和4a类</w:t>
            </w:r>
            <w:r>
              <w:rPr>
                <w:sz w:val="24"/>
              </w:rPr>
              <w:t>标准。</w:t>
            </w:r>
          </w:p>
          <w:p>
            <w:pPr>
              <w:autoSpaceDE w:val="0"/>
              <w:autoSpaceDN w:val="0"/>
              <w:adjustRightInd w:val="0"/>
              <w:spacing w:line="440" w:lineRule="exact"/>
              <w:jc w:val="center"/>
              <w:rPr>
                <w:bCs/>
                <w:szCs w:val="21"/>
              </w:rPr>
            </w:pPr>
            <w:r>
              <w:rPr>
                <w:rFonts w:hint="eastAsia"/>
                <w:b/>
                <w:bCs/>
                <w:szCs w:val="21"/>
              </w:rPr>
              <w:t>表24-5</w:t>
            </w:r>
            <w:r>
              <w:rPr>
                <w:b/>
                <w:bCs/>
                <w:szCs w:val="21"/>
              </w:rPr>
              <w:t xml:space="preserve">    </w:t>
            </w:r>
            <w:r>
              <w:rPr>
                <w:rFonts w:hint="eastAsia"/>
                <w:b/>
                <w:bCs/>
                <w:szCs w:val="21"/>
              </w:rPr>
              <w:t>《声环境质量标准》</w:t>
            </w:r>
            <w:r>
              <w:rPr>
                <w:b/>
                <w:bCs/>
                <w:szCs w:val="21"/>
              </w:rPr>
              <w:t>(GB3096-2008)</w:t>
            </w:r>
            <w:r>
              <w:rPr>
                <w:rFonts w:hint="eastAsia"/>
                <w:b/>
                <w:bCs/>
                <w:szCs w:val="21"/>
              </w:rPr>
              <w:t xml:space="preserve"> 2类和4a类</w:t>
            </w:r>
            <w:r>
              <w:rPr>
                <w:b/>
                <w:bCs/>
                <w:szCs w:val="21"/>
              </w:rPr>
              <w:t xml:space="preserve">    </w:t>
            </w:r>
            <w:r>
              <w:rPr>
                <w:bCs/>
                <w:szCs w:val="21"/>
              </w:rPr>
              <w:t xml:space="preserve"> </w:t>
            </w:r>
            <w:r>
              <w:rPr>
                <w:rFonts w:hint="eastAsia"/>
                <w:bCs/>
                <w:szCs w:val="21"/>
              </w:rPr>
              <w:t>单位：</w:t>
            </w:r>
            <w:r>
              <w:rPr>
                <w:bCs/>
                <w:szCs w:val="21"/>
              </w:rPr>
              <w:t>dB(A)</w:t>
            </w:r>
          </w:p>
          <w:tbl>
            <w:tblPr>
              <w:tblStyle w:val="35"/>
              <w:tblW w:w="797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990"/>
              <w:gridCol w:w="1991"/>
              <w:gridCol w:w="199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990" w:type="dxa"/>
                  <w:tcBorders>
                    <w:tl2br w:val="single" w:color="auto" w:sz="12" w:space="0"/>
                  </w:tcBorders>
                  <w:vAlign w:val="center"/>
                </w:tcPr>
                <w:p>
                  <w:pPr>
                    <w:pStyle w:val="10"/>
                    <w:rPr>
                      <w:b/>
                      <w:color w:val="auto"/>
                      <w:sz w:val="21"/>
                      <w:szCs w:val="21"/>
                    </w:rPr>
                  </w:pPr>
                  <w:r>
                    <w:rPr>
                      <w:b/>
                      <w:color w:val="auto"/>
                      <w:sz w:val="21"/>
                      <w:szCs w:val="21"/>
                    </w:rPr>
                    <w:t xml:space="preserve">      </w:t>
                  </w:r>
                  <w:r>
                    <w:rPr>
                      <w:rFonts w:hint="eastAsia"/>
                      <w:b/>
                      <w:color w:val="auto"/>
                      <w:sz w:val="21"/>
                      <w:szCs w:val="21"/>
                    </w:rPr>
                    <w:t>时段</w:t>
                  </w:r>
                </w:p>
                <w:p>
                  <w:pPr>
                    <w:pStyle w:val="10"/>
                    <w:jc w:val="both"/>
                    <w:rPr>
                      <w:b/>
                      <w:color w:val="auto"/>
                      <w:sz w:val="21"/>
                      <w:szCs w:val="21"/>
                    </w:rPr>
                  </w:pPr>
                  <w:r>
                    <w:rPr>
                      <w:rFonts w:hint="eastAsia"/>
                      <w:b/>
                      <w:color w:val="auto"/>
                      <w:sz w:val="21"/>
                      <w:szCs w:val="21"/>
                    </w:rPr>
                    <w:t>声环境功能类别</w:t>
                  </w:r>
                </w:p>
              </w:tc>
              <w:tc>
                <w:tcPr>
                  <w:tcW w:w="1991" w:type="dxa"/>
                  <w:vAlign w:val="center"/>
                </w:tcPr>
                <w:p>
                  <w:pPr>
                    <w:pStyle w:val="10"/>
                    <w:rPr>
                      <w:b/>
                      <w:color w:val="auto"/>
                      <w:sz w:val="21"/>
                      <w:szCs w:val="21"/>
                    </w:rPr>
                  </w:pPr>
                  <w:r>
                    <w:rPr>
                      <w:rFonts w:hint="eastAsia"/>
                      <w:b/>
                      <w:color w:val="auto"/>
                      <w:sz w:val="21"/>
                      <w:szCs w:val="21"/>
                    </w:rPr>
                    <w:t>昼间</w:t>
                  </w:r>
                </w:p>
              </w:tc>
              <w:tc>
                <w:tcPr>
                  <w:tcW w:w="1990" w:type="dxa"/>
                  <w:vAlign w:val="center"/>
                </w:tcPr>
                <w:p>
                  <w:pPr>
                    <w:pStyle w:val="10"/>
                    <w:rPr>
                      <w:b/>
                      <w:color w:val="auto"/>
                      <w:sz w:val="21"/>
                      <w:szCs w:val="21"/>
                    </w:rPr>
                  </w:pPr>
                  <w:r>
                    <w:rPr>
                      <w:rFonts w:hint="eastAsia"/>
                      <w:b/>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4" w:hRule="atLeast"/>
                <w:jc w:val="center"/>
              </w:trPr>
              <w:tc>
                <w:tcPr>
                  <w:tcW w:w="3990" w:type="dxa"/>
                  <w:vAlign w:val="center"/>
                </w:tcPr>
                <w:p>
                  <w:pPr>
                    <w:pStyle w:val="10"/>
                    <w:rPr>
                      <w:color w:val="auto"/>
                      <w:sz w:val="21"/>
                      <w:szCs w:val="21"/>
                    </w:rPr>
                  </w:pPr>
                  <w:r>
                    <w:rPr>
                      <w:rFonts w:hint="eastAsia"/>
                      <w:color w:val="auto"/>
                      <w:sz w:val="21"/>
                      <w:szCs w:val="21"/>
                    </w:rPr>
                    <w:t>2类</w:t>
                  </w:r>
                </w:p>
              </w:tc>
              <w:tc>
                <w:tcPr>
                  <w:tcW w:w="1991" w:type="dxa"/>
                  <w:vAlign w:val="center"/>
                </w:tcPr>
                <w:p>
                  <w:pPr>
                    <w:pStyle w:val="10"/>
                    <w:rPr>
                      <w:color w:val="auto"/>
                      <w:sz w:val="21"/>
                      <w:szCs w:val="21"/>
                    </w:rPr>
                  </w:pPr>
                  <w:r>
                    <w:rPr>
                      <w:rFonts w:hint="eastAsia"/>
                      <w:color w:val="auto"/>
                      <w:sz w:val="21"/>
                      <w:szCs w:val="21"/>
                    </w:rPr>
                    <w:t>60</w:t>
                  </w:r>
                </w:p>
              </w:tc>
              <w:tc>
                <w:tcPr>
                  <w:tcW w:w="1990" w:type="dxa"/>
                  <w:vAlign w:val="center"/>
                </w:tcPr>
                <w:p>
                  <w:pPr>
                    <w:pStyle w:val="10"/>
                    <w:rPr>
                      <w:color w:val="auto"/>
                      <w:sz w:val="21"/>
                      <w:szCs w:val="21"/>
                    </w:rPr>
                  </w:pPr>
                  <w:r>
                    <w:rPr>
                      <w:rFonts w:hint="eastAsia"/>
                      <w:color w:val="auto"/>
                      <w:sz w:val="21"/>
                      <w:szCs w:val="21"/>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4" w:hRule="atLeast"/>
                <w:jc w:val="center"/>
              </w:trPr>
              <w:tc>
                <w:tcPr>
                  <w:tcW w:w="3990" w:type="dxa"/>
                  <w:vAlign w:val="center"/>
                </w:tcPr>
                <w:p>
                  <w:pPr>
                    <w:pStyle w:val="10"/>
                    <w:rPr>
                      <w:color w:val="auto"/>
                      <w:sz w:val="21"/>
                      <w:szCs w:val="21"/>
                    </w:rPr>
                  </w:pPr>
                  <w:r>
                    <w:rPr>
                      <w:rFonts w:hint="eastAsia"/>
                      <w:color w:val="auto"/>
                      <w:sz w:val="21"/>
                      <w:szCs w:val="21"/>
                    </w:rPr>
                    <w:t>4a类（街道两侧）</w:t>
                  </w:r>
                </w:p>
              </w:tc>
              <w:tc>
                <w:tcPr>
                  <w:tcW w:w="1991" w:type="dxa"/>
                  <w:vAlign w:val="center"/>
                </w:tcPr>
                <w:p>
                  <w:pPr>
                    <w:pStyle w:val="10"/>
                    <w:rPr>
                      <w:color w:val="auto"/>
                      <w:sz w:val="21"/>
                      <w:szCs w:val="21"/>
                    </w:rPr>
                  </w:pPr>
                  <w:r>
                    <w:rPr>
                      <w:rFonts w:hint="eastAsia"/>
                      <w:color w:val="auto"/>
                      <w:sz w:val="21"/>
                      <w:szCs w:val="21"/>
                    </w:rPr>
                    <w:t>70</w:t>
                  </w:r>
                </w:p>
              </w:tc>
              <w:tc>
                <w:tcPr>
                  <w:tcW w:w="1990" w:type="dxa"/>
                  <w:vAlign w:val="center"/>
                </w:tcPr>
                <w:p>
                  <w:pPr>
                    <w:pStyle w:val="10"/>
                    <w:rPr>
                      <w:color w:val="auto"/>
                      <w:sz w:val="21"/>
                      <w:szCs w:val="21"/>
                    </w:rPr>
                  </w:pPr>
                  <w:r>
                    <w:rPr>
                      <w:rFonts w:hint="eastAsia"/>
                      <w:color w:val="auto"/>
                      <w:sz w:val="21"/>
                      <w:szCs w:val="21"/>
                    </w:rPr>
                    <w:t>55</w:t>
                  </w:r>
                </w:p>
              </w:tc>
            </w:tr>
          </w:tbl>
          <w:p>
            <w:pPr>
              <w:spacing w:line="360" w:lineRule="auto"/>
              <w:ind w:firstLine="480" w:firstLineChars="200"/>
              <w:rPr>
                <w:sz w:val="24"/>
                <w:szCs w:val="24"/>
              </w:rPr>
            </w:pPr>
            <w:r>
              <w:rPr>
                <w:sz w:val="24"/>
                <w:szCs w:val="24"/>
              </w:rPr>
              <w:t xml:space="preserve"> </w:t>
            </w:r>
          </w:p>
          <w:p>
            <w:pPr>
              <w:spacing w:line="360" w:lineRule="auto"/>
              <w:ind w:firstLine="411" w:firstLineChars="196"/>
              <w:rPr>
                <w:szCs w:val="21"/>
              </w:rPr>
            </w:pPr>
          </w:p>
          <w:p>
            <w:pPr>
              <w:spacing w:line="360" w:lineRule="auto"/>
              <w:ind w:firstLine="411" w:firstLineChars="196"/>
              <w:rPr>
                <w:szCs w:val="21"/>
              </w:rPr>
            </w:pPr>
          </w:p>
          <w:p>
            <w:pPr>
              <w:adjustRightInd w:val="0"/>
              <w:snapToGrid w:val="0"/>
              <w:spacing w:line="360" w:lineRule="auto"/>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39" w:hRule="atLeast"/>
          <w:jc w:val="center"/>
        </w:trPr>
        <w:tc>
          <w:tcPr>
            <w:tcW w:w="930" w:type="dxa"/>
            <w:vAlign w:val="center"/>
          </w:tcPr>
          <w:p>
            <w:pPr>
              <w:spacing w:line="276" w:lineRule="auto"/>
              <w:jc w:val="center"/>
              <w:rPr>
                <w:kern w:val="21"/>
                <w:sz w:val="28"/>
              </w:rPr>
            </w:pPr>
            <w:r>
              <w:rPr>
                <w:rFonts w:hint="eastAsia"/>
                <w:kern w:val="21"/>
                <w:sz w:val="28"/>
              </w:rPr>
              <w:t>污</w:t>
            </w:r>
          </w:p>
          <w:p>
            <w:pPr>
              <w:spacing w:line="276" w:lineRule="auto"/>
              <w:jc w:val="center"/>
              <w:rPr>
                <w:kern w:val="21"/>
                <w:sz w:val="28"/>
              </w:rPr>
            </w:pPr>
            <w:r>
              <w:rPr>
                <w:rFonts w:hint="eastAsia"/>
                <w:kern w:val="21"/>
                <w:sz w:val="28"/>
              </w:rPr>
              <w:t>染</w:t>
            </w:r>
          </w:p>
          <w:p>
            <w:pPr>
              <w:spacing w:line="276" w:lineRule="auto"/>
              <w:jc w:val="center"/>
              <w:rPr>
                <w:kern w:val="21"/>
                <w:sz w:val="28"/>
              </w:rPr>
            </w:pPr>
            <w:r>
              <w:rPr>
                <w:rFonts w:hint="eastAsia"/>
                <w:kern w:val="21"/>
                <w:sz w:val="28"/>
              </w:rPr>
              <w:t>物</w:t>
            </w:r>
          </w:p>
          <w:p>
            <w:pPr>
              <w:spacing w:line="276" w:lineRule="auto"/>
              <w:jc w:val="center"/>
              <w:rPr>
                <w:kern w:val="21"/>
                <w:sz w:val="28"/>
              </w:rPr>
            </w:pPr>
            <w:r>
              <w:rPr>
                <w:rFonts w:hint="eastAsia"/>
                <w:kern w:val="21"/>
                <w:sz w:val="28"/>
              </w:rPr>
              <w:t>排</w:t>
            </w:r>
          </w:p>
          <w:p>
            <w:pPr>
              <w:spacing w:line="276" w:lineRule="auto"/>
              <w:jc w:val="center"/>
              <w:rPr>
                <w:kern w:val="21"/>
                <w:sz w:val="28"/>
              </w:rPr>
            </w:pPr>
            <w:r>
              <w:rPr>
                <w:rFonts w:hint="eastAsia"/>
                <w:kern w:val="21"/>
                <w:sz w:val="28"/>
              </w:rPr>
              <w:t>放</w:t>
            </w:r>
          </w:p>
          <w:p>
            <w:pPr>
              <w:spacing w:line="276" w:lineRule="auto"/>
              <w:jc w:val="center"/>
              <w:rPr>
                <w:kern w:val="21"/>
                <w:sz w:val="28"/>
              </w:rPr>
            </w:pPr>
            <w:r>
              <w:rPr>
                <w:rFonts w:hint="eastAsia"/>
                <w:kern w:val="21"/>
                <w:sz w:val="28"/>
              </w:rPr>
              <w:t>标</w:t>
            </w:r>
          </w:p>
          <w:p>
            <w:pPr>
              <w:spacing w:line="276" w:lineRule="auto"/>
              <w:jc w:val="center"/>
              <w:rPr>
                <w:b/>
                <w:bCs/>
                <w:sz w:val="24"/>
              </w:rPr>
            </w:pPr>
            <w:r>
              <w:rPr>
                <w:rFonts w:hint="eastAsia"/>
                <w:kern w:val="21"/>
                <w:sz w:val="28"/>
              </w:rPr>
              <w:t>准</w:t>
            </w:r>
          </w:p>
        </w:tc>
        <w:tc>
          <w:tcPr>
            <w:tcW w:w="8187" w:type="dxa"/>
            <w:vAlign w:val="center"/>
          </w:tcPr>
          <w:p>
            <w:pPr>
              <w:autoSpaceDE w:val="0"/>
              <w:autoSpaceDN w:val="0"/>
              <w:adjustRightInd w:val="0"/>
              <w:spacing w:line="360" w:lineRule="auto"/>
              <w:ind w:firstLine="480" w:firstLineChars="200"/>
              <w:rPr>
                <w:bCs/>
                <w:sz w:val="24"/>
                <w:szCs w:val="28"/>
              </w:rPr>
            </w:pPr>
            <w:r>
              <w:rPr>
                <w:bCs/>
                <w:sz w:val="24"/>
                <w:szCs w:val="28"/>
              </w:rPr>
              <w:t>1. 废气污染物排放标准</w:t>
            </w:r>
          </w:p>
          <w:p>
            <w:pPr>
              <w:autoSpaceDE w:val="0"/>
              <w:autoSpaceDN w:val="0"/>
              <w:adjustRightInd w:val="0"/>
              <w:spacing w:line="360" w:lineRule="auto"/>
              <w:ind w:firstLine="480" w:firstLineChars="200"/>
              <w:rPr>
                <w:snapToGrid w:val="0"/>
                <w:kern w:val="0"/>
                <w:sz w:val="24"/>
              </w:rPr>
            </w:pPr>
            <w:r>
              <w:rPr>
                <w:rFonts w:hint="eastAsia"/>
                <w:bCs/>
                <w:sz w:val="24"/>
                <w:szCs w:val="28"/>
              </w:rPr>
              <w:t>污水站废气</w:t>
            </w:r>
            <w:r>
              <w:rPr>
                <w:bCs/>
                <w:sz w:val="24"/>
                <w:szCs w:val="28"/>
              </w:rPr>
              <w:t>执行《城镇污水处理厂污染物排放标准》（GB18918-2002）中表4排放标准</w:t>
            </w:r>
            <w:r>
              <w:rPr>
                <w:rFonts w:hint="eastAsia"/>
                <w:snapToGrid w:val="0"/>
                <w:kern w:val="0"/>
                <w:sz w:val="24"/>
              </w:rPr>
              <w:t>，道路扬尘排放执行</w:t>
            </w:r>
            <w:r>
              <w:rPr>
                <w:snapToGrid w:val="0"/>
                <w:kern w:val="0"/>
                <w:sz w:val="24"/>
              </w:rPr>
              <w:t>《大气污染物综合排放标准》（GB16297-1996）</w:t>
            </w:r>
            <w:r>
              <w:rPr>
                <w:rFonts w:hint="eastAsia"/>
                <w:snapToGrid w:val="0"/>
                <w:kern w:val="0"/>
                <w:sz w:val="24"/>
              </w:rPr>
              <w:t>表2二级</w:t>
            </w:r>
            <w:r>
              <w:rPr>
                <w:snapToGrid w:val="0"/>
                <w:kern w:val="0"/>
                <w:sz w:val="24"/>
              </w:rPr>
              <w:t>排放标准</w:t>
            </w:r>
            <w:r>
              <w:rPr>
                <w:rFonts w:hint="eastAsia"/>
                <w:snapToGrid w:val="0"/>
                <w:kern w:val="0"/>
                <w:sz w:val="24"/>
              </w:rPr>
              <w:t>。</w:t>
            </w:r>
          </w:p>
          <w:p>
            <w:pPr>
              <w:adjustRightInd w:val="0"/>
              <w:snapToGrid w:val="0"/>
              <w:spacing w:beforeLines="50" w:line="360" w:lineRule="auto"/>
              <w:ind w:firstLine="422" w:firstLineChars="200"/>
              <w:jc w:val="center"/>
              <w:rPr>
                <w:b/>
                <w:snapToGrid w:val="0"/>
                <w:kern w:val="0"/>
                <w:szCs w:val="21"/>
              </w:rPr>
            </w:pPr>
            <w:r>
              <w:rPr>
                <w:rFonts w:hint="eastAsia"/>
                <w:b/>
                <w:snapToGrid w:val="0"/>
                <w:kern w:val="0"/>
                <w:szCs w:val="21"/>
              </w:rPr>
              <w:t xml:space="preserve">表25-1  </w:t>
            </w:r>
            <w:r>
              <w:rPr>
                <w:b/>
                <w:bCs/>
                <w:snapToGrid w:val="0"/>
                <w:kern w:val="0"/>
                <w:szCs w:val="21"/>
              </w:rPr>
              <w:t>《城镇污水处理厂污染物排放标准》（GB18918-2002）表4</w:t>
            </w:r>
          </w:p>
          <w:tbl>
            <w:tblPr>
              <w:tblStyle w:val="35"/>
              <w:tblW w:w="797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27"/>
              <w:gridCol w:w="1747"/>
              <w:gridCol w:w="784"/>
              <w:gridCol w:w="42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6" w:hRule="atLeast"/>
              </w:trPr>
              <w:tc>
                <w:tcPr>
                  <w:tcW w:w="1227" w:type="dxa"/>
                  <w:vAlign w:val="center"/>
                </w:tcPr>
                <w:p>
                  <w:pPr>
                    <w:widowControl/>
                    <w:jc w:val="center"/>
                    <w:rPr>
                      <w:b/>
                      <w:kern w:val="0"/>
                      <w:szCs w:val="21"/>
                    </w:rPr>
                  </w:pPr>
                  <w:r>
                    <w:rPr>
                      <w:b/>
                      <w:kern w:val="0"/>
                      <w:szCs w:val="21"/>
                    </w:rPr>
                    <w:t xml:space="preserve">序号 </w:t>
                  </w:r>
                </w:p>
              </w:tc>
              <w:tc>
                <w:tcPr>
                  <w:tcW w:w="1747" w:type="dxa"/>
                  <w:vAlign w:val="center"/>
                </w:tcPr>
                <w:p>
                  <w:pPr>
                    <w:widowControl/>
                    <w:jc w:val="center"/>
                    <w:rPr>
                      <w:b/>
                      <w:kern w:val="0"/>
                      <w:szCs w:val="21"/>
                    </w:rPr>
                  </w:pPr>
                  <w:r>
                    <w:rPr>
                      <w:b/>
                      <w:kern w:val="0"/>
                      <w:szCs w:val="21"/>
                    </w:rPr>
                    <w:t>控制项目</w:t>
                  </w:r>
                </w:p>
              </w:tc>
              <w:tc>
                <w:tcPr>
                  <w:tcW w:w="784" w:type="dxa"/>
                  <w:vAlign w:val="center"/>
                </w:tcPr>
                <w:p>
                  <w:pPr>
                    <w:widowControl/>
                    <w:jc w:val="center"/>
                    <w:rPr>
                      <w:b/>
                      <w:kern w:val="0"/>
                      <w:szCs w:val="21"/>
                    </w:rPr>
                  </w:pPr>
                  <w:r>
                    <w:rPr>
                      <w:b/>
                      <w:kern w:val="0"/>
                      <w:szCs w:val="21"/>
                    </w:rPr>
                    <w:t>单位</w:t>
                  </w:r>
                </w:p>
              </w:tc>
              <w:tc>
                <w:tcPr>
                  <w:tcW w:w="4213" w:type="dxa"/>
                  <w:vAlign w:val="center"/>
                </w:tcPr>
                <w:p>
                  <w:pPr>
                    <w:widowControl/>
                    <w:jc w:val="center"/>
                    <w:rPr>
                      <w:b/>
                      <w:kern w:val="0"/>
                      <w:szCs w:val="21"/>
                    </w:rPr>
                  </w:pPr>
                  <w:r>
                    <w:rPr>
                      <w:b/>
                      <w:kern w:val="0"/>
                      <w:szCs w:val="21"/>
                    </w:rPr>
                    <w:t>二级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8" w:hRule="atLeast"/>
              </w:trPr>
              <w:tc>
                <w:tcPr>
                  <w:tcW w:w="1227" w:type="dxa"/>
                  <w:vAlign w:val="center"/>
                </w:tcPr>
                <w:p>
                  <w:pPr>
                    <w:widowControl/>
                    <w:jc w:val="center"/>
                    <w:rPr>
                      <w:kern w:val="0"/>
                      <w:szCs w:val="21"/>
                    </w:rPr>
                  </w:pPr>
                  <w:r>
                    <w:rPr>
                      <w:kern w:val="0"/>
                      <w:szCs w:val="21"/>
                    </w:rPr>
                    <w:t>1</w:t>
                  </w:r>
                </w:p>
              </w:tc>
              <w:tc>
                <w:tcPr>
                  <w:tcW w:w="1747" w:type="dxa"/>
                  <w:vAlign w:val="center"/>
                </w:tcPr>
                <w:p>
                  <w:pPr>
                    <w:widowControl/>
                    <w:jc w:val="center"/>
                    <w:rPr>
                      <w:kern w:val="0"/>
                      <w:szCs w:val="21"/>
                    </w:rPr>
                  </w:pPr>
                  <w:r>
                    <w:rPr>
                      <w:kern w:val="0"/>
                      <w:szCs w:val="21"/>
                    </w:rPr>
                    <w:t>氨</w:t>
                  </w:r>
                </w:p>
              </w:tc>
              <w:tc>
                <w:tcPr>
                  <w:tcW w:w="784" w:type="dxa"/>
                  <w:vAlign w:val="center"/>
                </w:tcPr>
                <w:p>
                  <w:pPr>
                    <w:widowControl/>
                    <w:jc w:val="center"/>
                    <w:rPr>
                      <w:kern w:val="0"/>
                      <w:szCs w:val="21"/>
                    </w:rPr>
                  </w:pPr>
                  <w:r>
                    <w:rPr>
                      <w:kern w:val="0"/>
                      <w:szCs w:val="21"/>
                    </w:rPr>
                    <w:t>mg/m</w:t>
                  </w:r>
                  <w:r>
                    <w:rPr>
                      <w:kern w:val="0"/>
                      <w:szCs w:val="21"/>
                      <w:vertAlign w:val="superscript"/>
                    </w:rPr>
                    <w:t>3</w:t>
                  </w:r>
                </w:p>
              </w:tc>
              <w:tc>
                <w:tcPr>
                  <w:tcW w:w="4213" w:type="dxa"/>
                  <w:vAlign w:val="center"/>
                </w:tcPr>
                <w:p>
                  <w:pPr>
                    <w:widowControl/>
                    <w:jc w:val="center"/>
                    <w:rPr>
                      <w:kern w:val="0"/>
                      <w:szCs w:val="21"/>
                    </w:rPr>
                  </w:pPr>
                  <w:r>
                    <w:rPr>
                      <w:kern w:val="0"/>
                      <w:szCs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3" w:hRule="atLeast"/>
              </w:trPr>
              <w:tc>
                <w:tcPr>
                  <w:tcW w:w="1227" w:type="dxa"/>
                  <w:vAlign w:val="center"/>
                </w:tcPr>
                <w:p>
                  <w:pPr>
                    <w:widowControl/>
                    <w:jc w:val="center"/>
                    <w:rPr>
                      <w:kern w:val="0"/>
                      <w:szCs w:val="21"/>
                    </w:rPr>
                  </w:pPr>
                  <w:r>
                    <w:rPr>
                      <w:kern w:val="0"/>
                      <w:szCs w:val="21"/>
                    </w:rPr>
                    <w:t>2</w:t>
                  </w:r>
                </w:p>
              </w:tc>
              <w:tc>
                <w:tcPr>
                  <w:tcW w:w="1747" w:type="dxa"/>
                  <w:vAlign w:val="center"/>
                </w:tcPr>
                <w:p>
                  <w:pPr>
                    <w:widowControl/>
                    <w:jc w:val="center"/>
                    <w:rPr>
                      <w:kern w:val="0"/>
                      <w:szCs w:val="21"/>
                    </w:rPr>
                  </w:pPr>
                  <w:r>
                    <w:rPr>
                      <w:kern w:val="0"/>
                      <w:szCs w:val="21"/>
                    </w:rPr>
                    <w:t>硫化氢</w:t>
                  </w:r>
                </w:p>
              </w:tc>
              <w:tc>
                <w:tcPr>
                  <w:tcW w:w="784" w:type="dxa"/>
                  <w:vAlign w:val="center"/>
                </w:tcPr>
                <w:p>
                  <w:pPr>
                    <w:widowControl/>
                    <w:jc w:val="center"/>
                    <w:rPr>
                      <w:kern w:val="0"/>
                      <w:szCs w:val="21"/>
                    </w:rPr>
                  </w:pPr>
                  <w:r>
                    <w:rPr>
                      <w:kern w:val="0"/>
                      <w:szCs w:val="21"/>
                    </w:rPr>
                    <w:t>mg/m</w:t>
                  </w:r>
                  <w:r>
                    <w:rPr>
                      <w:kern w:val="0"/>
                      <w:szCs w:val="21"/>
                      <w:vertAlign w:val="superscript"/>
                    </w:rPr>
                    <w:t>3</w:t>
                  </w:r>
                </w:p>
              </w:tc>
              <w:tc>
                <w:tcPr>
                  <w:tcW w:w="4213" w:type="dxa"/>
                  <w:vAlign w:val="center"/>
                </w:tcPr>
                <w:p>
                  <w:pPr>
                    <w:widowControl/>
                    <w:jc w:val="center"/>
                    <w:rPr>
                      <w:kern w:val="0"/>
                      <w:szCs w:val="21"/>
                    </w:rPr>
                  </w:pPr>
                  <w:r>
                    <w:rPr>
                      <w:kern w:val="0"/>
                      <w:szCs w:val="21"/>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8" w:hRule="atLeast"/>
              </w:trPr>
              <w:tc>
                <w:tcPr>
                  <w:tcW w:w="1227" w:type="dxa"/>
                  <w:vAlign w:val="center"/>
                </w:tcPr>
                <w:p>
                  <w:pPr>
                    <w:widowControl/>
                    <w:jc w:val="center"/>
                    <w:rPr>
                      <w:kern w:val="0"/>
                      <w:szCs w:val="21"/>
                    </w:rPr>
                  </w:pPr>
                  <w:r>
                    <w:rPr>
                      <w:kern w:val="0"/>
                      <w:szCs w:val="21"/>
                    </w:rPr>
                    <w:t>3</w:t>
                  </w:r>
                </w:p>
              </w:tc>
              <w:tc>
                <w:tcPr>
                  <w:tcW w:w="1747" w:type="dxa"/>
                  <w:vAlign w:val="center"/>
                </w:tcPr>
                <w:p>
                  <w:pPr>
                    <w:widowControl/>
                    <w:jc w:val="center"/>
                    <w:rPr>
                      <w:kern w:val="0"/>
                      <w:szCs w:val="21"/>
                    </w:rPr>
                  </w:pPr>
                  <w:r>
                    <w:rPr>
                      <w:kern w:val="0"/>
                      <w:szCs w:val="21"/>
                    </w:rPr>
                    <w:t>臭气浓度</w:t>
                  </w:r>
                </w:p>
              </w:tc>
              <w:tc>
                <w:tcPr>
                  <w:tcW w:w="784" w:type="dxa"/>
                  <w:vAlign w:val="center"/>
                </w:tcPr>
                <w:p>
                  <w:pPr>
                    <w:widowControl/>
                    <w:jc w:val="center"/>
                    <w:rPr>
                      <w:kern w:val="0"/>
                      <w:szCs w:val="21"/>
                    </w:rPr>
                  </w:pPr>
                  <w:r>
                    <w:rPr>
                      <w:kern w:val="0"/>
                      <w:szCs w:val="21"/>
                    </w:rPr>
                    <w:t>mg/m</w:t>
                  </w:r>
                  <w:r>
                    <w:rPr>
                      <w:kern w:val="0"/>
                      <w:szCs w:val="21"/>
                      <w:vertAlign w:val="superscript"/>
                    </w:rPr>
                    <w:t>3</w:t>
                  </w:r>
                </w:p>
              </w:tc>
              <w:tc>
                <w:tcPr>
                  <w:tcW w:w="4213" w:type="dxa"/>
                  <w:vAlign w:val="center"/>
                </w:tcPr>
                <w:p>
                  <w:pPr>
                    <w:widowControl/>
                    <w:jc w:val="center"/>
                    <w:rPr>
                      <w:kern w:val="0"/>
                      <w:szCs w:val="21"/>
                    </w:rPr>
                  </w:pPr>
                  <w:r>
                    <w:rPr>
                      <w:kern w:val="0"/>
                      <w:szCs w:val="21"/>
                    </w:rPr>
                    <w:t>20</w:t>
                  </w:r>
                </w:p>
              </w:tc>
            </w:tr>
          </w:tbl>
          <w:p>
            <w:pPr>
              <w:autoSpaceDE w:val="0"/>
              <w:autoSpaceDN w:val="0"/>
              <w:adjustRightInd w:val="0"/>
              <w:spacing w:line="360" w:lineRule="auto"/>
              <w:ind w:firstLine="422" w:firstLineChars="200"/>
              <w:jc w:val="center"/>
              <w:rPr>
                <w:b/>
                <w:bCs/>
                <w:szCs w:val="21"/>
              </w:rPr>
            </w:pPr>
            <w:r>
              <w:rPr>
                <w:rFonts w:hint="eastAsia"/>
                <w:b/>
                <w:bCs/>
                <w:szCs w:val="21"/>
              </w:rPr>
              <w:t xml:space="preserve">表25-2  </w:t>
            </w:r>
            <w:r>
              <w:rPr>
                <w:b/>
                <w:bCs/>
                <w:szCs w:val="21"/>
              </w:rPr>
              <w:t>《大气污染物综合排放标准》（GB16297-1996）</w:t>
            </w:r>
            <w:r>
              <w:rPr>
                <w:rFonts w:hint="eastAsia"/>
                <w:b/>
                <w:bCs/>
                <w:szCs w:val="21"/>
              </w:rPr>
              <w:t>表2</w:t>
            </w:r>
          </w:p>
          <w:tbl>
            <w:tblPr>
              <w:tblStyle w:val="35"/>
              <w:tblW w:w="797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28"/>
              <w:gridCol w:w="1747"/>
              <w:gridCol w:w="784"/>
              <w:gridCol w:w="42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6" w:hRule="atLeast"/>
              </w:trPr>
              <w:tc>
                <w:tcPr>
                  <w:tcW w:w="1228" w:type="dxa"/>
                  <w:vAlign w:val="center"/>
                </w:tcPr>
                <w:p>
                  <w:pPr>
                    <w:widowControl/>
                    <w:jc w:val="center"/>
                    <w:rPr>
                      <w:b/>
                      <w:kern w:val="0"/>
                      <w:szCs w:val="21"/>
                    </w:rPr>
                  </w:pPr>
                  <w:r>
                    <w:rPr>
                      <w:b/>
                      <w:kern w:val="0"/>
                      <w:szCs w:val="21"/>
                    </w:rPr>
                    <w:t>序号</w:t>
                  </w:r>
                </w:p>
              </w:tc>
              <w:tc>
                <w:tcPr>
                  <w:tcW w:w="1747" w:type="dxa"/>
                  <w:vAlign w:val="center"/>
                </w:tcPr>
                <w:p>
                  <w:pPr>
                    <w:widowControl/>
                    <w:jc w:val="center"/>
                    <w:rPr>
                      <w:b/>
                      <w:kern w:val="0"/>
                      <w:szCs w:val="21"/>
                    </w:rPr>
                  </w:pPr>
                  <w:r>
                    <w:rPr>
                      <w:b/>
                      <w:kern w:val="0"/>
                      <w:szCs w:val="21"/>
                    </w:rPr>
                    <w:t>控制项目</w:t>
                  </w:r>
                </w:p>
              </w:tc>
              <w:tc>
                <w:tcPr>
                  <w:tcW w:w="784" w:type="dxa"/>
                  <w:vAlign w:val="center"/>
                </w:tcPr>
                <w:p>
                  <w:pPr>
                    <w:widowControl/>
                    <w:jc w:val="center"/>
                    <w:rPr>
                      <w:b/>
                      <w:kern w:val="0"/>
                      <w:szCs w:val="21"/>
                    </w:rPr>
                  </w:pPr>
                  <w:r>
                    <w:rPr>
                      <w:b/>
                      <w:kern w:val="0"/>
                      <w:szCs w:val="21"/>
                    </w:rPr>
                    <w:t>单位</w:t>
                  </w:r>
                </w:p>
              </w:tc>
              <w:tc>
                <w:tcPr>
                  <w:tcW w:w="4212" w:type="dxa"/>
                  <w:vAlign w:val="center"/>
                </w:tcPr>
                <w:p>
                  <w:pPr>
                    <w:widowControl/>
                    <w:jc w:val="center"/>
                    <w:rPr>
                      <w:b/>
                      <w:kern w:val="0"/>
                      <w:szCs w:val="21"/>
                    </w:rPr>
                  </w:pPr>
                  <w:r>
                    <w:rPr>
                      <w:b/>
                      <w:kern w:val="0"/>
                      <w:szCs w:val="21"/>
                    </w:rPr>
                    <w:t>二级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8" w:hRule="atLeast"/>
              </w:trPr>
              <w:tc>
                <w:tcPr>
                  <w:tcW w:w="1228" w:type="dxa"/>
                  <w:vAlign w:val="center"/>
                </w:tcPr>
                <w:p>
                  <w:pPr>
                    <w:widowControl/>
                    <w:jc w:val="center"/>
                    <w:rPr>
                      <w:kern w:val="0"/>
                      <w:szCs w:val="21"/>
                    </w:rPr>
                  </w:pPr>
                  <w:r>
                    <w:rPr>
                      <w:kern w:val="0"/>
                      <w:szCs w:val="21"/>
                    </w:rPr>
                    <w:t>1</w:t>
                  </w:r>
                </w:p>
              </w:tc>
              <w:tc>
                <w:tcPr>
                  <w:tcW w:w="1747" w:type="dxa"/>
                  <w:vAlign w:val="center"/>
                </w:tcPr>
                <w:p>
                  <w:pPr>
                    <w:widowControl/>
                    <w:jc w:val="center"/>
                    <w:rPr>
                      <w:kern w:val="0"/>
                      <w:szCs w:val="21"/>
                    </w:rPr>
                  </w:pPr>
                  <w:r>
                    <w:rPr>
                      <w:rFonts w:hint="eastAsia"/>
                      <w:kern w:val="0"/>
                      <w:szCs w:val="21"/>
                    </w:rPr>
                    <w:t>颗粒物</w:t>
                  </w:r>
                </w:p>
              </w:tc>
              <w:tc>
                <w:tcPr>
                  <w:tcW w:w="784" w:type="dxa"/>
                  <w:vAlign w:val="center"/>
                </w:tcPr>
                <w:p>
                  <w:pPr>
                    <w:widowControl/>
                    <w:jc w:val="center"/>
                    <w:rPr>
                      <w:kern w:val="0"/>
                      <w:szCs w:val="21"/>
                    </w:rPr>
                  </w:pPr>
                  <w:r>
                    <w:rPr>
                      <w:kern w:val="0"/>
                      <w:szCs w:val="21"/>
                    </w:rPr>
                    <w:t>mg/m</w:t>
                  </w:r>
                  <w:r>
                    <w:rPr>
                      <w:kern w:val="0"/>
                      <w:szCs w:val="21"/>
                      <w:vertAlign w:val="superscript"/>
                    </w:rPr>
                    <w:t>3</w:t>
                  </w:r>
                </w:p>
              </w:tc>
              <w:tc>
                <w:tcPr>
                  <w:tcW w:w="4212" w:type="dxa"/>
                  <w:vAlign w:val="center"/>
                </w:tcPr>
                <w:p>
                  <w:pPr>
                    <w:widowControl/>
                    <w:jc w:val="center"/>
                    <w:rPr>
                      <w:kern w:val="0"/>
                      <w:szCs w:val="21"/>
                    </w:rPr>
                  </w:pPr>
                  <w:r>
                    <w:rPr>
                      <w:rFonts w:hint="eastAsia"/>
                      <w:kern w:val="0"/>
                      <w:szCs w:val="21"/>
                    </w:rPr>
                    <w:t>1.0</w:t>
                  </w:r>
                </w:p>
              </w:tc>
            </w:tr>
          </w:tbl>
          <w:p>
            <w:pPr>
              <w:autoSpaceDE w:val="0"/>
              <w:autoSpaceDN w:val="0"/>
              <w:adjustRightInd w:val="0"/>
              <w:spacing w:line="360" w:lineRule="auto"/>
              <w:ind w:firstLine="480" w:firstLineChars="200"/>
              <w:rPr>
                <w:bCs/>
                <w:sz w:val="24"/>
                <w:szCs w:val="28"/>
              </w:rPr>
            </w:pPr>
            <w:r>
              <w:rPr>
                <w:bCs/>
                <w:sz w:val="24"/>
                <w:szCs w:val="28"/>
              </w:rPr>
              <w:t>2.</w:t>
            </w:r>
            <w:r>
              <w:rPr>
                <w:rFonts w:hint="eastAsia"/>
                <w:bCs/>
                <w:sz w:val="24"/>
                <w:szCs w:val="28"/>
              </w:rPr>
              <w:t>噪声污染排放标准</w:t>
            </w:r>
          </w:p>
          <w:p>
            <w:pPr>
              <w:autoSpaceDE w:val="0"/>
              <w:autoSpaceDN w:val="0"/>
              <w:adjustRightInd w:val="0"/>
              <w:spacing w:line="360" w:lineRule="auto"/>
              <w:ind w:firstLine="480" w:firstLineChars="200"/>
              <w:rPr>
                <w:bCs/>
                <w:sz w:val="24"/>
                <w:szCs w:val="28"/>
              </w:rPr>
            </w:pPr>
            <w:r>
              <w:rPr>
                <w:rFonts w:hint="eastAsia"/>
                <w:bCs/>
                <w:sz w:val="24"/>
                <w:szCs w:val="28"/>
              </w:rPr>
              <w:t>本项目施工噪声执行《建筑施工场界环境噪声排放标准》（</w:t>
            </w:r>
            <w:r>
              <w:rPr>
                <w:bCs/>
                <w:sz w:val="24"/>
                <w:szCs w:val="28"/>
              </w:rPr>
              <w:t>GB12523-2011</w:t>
            </w:r>
            <w:r>
              <w:rPr>
                <w:rFonts w:hint="eastAsia"/>
                <w:bCs/>
                <w:sz w:val="24"/>
                <w:szCs w:val="28"/>
              </w:rPr>
              <w:t>）；运营期噪声执行《工业企业厂界环境噪声排放标准》（</w:t>
            </w:r>
            <w:r>
              <w:rPr>
                <w:bCs/>
                <w:sz w:val="24"/>
                <w:szCs w:val="28"/>
              </w:rPr>
              <w:t>GB12348-2008</w:t>
            </w:r>
            <w:r>
              <w:rPr>
                <w:rFonts w:hint="eastAsia"/>
                <w:bCs/>
                <w:sz w:val="24"/>
                <w:szCs w:val="28"/>
              </w:rPr>
              <w:t>）2类和4类标准。</w:t>
            </w:r>
          </w:p>
          <w:p>
            <w:pPr>
              <w:autoSpaceDE w:val="0"/>
              <w:autoSpaceDN w:val="0"/>
              <w:adjustRightInd w:val="0"/>
              <w:spacing w:line="440" w:lineRule="exact"/>
              <w:jc w:val="center"/>
              <w:rPr>
                <w:b/>
                <w:bCs/>
                <w:szCs w:val="21"/>
              </w:rPr>
            </w:pPr>
            <w:r>
              <w:rPr>
                <w:rFonts w:hint="eastAsia"/>
                <w:b/>
                <w:bCs/>
                <w:szCs w:val="21"/>
              </w:rPr>
              <w:t>表25-3</w:t>
            </w:r>
            <w:r>
              <w:rPr>
                <w:b/>
                <w:bCs/>
                <w:szCs w:val="21"/>
              </w:rPr>
              <w:t xml:space="preserve"> </w:t>
            </w:r>
            <w:r>
              <w:rPr>
                <w:rFonts w:hint="eastAsia"/>
                <w:b/>
                <w:bCs/>
                <w:szCs w:val="21"/>
              </w:rPr>
              <w:t>《建筑施工场界环境噪声排放限值》</w:t>
            </w:r>
            <w:r>
              <w:rPr>
                <w:b/>
                <w:bCs/>
                <w:szCs w:val="21"/>
              </w:rPr>
              <w:t xml:space="preserve">(GB12523-2011)  </w:t>
            </w:r>
            <w:r>
              <w:rPr>
                <w:rFonts w:hint="eastAsia"/>
                <w:bCs/>
                <w:szCs w:val="21"/>
              </w:rPr>
              <w:t>单位：</w:t>
            </w:r>
            <w:r>
              <w:rPr>
                <w:bCs/>
                <w:szCs w:val="21"/>
              </w:rPr>
              <w:t>dB(A)</w:t>
            </w:r>
          </w:p>
          <w:tbl>
            <w:tblPr>
              <w:tblStyle w:val="35"/>
              <w:tblW w:w="797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985"/>
              <w:gridCol w:w="39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3985" w:type="dxa"/>
                  <w:vAlign w:val="center"/>
                </w:tcPr>
                <w:p>
                  <w:pPr>
                    <w:adjustRightInd w:val="0"/>
                    <w:snapToGrid w:val="0"/>
                    <w:jc w:val="center"/>
                    <w:rPr>
                      <w:b/>
                    </w:rPr>
                  </w:pPr>
                  <w:r>
                    <w:rPr>
                      <w:rFonts w:hint="eastAsia"/>
                      <w:b/>
                    </w:rPr>
                    <w:t>昼间</w:t>
                  </w:r>
                </w:p>
              </w:tc>
              <w:tc>
                <w:tcPr>
                  <w:tcW w:w="3986" w:type="dxa"/>
                  <w:vAlign w:val="center"/>
                </w:tcPr>
                <w:p>
                  <w:pPr>
                    <w:adjustRightInd w:val="0"/>
                    <w:snapToGrid w:val="0"/>
                    <w:jc w:val="center"/>
                    <w:rPr>
                      <w:b/>
                    </w:rPr>
                  </w:pPr>
                  <w:r>
                    <w:rPr>
                      <w:rFonts w:hint="eastAsia"/>
                      <w:b/>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3985" w:type="dxa"/>
                  <w:vAlign w:val="center"/>
                </w:tcPr>
                <w:p>
                  <w:pPr>
                    <w:adjustRightInd w:val="0"/>
                    <w:snapToGrid w:val="0"/>
                    <w:jc w:val="center"/>
                  </w:pPr>
                  <w:r>
                    <w:t>70</w:t>
                  </w:r>
                </w:p>
              </w:tc>
              <w:tc>
                <w:tcPr>
                  <w:tcW w:w="3986" w:type="dxa"/>
                  <w:vAlign w:val="center"/>
                </w:tcPr>
                <w:p>
                  <w:pPr>
                    <w:adjustRightInd w:val="0"/>
                    <w:snapToGrid w:val="0"/>
                    <w:jc w:val="center"/>
                  </w:pPr>
                  <w:r>
                    <w:t>55</w:t>
                  </w:r>
                </w:p>
              </w:tc>
            </w:tr>
          </w:tbl>
          <w:p>
            <w:pPr>
              <w:jc w:val="center"/>
              <w:textAlignment w:val="baseline"/>
              <w:rPr>
                <w:b/>
                <w:spacing w:val="-10"/>
                <w:w w:val="80"/>
                <w:szCs w:val="21"/>
              </w:rPr>
            </w:pPr>
            <w:r>
              <w:rPr>
                <w:rFonts w:hint="eastAsia"/>
                <w:b/>
                <w:szCs w:val="21"/>
              </w:rPr>
              <w:t>表25-4</w:t>
            </w:r>
            <w:r>
              <w:rPr>
                <w:b/>
                <w:szCs w:val="21"/>
              </w:rPr>
              <w:t xml:space="preserve">  </w:t>
            </w:r>
            <w:r>
              <w:rPr>
                <w:rFonts w:hAnsi="宋体"/>
                <w:b/>
                <w:spacing w:val="-10"/>
                <w:w w:val="80"/>
                <w:szCs w:val="21"/>
              </w:rPr>
              <w:t>《工业企业厂界环境噪声排放标准》（</w:t>
            </w:r>
            <w:r>
              <w:rPr>
                <w:b/>
                <w:spacing w:val="-10"/>
                <w:w w:val="80"/>
                <w:szCs w:val="21"/>
              </w:rPr>
              <w:t>GB12348-2008</w:t>
            </w:r>
            <w:r>
              <w:rPr>
                <w:rFonts w:hAnsi="宋体"/>
                <w:b/>
                <w:spacing w:val="-10"/>
                <w:w w:val="80"/>
                <w:szCs w:val="21"/>
              </w:rPr>
              <w:t>）</w:t>
            </w:r>
            <w:r>
              <w:rPr>
                <w:rFonts w:hint="eastAsia"/>
                <w:b/>
                <w:spacing w:val="-10"/>
                <w:w w:val="80"/>
                <w:szCs w:val="21"/>
              </w:rPr>
              <w:t>2</w:t>
            </w:r>
            <w:r>
              <w:rPr>
                <w:rFonts w:hAnsi="宋体"/>
                <w:b/>
                <w:spacing w:val="-10"/>
                <w:w w:val="80"/>
                <w:szCs w:val="21"/>
              </w:rPr>
              <w:t>类</w:t>
            </w:r>
            <w:r>
              <w:rPr>
                <w:rFonts w:hint="eastAsia" w:hAnsi="宋体"/>
                <w:b/>
                <w:spacing w:val="-10"/>
                <w:w w:val="80"/>
                <w:szCs w:val="21"/>
              </w:rPr>
              <w:t>和4类</w:t>
            </w:r>
            <w:r>
              <w:rPr>
                <w:rFonts w:hAnsi="宋体"/>
                <w:b/>
                <w:spacing w:val="-10"/>
                <w:w w:val="80"/>
                <w:szCs w:val="21"/>
              </w:rPr>
              <w:t>标准</w:t>
            </w:r>
            <w:r>
              <w:rPr>
                <w:rFonts w:hint="eastAsia" w:hAnsi="宋体"/>
                <w:b/>
                <w:spacing w:val="-10"/>
                <w:w w:val="80"/>
                <w:szCs w:val="21"/>
              </w:rPr>
              <w:t xml:space="preserve">     </w:t>
            </w:r>
            <w:r>
              <w:rPr>
                <w:rFonts w:hint="eastAsia"/>
                <w:b/>
                <w:spacing w:val="-10"/>
                <w:w w:val="80"/>
                <w:szCs w:val="21"/>
              </w:rPr>
              <w:t>单位：</w:t>
            </w:r>
            <w:r>
              <w:rPr>
                <w:b/>
                <w:spacing w:val="-10"/>
                <w:w w:val="80"/>
                <w:szCs w:val="21"/>
              </w:rPr>
              <w:t>dB(A)</w:t>
            </w:r>
          </w:p>
          <w:tbl>
            <w:tblPr>
              <w:tblStyle w:val="35"/>
              <w:tblW w:w="797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894"/>
              <w:gridCol w:w="2419"/>
              <w:gridCol w:w="26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93" w:hRule="atLeast"/>
                <w:jc w:val="center"/>
              </w:trPr>
              <w:tc>
                <w:tcPr>
                  <w:tcW w:w="2894" w:type="dxa"/>
                  <w:vAlign w:val="center"/>
                </w:tcPr>
                <w:p>
                  <w:pPr>
                    <w:adjustRightInd w:val="0"/>
                    <w:snapToGrid w:val="0"/>
                    <w:jc w:val="center"/>
                    <w:rPr>
                      <w:b/>
                    </w:rPr>
                  </w:pPr>
                  <w:r>
                    <w:pict>
                      <v:shape id="_x0000_s1091" o:spid="_x0000_s1091" o:spt="32" type="#_x0000_t32" style="position:absolute;left:0pt;margin-left:-6.05pt;margin-top:0.15pt;height:26.25pt;width:144pt;z-index:1024;mso-width-relative:page;mso-height-relative:page;" o:connectortype="straight" filled="f" coordsize="21600,21600">
                        <v:path arrowok="t"/>
                        <v:fill on="f" focussize="0,0"/>
                        <v:stroke/>
                        <v:imagedata o:title=""/>
                        <o:lock v:ext="edit"/>
                      </v:shape>
                    </w:pict>
                  </w:r>
                  <w:r>
                    <w:rPr>
                      <w:b/>
                    </w:rPr>
                    <w:t xml:space="preserve">            </w:t>
                  </w:r>
                  <w:r>
                    <w:rPr>
                      <w:rFonts w:hint="eastAsia"/>
                      <w:b/>
                    </w:rPr>
                    <w:t>时段</w:t>
                  </w:r>
                </w:p>
                <w:p>
                  <w:pPr>
                    <w:adjustRightInd w:val="0"/>
                    <w:snapToGrid w:val="0"/>
                    <w:rPr>
                      <w:b/>
                    </w:rPr>
                  </w:pPr>
                  <w:r>
                    <w:rPr>
                      <w:rFonts w:hint="eastAsia"/>
                      <w:b/>
                    </w:rPr>
                    <w:t>声环境功能类别</w:t>
                  </w:r>
                </w:p>
              </w:tc>
              <w:tc>
                <w:tcPr>
                  <w:tcW w:w="2419" w:type="dxa"/>
                  <w:vAlign w:val="center"/>
                </w:tcPr>
                <w:p>
                  <w:pPr>
                    <w:adjustRightInd w:val="0"/>
                    <w:snapToGrid w:val="0"/>
                    <w:jc w:val="center"/>
                    <w:rPr>
                      <w:b/>
                    </w:rPr>
                  </w:pPr>
                  <w:r>
                    <w:rPr>
                      <w:rFonts w:hint="eastAsia"/>
                      <w:b/>
                    </w:rPr>
                    <w:t>昼间</w:t>
                  </w:r>
                </w:p>
              </w:tc>
              <w:tc>
                <w:tcPr>
                  <w:tcW w:w="2658" w:type="dxa"/>
                  <w:vAlign w:val="center"/>
                </w:tcPr>
                <w:p>
                  <w:pPr>
                    <w:adjustRightInd w:val="0"/>
                    <w:snapToGrid w:val="0"/>
                    <w:jc w:val="center"/>
                    <w:rPr>
                      <w:b/>
                      <w:w w:val="80"/>
                      <w:szCs w:val="21"/>
                    </w:rPr>
                  </w:pPr>
                  <w:r>
                    <w:rPr>
                      <w:rFonts w:hint="eastAsia"/>
                      <w:b/>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66" w:hRule="atLeast"/>
                <w:jc w:val="center"/>
              </w:trPr>
              <w:tc>
                <w:tcPr>
                  <w:tcW w:w="2894" w:type="dxa"/>
                  <w:vAlign w:val="center"/>
                </w:tcPr>
                <w:p>
                  <w:pPr>
                    <w:adjustRightInd w:val="0"/>
                    <w:snapToGrid w:val="0"/>
                    <w:jc w:val="center"/>
                  </w:pPr>
                  <w:r>
                    <w:rPr>
                      <w:rFonts w:hint="eastAsia"/>
                    </w:rPr>
                    <w:t>2类</w:t>
                  </w:r>
                </w:p>
              </w:tc>
              <w:tc>
                <w:tcPr>
                  <w:tcW w:w="2419" w:type="dxa"/>
                  <w:vAlign w:val="center"/>
                </w:tcPr>
                <w:p>
                  <w:pPr>
                    <w:adjustRightInd w:val="0"/>
                    <w:snapToGrid w:val="0"/>
                    <w:jc w:val="center"/>
                  </w:pPr>
                  <w:r>
                    <w:t>6</w:t>
                  </w:r>
                  <w:r>
                    <w:rPr>
                      <w:rFonts w:hint="eastAsia"/>
                    </w:rPr>
                    <w:t>0</w:t>
                  </w:r>
                </w:p>
              </w:tc>
              <w:tc>
                <w:tcPr>
                  <w:tcW w:w="2658" w:type="dxa"/>
                  <w:vAlign w:val="center"/>
                </w:tcPr>
                <w:p>
                  <w:pPr>
                    <w:adjustRightInd w:val="0"/>
                    <w:snapToGrid w:val="0"/>
                    <w:jc w:val="center"/>
                  </w:pPr>
                  <w:r>
                    <w:t>5</w:t>
                  </w:r>
                  <w:r>
                    <w:rPr>
                      <w:rFonts w:hint="eastAsia"/>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66" w:hRule="atLeast"/>
                <w:jc w:val="center"/>
              </w:trPr>
              <w:tc>
                <w:tcPr>
                  <w:tcW w:w="2894" w:type="dxa"/>
                  <w:vAlign w:val="center"/>
                </w:tcPr>
                <w:p>
                  <w:pPr>
                    <w:adjustRightInd w:val="0"/>
                    <w:snapToGrid w:val="0"/>
                    <w:jc w:val="center"/>
                  </w:pPr>
                  <w:r>
                    <w:rPr>
                      <w:rFonts w:hint="eastAsia"/>
                    </w:rPr>
                    <w:t>4类（街道两侧）</w:t>
                  </w:r>
                </w:p>
              </w:tc>
              <w:tc>
                <w:tcPr>
                  <w:tcW w:w="2419" w:type="dxa"/>
                  <w:vAlign w:val="center"/>
                </w:tcPr>
                <w:p>
                  <w:pPr>
                    <w:adjustRightInd w:val="0"/>
                    <w:snapToGrid w:val="0"/>
                    <w:jc w:val="center"/>
                  </w:pPr>
                  <w:r>
                    <w:rPr>
                      <w:rFonts w:hint="eastAsia"/>
                    </w:rPr>
                    <w:t>70</w:t>
                  </w:r>
                </w:p>
              </w:tc>
              <w:tc>
                <w:tcPr>
                  <w:tcW w:w="2658" w:type="dxa"/>
                  <w:vAlign w:val="center"/>
                </w:tcPr>
                <w:p>
                  <w:pPr>
                    <w:adjustRightInd w:val="0"/>
                    <w:snapToGrid w:val="0"/>
                    <w:jc w:val="center"/>
                  </w:pPr>
                  <w:r>
                    <w:rPr>
                      <w:rFonts w:hint="eastAsia"/>
                    </w:rPr>
                    <w:t>55</w:t>
                  </w:r>
                </w:p>
              </w:tc>
            </w:tr>
          </w:tbl>
          <w:p>
            <w:pPr>
              <w:autoSpaceDE w:val="0"/>
              <w:autoSpaceDN w:val="0"/>
              <w:adjustRightInd w:val="0"/>
              <w:spacing w:line="360" w:lineRule="auto"/>
              <w:ind w:firstLine="480" w:firstLineChars="200"/>
              <w:rPr>
                <w:bCs/>
                <w:sz w:val="24"/>
                <w:szCs w:val="28"/>
              </w:rPr>
            </w:pPr>
            <w:r>
              <w:rPr>
                <w:rFonts w:hint="eastAsia"/>
                <w:bCs/>
                <w:sz w:val="24"/>
                <w:szCs w:val="28"/>
              </w:rPr>
              <w:t>3</w:t>
            </w:r>
            <w:r>
              <w:rPr>
                <w:bCs/>
                <w:sz w:val="24"/>
                <w:szCs w:val="28"/>
              </w:rPr>
              <w:t>.</w:t>
            </w:r>
            <w:r>
              <w:rPr>
                <w:rFonts w:hint="eastAsia"/>
                <w:bCs/>
                <w:sz w:val="24"/>
                <w:szCs w:val="28"/>
              </w:rPr>
              <w:t>污水排放标准</w:t>
            </w:r>
          </w:p>
          <w:p>
            <w:pPr>
              <w:autoSpaceDE w:val="0"/>
              <w:autoSpaceDN w:val="0"/>
              <w:adjustRightInd w:val="0"/>
              <w:spacing w:line="360" w:lineRule="auto"/>
              <w:ind w:firstLine="480" w:firstLineChars="200"/>
              <w:rPr>
                <w:bCs/>
                <w:sz w:val="24"/>
                <w:szCs w:val="28"/>
              </w:rPr>
            </w:pPr>
            <w:r>
              <w:rPr>
                <w:rFonts w:hint="eastAsia"/>
                <w:bCs/>
                <w:sz w:val="24"/>
                <w:szCs w:val="28"/>
              </w:rPr>
              <w:t>项目污水站污水排放执行</w:t>
            </w:r>
            <w:r>
              <w:rPr>
                <w:bCs/>
                <w:sz w:val="24"/>
                <w:szCs w:val="28"/>
              </w:rPr>
              <w:t>《城镇污水处理厂污染物排放标准》（GB18918-2002）中一级</w:t>
            </w:r>
            <w:r>
              <w:rPr>
                <w:rFonts w:hint="eastAsia"/>
                <w:bCs/>
                <w:sz w:val="24"/>
                <w:szCs w:val="28"/>
              </w:rPr>
              <w:t>A</w:t>
            </w:r>
            <w:r>
              <w:rPr>
                <w:bCs/>
                <w:sz w:val="24"/>
                <w:szCs w:val="28"/>
              </w:rPr>
              <w:t>排放标准</w:t>
            </w:r>
            <w:r>
              <w:rPr>
                <w:rFonts w:hint="eastAsia"/>
                <w:bCs/>
                <w:sz w:val="24"/>
                <w:szCs w:val="28"/>
              </w:rPr>
              <w:t>。</w:t>
            </w:r>
          </w:p>
          <w:p>
            <w:pPr>
              <w:adjustRightInd w:val="0"/>
              <w:snapToGrid w:val="0"/>
              <w:spacing w:beforeLines="50" w:line="360" w:lineRule="auto"/>
              <w:jc w:val="center"/>
              <w:rPr>
                <w:b/>
                <w:bCs/>
                <w:szCs w:val="21"/>
              </w:rPr>
            </w:pPr>
            <w:r>
              <w:rPr>
                <w:rFonts w:hint="eastAsia"/>
                <w:b/>
                <w:bCs/>
                <w:szCs w:val="21"/>
              </w:rPr>
              <w:t xml:space="preserve">表25-5  </w:t>
            </w:r>
            <w:r>
              <w:rPr>
                <w:b/>
                <w:bCs/>
                <w:szCs w:val="21"/>
              </w:rPr>
              <w:t>《城镇污水处理厂污染物排放标准》（GB18918-2002）</w:t>
            </w:r>
            <w:r>
              <w:rPr>
                <w:rFonts w:hint="eastAsia"/>
                <w:b/>
                <w:bCs/>
                <w:szCs w:val="21"/>
              </w:rPr>
              <w:t>一级A  单位：mg/L</w:t>
            </w:r>
          </w:p>
          <w:tbl>
            <w:tblPr>
              <w:tblStyle w:val="35"/>
              <w:tblW w:w="797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725"/>
              <w:gridCol w:w="748"/>
              <w:gridCol w:w="992"/>
              <w:gridCol w:w="992"/>
              <w:gridCol w:w="807"/>
              <w:gridCol w:w="1011"/>
              <w:gridCol w:w="748"/>
              <w:gridCol w:w="848"/>
              <w:gridCol w:w="10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gridAfter w:val="1"/>
                <w:wAfter w:w="100" w:type="dxa"/>
                <w:trHeight w:val="333" w:hRule="atLeast"/>
              </w:trPr>
              <w:tc>
                <w:tcPr>
                  <w:tcW w:w="1725" w:type="dxa"/>
                  <w:vAlign w:val="center"/>
                </w:tcPr>
                <w:p>
                  <w:pPr>
                    <w:jc w:val="center"/>
                    <w:rPr>
                      <w:b/>
                      <w:szCs w:val="21"/>
                    </w:rPr>
                  </w:pPr>
                  <w:r>
                    <w:rPr>
                      <w:b/>
                      <w:szCs w:val="21"/>
                    </w:rPr>
                    <w:t>项   目</w:t>
                  </w:r>
                </w:p>
              </w:tc>
              <w:tc>
                <w:tcPr>
                  <w:tcW w:w="748" w:type="dxa"/>
                  <w:vAlign w:val="center"/>
                </w:tcPr>
                <w:p>
                  <w:pPr>
                    <w:jc w:val="center"/>
                    <w:rPr>
                      <w:b/>
                      <w:szCs w:val="21"/>
                    </w:rPr>
                  </w:pPr>
                  <w:r>
                    <w:rPr>
                      <w:b/>
                      <w:szCs w:val="21"/>
                    </w:rPr>
                    <w:t>pH</w:t>
                  </w:r>
                </w:p>
              </w:tc>
              <w:tc>
                <w:tcPr>
                  <w:tcW w:w="992" w:type="dxa"/>
                  <w:vAlign w:val="center"/>
                </w:tcPr>
                <w:p>
                  <w:pPr>
                    <w:jc w:val="center"/>
                    <w:rPr>
                      <w:b/>
                      <w:szCs w:val="21"/>
                    </w:rPr>
                  </w:pPr>
                  <w:r>
                    <w:rPr>
                      <w:b/>
                      <w:szCs w:val="21"/>
                    </w:rPr>
                    <w:t>COD</w:t>
                  </w:r>
                  <w:r>
                    <w:rPr>
                      <w:b/>
                      <w:szCs w:val="21"/>
                      <w:vertAlign w:val="subscript"/>
                    </w:rPr>
                    <w:t>cr</w:t>
                  </w:r>
                </w:p>
              </w:tc>
              <w:tc>
                <w:tcPr>
                  <w:tcW w:w="992" w:type="dxa"/>
                  <w:vAlign w:val="center"/>
                </w:tcPr>
                <w:p>
                  <w:pPr>
                    <w:jc w:val="center"/>
                    <w:rPr>
                      <w:b/>
                      <w:szCs w:val="21"/>
                    </w:rPr>
                  </w:pPr>
                  <w:r>
                    <w:rPr>
                      <w:b/>
                      <w:szCs w:val="21"/>
                    </w:rPr>
                    <w:t>BOD</w:t>
                  </w:r>
                  <w:r>
                    <w:rPr>
                      <w:b/>
                      <w:szCs w:val="21"/>
                      <w:vertAlign w:val="subscript"/>
                    </w:rPr>
                    <w:t>5</w:t>
                  </w:r>
                </w:p>
              </w:tc>
              <w:tc>
                <w:tcPr>
                  <w:tcW w:w="807" w:type="dxa"/>
                  <w:vAlign w:val="center"/>
                </w:tcPr>
                <w:p>
                  <w:pPr>
                    <w:jc w:val="center"/>
                    <w:rPr>
                      <w:b/>
                      <w:szCs w:val="21"/>
                    </w:rPr>
                  </w:pPr>
                  <w:r>
                    <w:rPr>
                      <w:b/>
                      <w:szCs w:val="21"/>
                    </w:rPr>
                    <w:t>SS</w:t>
                  </w:r>
                </w:p>
              </w:tc>
              <w:tc>
                <w:tcPr>
                  <w:tcW w:w="1011" w:type="dxa"/>
                  <w:vAlign w:val="center"/>
                </w:tcPr>
                <w:p>
                  <w:pPr>
                    <w:jc w:val="center"/>
                    <w:rPr>
                      <w:b/>
                      <w:szCs w:val="21"/>
                    </w:rPr>
                  </w:pPr>
                  <w:r>
                    <w:rPr>
                      <w:b/>
                      <w:szCs w:val="21"/>
                    </w:rPr>
                    <w:t>NH</w:t>
                  </w:r>
                  <w:r>
                    <w:rPr>
                      <w:b/>
                      <w:szCs w:val="21"/>
                      <w:vertAlign w:val="subscript"/>
                    </w:rPr>
                    <w:t>3</w:t>
                  </w:r>
                  <w:r>
                    <w:rPr>
                      <w:b/>
                      <w:szCs w:val="21"/>
                    </w:rPr>
                    <w:t>-N</w:t>
                  </w:r>
                </w:p>
              </w:tc>
              <w:tc>
                <w:tcPr>
                  <w:tcW w:w="748" w:type="dxa"/>
                  <w:vAlign w:val="center"/>
                </w:tcPr>
                <w:p>
                  <w:pPr>
                    <w:jc w:val="center"/>
                    <w:rPr>
                      <w:b/>
                      <w:szCs w:val="21"/>
                    </w:rPr>
                  </w:pPr>
                  <w:r>
                    <w:rPr>
                      <w:b/>
                      <w:szCs w:val="21"/>
                    </w:rPr>
                    <w:t>总磷</w:t>
                  </w:r>
                </w:p>
              </w:tc>
              <w:tc>
                <w:tcPr>
                  <w:tcW w:w="848" w:type="dxa"/>
                  <w:vAlign w:val="center"/>
                </w:tcPr>
                <w:p>
                  <w:pPr>
                    <w:jc w:val="center"/>
                    <w:rPr>
                      <w:b/>
                      <w:szCs w:val="21"/>
                    </w:rPr>
                  </w:pPr>
                  <w:r>
                    <w:rPr>
                      <w:b/>
                      <w:szCs w:val="21"/>
                    </w:rPr>
                    <w:t>石油类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gridAfter w:val="1"/>
                <w:wAfter w:w="100" w:type="dxa"/>
              </w:trPr>
              <w:tc>
                <w:tcPr>
                  <w:tcW w:w="1725" w:type="dxa"/>
                  <w:vAlign w:val="center"/>
                </w:tcPr>
                <w:p>
                  <w:pPr>
                    <w:jc w:val="center"/>
                    <w:rPr>
                      <w:szCs w:val="21"/>
                    </w:rPr>
                  </w:pPr>
                  <w:r>
                    <w:rPr>
                      <w:szCs w:val="21"/>
                    </w:rPr>
                    <w:t>一级</w:t>
                  </w:r>
                  <w:r>
                    <w:rPr>
                      <w:rFonts w:hint="eastAsia"/>
                      <w:szCs w:val="21"/>
                    </w:rPr>
                    <w:t>A</w:t>
                  </w:r>
                  <w:r>
                    <w:rPr>
                      <w:szCs w:val="21"/>
                    </w:rPr>
                    <w:t>标准(mg/</w:t>
                  </w:r>
                  <w:r>
                    <w:rPr>
                      <w:rFonts w:hint="eastAsia"/>
                      <w:szCs w:val="21"/>
                    </w:rPr>
                    <w:t>L</w:t>
                  </w:r>
                  <w:r>
                    <w:rPr>
                      <w:szCs w:val="21"/>
                    </w:rPr>
                    <w:t>)</w:t>
                  </w:r>
                </w:p>
              </w:tc>
              <w:tc>
                <w:tcPr>
                  <w:tcW w:w="748" w:type="dxa"/>
                  <w:vAlign w:val="center"/>
                </w:tcPr>
                <w:p>
                  <w:pPr>
                    <w:jc w:val="center"/>
                    <w:rPr>
                      <w:szCs w:val="21"/>
                    </w:rPr>
                  </w:pPr>
                  <w:r>
                    <w:rPr>
                      <w:szCs w:val="21"/>
                    </w:rPr>
                    <w:t>6～9</w:t>
                  </w:r>
                </w:p>
              </w:tc>
              <w:tc>
                <w:tcPr>
                  <w:tcW w:w="992" w:type="dxa"/>
                  <w:vAlign w:val="center"/>
                </w:tcPr>
                <w:p>
                  <w:pPr>
                    <w:jc w:val="center"/>
                    <w:rPr>
                      <w:szCs w:val="21"/>
                    </w:rPr>
                  </w:pPr>
                  <w:r>
                    <w:rPr>
                      <w:rFonts w:hint="eastAsia"/>
                      <w:szCs w:val="21"/>
                    </w:rPr>
                    <w:t>5</w:t>
                  </w:r>
                  <w:r>
                    <w:rPr>
                      <w:szCs w:val="21"/>
                    </w:rPr>
                    <w:t>0</w:t>
                  </w:r>
                </w:p>
              </w:tc>
              <w:tc>
                <w:tcPr>
                  <w:tcW w:w="992" w:type="dxa"/>
                  <w:vAlign w:val="center"/>
                </w:tcPr>
                <w:p>
                  <w:pPr>
                    <w:jc w:val="center"/>
                    <w:rPr>
                      <w:szCs w:val="21"/>
                    </w:rPr>
                  </w:pPr>
                  <w:r>
                    <w:rPr>
                      <w:rFonts w:hint="eastAsia"/>
                      <w:szCs w:val="21"/>
                    </w:rPr>
                    <w:t>1</w:t>
                  </w:r>
                  <w:r>
                    <w:rPr>
                      <w:szCs w:val="21"/>
                    </w:rPr>
                    <w:t>0</w:t>
                  </w:r>
                </w:p>
              </w:tc>
              <w:tc>
                <w:tcPr>
                  <w:tcW w:w="807" w:type="dxa"/>
                  <w:vAlign w:val="center"/>
                </w:tcPr>
                <w:p>
                  <w:pPr>
                    <w:jc w:val="center"/>
                    <w:rPr>
                      <w:szCs w:val="21"/>
                    </w:rPr>
                  </w:pPr>
                  <w:r>
                    <w:rPr>
                      <w:rFonts w:hint="eastAsia"/>
                      <w:szCs w:val="21"/>
                    </w:rPr>
                    <w:t>10</w:t>
                  </w:r>
                </w:p>
              </w:tc>
              <w:tc>
                <w:tcPr>
                  <w:tcW w:w="1011" w:type="dxa"/>
                  <w:vAlign w:val="center"/>
                </w:tcPr>
                <w:p>
                  <w:pPr>
                    <w:jc w:val="center"/>
                    <w:rPr>
                      <w:szCs w:val="21"/>
                    </w:rPr>
                  </w:pPr>
                  <w:r>
                    <w:rPr>
                      <w:rFonts w:hint="eastAsia"/>
                      <w:szCs w:val="21"/>
                    </w:rPr>
                    <w:t>5</w:t>
                  </w:r>
                  <w:r>
                    <w:rPr>
                      <w:szCs w:val="21"/>
                    </w:rPr>
                    <w:t>(</w:t>
                  </w:r>
                  <w:r>
                    <w:rPr>
                      <w:rFonts w:hint="eastAsia"/>
                      <w:szCs w:val="21"/>
                    </w:rPr>
                    <w:t>8</w:t>
                  </w:r>
                  <w:r>
                    <w:rPr>
                      <w:szCs w:val="21"/>
                    </w:rPr>
                    <w:t>)</w:t>
                  </w:r>
                </w:p>
              </w:tc>
              <w:tc>
                <w:tcPr>
                  <w:tcW w:w="748" w:type="dxa"/>
                  <w:vAlign w:val="center"/>
                </w:tcPr>
                <w:p>
                  <w:pPr>
                    <w:jc w:val="center"/>
                    <w:rPr>
                      <w:szCs w:val="21"/>
                    </w:rPr>
                  </w:pPr>
                  <w:r>
                    <w:rPr>
                      <w:rFonts w:hint="eastAsia"/>
                      <w:szCs w:val="21"/>
                    </w:rPr>
                    <w:t>0.5</w:t>
                  </w:r>
                </w:p>
              </w:tc>
              <w:tc>
                <w:tcPr>
                  <w:tcW w:w="848" w:type="dxa"/>
                  <w:vAlign w:val="center"/>
                </w:tcPr>
                <w:p>
                  <w:pPr>
                    <w:jc w:val="center"/>
                    <w:rPr>
                      <w:szCs w:val="21"/>
                    </w:rPr>
                  </w:pPr>
                  <w:r>
                    <w:rPr>
                      <w:rFonts w:hint="eastAsia"/>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c>
                <w:tcPr>
                  <w:tcW w:w="1725" w:type="dxa"/>
                  <w:vAlign w:val="center"/>
                </w:tcPr>
                <w:p>
                  <w:pPr>
                    <w:jc w:val="center"/>
                    <w:rPr>
                      <w:b/>
                      <w:szCs w:val="21"/>
                    </w:rPr>
                  </w:pPr>
                  <w:r>
                    <w:rPr>
                      <w:rFonts w:hint="eastAsia"/>
                      <w:b/>
                      <w:szCs w:val="21"/>
                    </w:rPr>
                    <w:t>项目</w:t>
                  </w:r>
                </w:p>
              </w:tc>
              <w:tc>
                <w:tcPr>
                  <w:tcW w:w="748" w:type="dxa"/>
                  <w:vAlign w:val="center"/>
                </w:tcPr>
                <w:p>
                  <w:pPr>
                    <w:jc w:val="center"/>
                    <w:rPr>
                      <w:b/>
                      <w:szCs w:val="21"/>
                    </w:rPr>
                  </w:pPr>
                  <w:r>
                    <w:rPr>
                      <w:rFonts w:hint="eastAsia"/>
                      <w:b/>
                      <w:szCs w:val="21"/>
                    </w:rPr>
                    <w:t>总氮</w:t>
                  </w:r>
                </w:p>
              </w:tc>
              <w:tc>
                <w:tcPr>
                  <w:tcW w:w="992" w:type="dxa"/>
                  <w:vAlign w:val="center"/>
                </w:tcPr>
                <w:p>
                  <w:pPr>
                    <w:jc w:val="center"/>
                    <w:rPr>
                      <w:b/>
                      <w:szCs w:val="21"/>
                    </w:rPr>
                  </w:pPr>
                  <w:r>
                    <w:rPr>
                      <w:rFonts w:hint="eastAsia"/>
                      <w:b/>
                      <w:szCs w:val="21"/>
                    </w:rPr>
                    <w:t>动植物油</w:t>
                  </w:r>
                </w:p>
              </w:tc>
              <w:tc>
                <w:tcPr>
                  <w:tcW w:w="992" w:type="dxa"/>
                  <w:vAlign w:val="center"/>
                </w:tcPr>
                <w:p>
                  <w:pPr>
                    <w:jc w:val="center"/>
                    <w:rPr>
                      <w:b/>
                      <w:szCs w:val="21"/>
                    </w:rPr>
                  </w:pPr>
                  <w:r>
                    <w:rPr>
                      <w:rFonts w:hint="eastAsia"/>
                      <w:b/>
                      <w:szCs w:val="21"/>
                    </w:rPr>
                    <w:t>色度</w:t>
                  </w:r>
                </w:p>
              </w:tc>
              <w:tc>
                <w:tcPr>
                  <w:tcW w:w="1818" w:type="dxa"/>
                  <w:gridSpan w:val="2"/>
                  <w:vAlign w:val="center"/>
                </w:tcPr>
                <w:p>
                  <w:pPr>
                    <w:jc w:val="center"/>
                    <w:rPr>
                      <w:b/>
                      <w:szCs w:val="21"/>
                    </w:rPr>
                  </w:pPr>
                  <w:r>
                    <w:rPr>
                      <w:rFonts w:hint="eastAsia"/>
                      <w:b/>
                      <w:szCs w:val="21"/>
                    </w:rPr>
                    <w:t>阴离子表面活性剂</w:t>
                  </w:r>
                </w:p>
              </w:tc>
              <w:tc>
                <w:tcPr>
                  <w:tcW w:w="1696" w:type="dxa"/>
                  <w:gridSpan w:val="3"/>
                  <w:vAlign w:val="center"/>
                </w:tcPr>
                <w:p>
                  <w:pPr>
                    <w:jc w:val="center"/>
                    <w:rPr>
                      <w:b/>
                      <w:szCs w:val="21"/>
                    </w:rPr>
                  </w:pPr>
                  <w:r>
                    <w:rPr>
                      <w:rFonts w:hint="eastAsia"/>
                      <w:b/>
                      <w:szCs w:val="21"/>
                    </w:rPr>
                    <w:t>粪大肠菌群数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c>
                <w:tcPr>
                  <w:tcW w:w="1725" w:type="dxa"/>
                  <w:vAlign w:val="center"/>
                </w:tcPr>
                <w:p>
                  <w:pPr>
                    <w:jc w:val="center"/>
                    <w:rPr>
                      <w:szCs w:val="21"/>
                    </w:rPr>
                  </w:pPr>
                  <w:r>
                    <w:rPr>
                      <w:szCs w:val="21"/>
                    </w:rPr>
                    <w:t>一级</w:t>
                  </w:r>
                  <w:r>
                    <w:rPr>
                      <w:rFonts w:hint="eastAsia"/>
                      <w:szCs w:val="21"/>
                    </w:rPr>
                    <w:t>A</w:t>
                  </w:r>
                  <w:r>
                    <w:rPr>
                      <w:szCs w:val="21"/>
                    </w:rPr>
                    <w:t>标准(mg/</w:t>
                  </w:r>
                  <w:r>
                    <w:rPr>
                      <w:rFonts w:hint="eastAsia"/>
                      <w:szCs w:val="21"/>
                    </w:rPr>
                    <w:t>L</w:t>
                  </w:r>
                  <w:r>
                    <w:rPr>
                      <w:szCs w:val="21"/>
                    </w:rPr>
                    <w:t>)</w:t>
                  </w:r>
                </w:p>
              </w:tc>
              <w:tc>
                <w:tcPr>
                  <w:tcW w:w="748" w:type="dxa"/>
                  <w:vAlign w:val="center"/>
                </w:tcPr>
                <w:p>
                  <w:pPr>
                    <w:jc w:val="center"/>
                    <w:rPr>
                      <w:szCs w:val="21"/>
                    </w:rPr>
                  </w:pPr>
                  <w:r>
                    <w:rPr>
                      <w:rFonts w:hint="eastAsia"/>
                      <w:szCs w:val="21"/>
                    </w:rPr>
                    <w:t>15</w:t>
                  </w:r>
                </w:p>
              </w:tc>
              <w:tc>
                <w:tcPr>
                  <w:tcW w:w="992" w:type="dxa"/>
                  <w:vAlign w:val="center"/>
                </w:tcPr>
                <w:p>
                  <w:pPr>
                    <w:jc w:val="center"/>
                    <w:rPr>
                      <w:szCs w:val="21"/>
                    </w:rPr>
                  </w:pPr>
                  <w:r>
                    <w:rPr>
                      <w:rFonts w:hint="eastAsia"/>
                      <w:szCs w:val="21"/>
                    </w:rPr>
                    <w:t>1</w:t>
                  </w:r>
                </w:p>
              </w:tc>
              <w:tc>
                <w:tcPr>
                  <w:tcW w:w="992" w:type="dxa"/>
                  <w:vAlign w:val="center"/>
                </w:tcPr>
                <w:p>
                  <w:pPr>
                    <w:jc w:val="center"/>
                    <w:rPr>
                      <w:szCs w:val="21"/>
                    </w:rPr>
                  </w:pPr>
                  <w:r>
                    <w:rPr>
                      <w:rFonts w:hint="eastAsia"/>
                      <w:szCs w:val="21"/>
                    </w:rPr>
                    <w:t>30</w:t>
                  </w:r>
                </w:p>
              </w:tc>
              <w:tc>
                <w:tcPr>
                  <w:tcW w:w="1818" w:type="dxa"/>
                  <w:gridSpan w:val="2"/>
                  <w:vAlign w:val="center"/>
                </w:tcPr>
                <w:p>
                  <w:pPr>
                    <w:jc w:val="center"/>
                    <w:rPr>
                      <w:szCs w:val="21"/>
                    </w:rPr>
                  </w:pPr>
                  <w:r>
                    <w:rPr>
                      <w:rFonts w:hint="eastAsia"/>
                      <w:szCs w:val="21"/>
                    </w:rPr>
                    <w:t>0.5</w:t>
                  </w:r>
                </w:p>
              </w:tc>
              <w:tc>
                <w:tcPr>
                  <w:tcW w:w="1696" w:type="dxa"/>
                  <w:gridSpan w:val="3"/>
                  <w:vAlign w:val="center"/>
                </w:tcPr>
                <w:p>
                  <w:pPr>
                    <w:jc w:val="center"/>
                    <w:rPr>
                      <w:szCs w:val="21"/>
                    </w:rPr>
                  </w:pPr>
                  <w:r>
                    <w:rPr>
                      <w:rFonts w:hint="eastAsia"/>
                      <w:szCs w:val="21"/>
                    </w:rPr>
                    <w:t>1000</w:t>
                  </w:r>
                </w:p>
              </w:tc>
            </w:tr>
          </w:tbl>
          <w:p>
            <w:pPr>
              <w:autoSpaceDE w:val="0"/>
              <w:autoSpaceDN w:val="0"/>
              <w:adjustRightInd w:val="0"/>
              <w:spacing w:line="360" w:lineRule="auto"/>
              <w:ind w:firstLine="480" w:firstLineChars="200"/>
              <w:rPr>
                <w:bCs/>
                <w:sz w:val="24"/>
                <w:szCs w:val="28"/>
              </w:rPr>
            </w:pPr>
            <w:r>
              <w:rPr>
                <w:rFonts w:hint="eastAsia"/>
                <w:bCs/>
                <w:sz w:val="24"/>
                <w:szCs w:val="28"/>
              </w:rPr>
              <w:t>4.固体废物</w:t>
            </w:r>
          </w:p>
          <w:p>
            <w:pPr>
              <w:autoSpaceDE w:val="0"/>
              <w:autoSpaceDN w:val="0"/>
              <w:adjustRightInd w:val="0"/>
              <w:spacing w:line="360" w:lineRule="auto"/>
              <w:ind w:firstLine="480" w:firstLineChars="200"/>
              <w:rPr>
                <w:sz w:val="24"/>
                <w:szCs w:val="24"/>
              </w:rPr>
            </w:pPr>
            <w:r>
              <w:rPr>
                <w:bCs/>
                <w:sz w:val="24"/>
                <w:szCs w:val="28"/>
              </w:rPr>
              <w:t>一般固废执行《一般工业固体废物贮存、处置场污染控制标准》（GB18599-2001）（2013年修订）中相关规定。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930" w:type="dxa"/>
            <w:tcBorders>
              <w:bottom w:val="single" w:color="auto" w:sz="12" w:space="0"/>
            </w:tcBorders>
            <w:vAlign w:val="center"/>
          </w:tcPr>
          <w:p>
            <w:pPr>
              <w:jc w:val="distribute"/>
              <w:rPr>
                <w:kern w:val="21"/>
                <w:sz w:val="28"/>
              </w:rPr>
            </w:pPr>
            <w:r>
              <w:rPr>
                <w:rFonts w:hint="eastAsia"/>
                <w:kern w:val="21"/>
                <w:sz w:val="28"/>
              </w:rPr>
              <w:t>总</w:t>
            </w:r>
          </w:p>
          <w:p>
            <w:pPr>
              <w:jc w:val="distribute"/>
              <w:rPr>
                <w:kern w:val="21"/>
                <w:sz w:val="28"/>
              </w:rPr>
            </w:pPr>
            <w:r>
              <w:rPr>
                <w:rFonts w:hint="eastAsia"/>
                <w:kern w:val="21"/>
                <w:sz w:val="28"/>
              </w:rPr>
              <w:t>量</w:t>
            </w:r>
          </w:p>
          <w:p>
            <w:pPr>
              <w:jc w:val="distribute"/>
              <w:rPr>
                <w:kern w:val="21"/>
                <w:sz w:val="28"/>
              </w:rPr>
            </w:pPr>
            <w:r>
              <w:rPr>
                <w:rFonts w:hint="eastAsia"/>
                <w:kern w:val="21"/>
                <w:sz w:val="28"/>
              </w:rPr>
              <w:t>指</w:t>
            </w:r>
          </w:p>
          <w:p>
            <w:pPr>
              <w:jc w:val="distribute"/>
              <w:rPr>
                <w:bCs/>
                <w:sz w:val="24"/>
              </w:rPr>
            </w:pPr>
            <w:r>
              <w:rPr>
                <w:rFonts w:hint="eastAsia"/>
                <w:kern w:val="21"/>
                <w:sz w:val="28"/>
              </w:rPr>
              <w:t>标</w:t>
            </w:r>
          </w:p>
        </w:tc>
        <w:tc>
          <w:tcPr>
            <w:tcW w:w="8187" w:type="dxa"/>
            <w:tcBorders>
              <w:bottom w:val="single" w:color="auto" w:sz="12" w:space="0"/>
            </w:tcBorders>
            <w:vAlign w:val="center"/>
          </w:tcPr>
          <w:p>
            <w:pPr>
              <w:adjustRightInd w:val="0"/>
              <w:snapToGrid w:val="0"/>
              <w:spacing w:beforeLines="50" w:line="360" w:lineRule="auto"/>
              <w:ind w:firstLine="2160" w:firstLineChars="900"/>
              <w:rPr>
                <w:sz w:val="24"/>
                <w:szCs w:val="24"/>
                <w:lang w:val="de-DE"/>
              </w:rPr>
            </w:pPr>
            <w:r>
              <w:rPr>
                <w:rFonts w:hint="eastAsia"/>
                <w:sz w:val="24"/>
                <w:szCs w:val="24"/>
                <w:lang w:val="de-DE"/>
              </w:rPr>
              <w:t>本次环评建议总量控制指标：</w:t>
            </w:r>
          </w:p>
          <w:p>
            <w:pPr>
              <w:adjustRightInd w:val="0"/>
              <w:snapToGrid w:val="0"/>
              <w:spacing w:beforeLines="50" w:line="360" w:lineRule="auto"/>
              <w:ind w:firstLine="2160" w:firstLineChars="900"/>
              <w:rPr>
                <w:sz w:val="24"/>
                <w:szCs w:val="24"/>
                <w:lang w:val="de-DE"/>
              </w:rPr>
            </w:pPr>
            <w:r>
              <w:rPr>
                <w:rFonts w:hint="eastAsia"/>
                <w:sz w:val="24"/>
                <w:szCs w:val="24"/>
                <w:lang w:val="de-DE"/>
              </w:rPr>
              <w:t>COD</w:t>
            </w:r>
            <w:r>
              <w:rPr>
                <w:rFonts w:hint="eastAsia"/>
                <w:sz w:val="24"/>
                <w:szCs w:val="24"/>
                <w:vertAlign w:val="subscript"/>
                <w:lang w:val="de-DE"/>
              </w:rPr>
              <w:t>Cr</w:t>
            </w:r>
            <w:r>
              <w:rPr>
                <w:rFonts w:hint="eastAsia"/>
                <w:sz w:val="24"/>
                <w:szCs w:val="24"/>
                <w:lang w:val="de-DE"/>
              </w:rPr>
              <w:t>：1.825t/a</w:t>
            </w:r>
          </w:p>
          <w:p>
            <w:pPr>
              <w:adjustRightInd w:val="0"/>
              <w:snapToGrid w:val="0"/>
              <w:spacing w:beforeLines="50" w:line="360" w:lineRule="auto"/>
              <w:ind w:firstLine="2160" w:firstLineChars="900"/>
              <w:rPr>
                <w:sz w:val="24"/>
                <w:szCs w:val="24"/>
                <w:lang w:val="de-DE"/>
              </w:rPr>
            </w:pPr>
            <w:r>
              <w:rPr>
                <w:rFonts w:hint="eastAsia"/>
                <w:sz w:val="24"/>
                <w:szCs w:val="24"/>
                <w:lang w:val="de-DE"/>
              </w:rPr>
              <w:t>NH</w:t>
            </w:r>
            <w:r>
              <w:rPr>
                <w:rFonts w:hint="eastAsia"/>
                <w:sz w:val="24"/>
                <w:szCs w:val="24"/>
                <w:vertAlign w:val="subscript"/>
                <w:lang w:val="de-DE"/>
              </w:rPr>
              <w:t>3</w:t>
            </w:r>
            <w:r>
              <w:rPr>
                <w:rFonts w:hint="eastAsia"/>
                <w:sz w:val="24"/>
                <w:szCs w:val="24"/>
                <w:lang w:val="de-DE"/>
              </w:rPr>
              <w:t>-N：</w:t>
            </w:r>
            <w:r>
              <w:rPr>
                <w:rFonts w:hint="eastAsia" w:ascii="??" w:hAnsi="??" w:cs="??"/>
                <w:kern w:val="0"/>
                <w:sz w:val="24"/>
                <w:szCs w:val="24"/>
                <w:lang w:val="de-DE"/>
              </w:rPr>
              <w:t>0.1825</w:t>
            </w:r>
            <w:r>
              <w:rPr>
                <w:rFonts w:hint="eastAsia"/>
                <w:sz w:val="24"/>
                <w:szCs w:val="24"/>
                <w:lang w:val="de-DE"/>
              </w:rPr>
              <w:t>t/a</w:t>
            </w:r>
          </w:p>
        </w:tc>
      </w:tr>
    </w:tbl>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r>
        <w:rPr>
          <w:rFonts w:hint="eastAsia"/>
          <w:b/>
          <w:sz w:val="32"/>
        </w:rPr>
        <w:t>建设项目工程分析</w:t>
      </w:r>
    </w:p>
    <w:tbl>
      <w:tblPr>
        <w:tblStyle w:val="35"/>
        <w:tblW w:w="9117" w:type="dxa"/>
        <w:jc w:val="center"/>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11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11744" w:hRule="atLeast"/>
          <w:jc w:val="center"/>
        </w:trPr>
        <w:tc>
          <w:tcPr>
            <w:tcW w:w="9117" w:type="dxa"/>
          </w:tcPr>
          <w:p>
            <w:pPr>
              <w:spacing w:line="360" w:lineRule="auto"/>
              <w:rPr>
                <w:b/>
                <w:sz w:val="24"/>
                <w:szCs w:val="24"/>
              </w:rPr>
            </w:pPr>
            <w:r>
              <w:rPr>
                <w:rFonts w:hint="eastAsia"/>
                <w:b/>
                <w:sz w:val="24"/>
                <w:szCs w:val="24"/>
              </w:rPr>
              <w:t>工艺流程简述（图示）</w:t>
            </w:r>
          </w:p>
          <w:p>
            <w:pPr>
              <w:spacing w:line="360" w:lineRule="auto"/>
              <w:ind w:firstLine="480" w:firstLineChars="200"/>
              <w:rPr>
                <w:sz w:val="24"/>
                <w:szCs w:val="24"/>
              </w:rPr>
            </w:pPr>
            <w:r>
              <w:rPr>
                <w:rFonts w:hint="eastAsia"/>
                <w:sz w:val="24"/>
                <w:szCs w:val="24"/>
              </w:rPr>
              <w:t>本项目对环境的影响分为施工期和运营期，施工期对环境的影响主要表现为各种施工活动对环境的影响。运营期对环境的影响主要是废水、废气、噪声和固体废物对周围环境的影响。</w:t>
            </w:r>
          </w:p>
          <w:p>
            <w:pPr>
              <w:spacing w:line="360" w:lineRule="auto"/>
              <w:ind w:firstLine="482" w:firstLineChars="200"/>
              <w:rPr>
                <w:b/>
                <w:sz w:val="24"/>
                <w:szCs w:val="24"/>
              </w:rPr>
            </w:pPr>
            <w:r>
              <w:rPr>
                <w:rFonts w:hint="eastAsia"/>
                <w:b/>
                <w:sz w:val="24"/>
                <w:szCs w:val="24"/>
              </w:rPr>
              <w:t>一、施工期</w:t>
            </w:r>
          </w:p>
          <w:p>
            <w:pPr>
              <w:spacing w:line="360" w:lineRule="auto"/>
              <w:ind w:firstLine="480" w:firstLineChars="200"/>
              <w:rPr>
                <w:sz w:val="24"/>
                <w:szCs w:val="24"/>
              </w:rPr>
            </w:pPr>
            <w:r>
              <w:rPr>
                <w:rFonts w:hint="eastAsia"/>
                <w:sz w:val="24"/>
                <w:szCs w:val="24"/>
              </w:rPr>
              <w:t>本项目在建设过程中，会产生噪声、废气、废水及固体废物等污染，施工期的施工流程及产污环节如下图所示。</w:t>
            </w:r>
          </w:p>
          <w:p>
            <w:pPr>
              <w:spacing w:line="360" w:lineRule="auto"/>
              <w:ind w:firstLine="480" w:firstLineChars="200"/>
              <w:rPr>
                <w:sz w:val="24"/>
                <w:szCs w:val="24"/>
              </w:rPr>
            </w:pPr>
            <w:r>
              <w:rPr>
                <w:sz w:val="24"/>
                <w:szCs w:val="24"/>
              </w:rPr>
              <w:pict>
                <v:group id="_x0000_s327778" o:spid="_x0000_s327778" o:spt="203" style="height:192.6pt;width:445.05pt;" coordorigin="1664,5724" coordsize="8901,3852" editas="canvas">
                  <o:lock v:ext="edit"/>
                  <v:shape id="_x0000_s327779" o:spid="_x0000_s327779" o:spt="75" type="#_x0000_t75" style="position:absolute;left:1664;top:5724;height:3852;width:8901;" filled="f" o:preferrelative="f" stroked="t" coordsize="21600,21600">
                    <v:fill on="f" focussize="0,0"/>
                    <v:stroke color="#000000 [3213]" joinstyle="miter"/>
                    <v:imagedata o:title=""/>
                    <o:lock v:ext="edit" text="t" aspectratio="t"/>
                  </v:shape>
                  <v:rect id="_x0000_s327780" o:spid="_x0000_s327780" o:spt="1" style="position:absolute;left:2293;top:7434;height:338;width:1079;" filled="f" coordsize="21600,21600">
                    <v:path/>
                    <v:fill on="f" focussize="0,0"/>
                    <v:stroke/>
                    <v:imagedata o:title=""/>
                    <o:lock v:ext="edit"/>
                    <v:textbox inset="2.83692913385827pt,1.41842519685039pt,2.83692913385827pt,1.41842519685039pt">
                      <w:txbxContent>
                        <w:p>
                          <w:pPr>
                            <w:adjustRightInd w:val="0"/>
                            <w:snapToGrid w:val="0"/>
                            <w:jc w:val="center"/>
                            <w:rPr>
                              <w:spacing w:val="-10"/>
                              <w:szCs w:val="21"/>
                            </w:rPr>
                          </w:pPr>
                          <w:r>
                            <w:rPr>
                              <w:rFonts w:hint="eastAsia"/>
                              <w:spacing w:val="-10"/>
                              <w:szCs w:val="21"/>
                            </w:rPr>
                            <w:t>地基开挖</w:t>
                          </w:r>
                        </w:p>
                      </w:txbxContent>
                    </v:textbox>
                  </v:rect>
                  <v:line id="_x0000_s327781" o:spid="_x0000_s327781" o:spt="20" style="position:absolute;left:3372;top:7592;height:1;width:360;" coordsize="21600,21600">
                    <v:path arrowok="t"/>
                    <v:fill focussize="0,0"/>
                    <v:stroke endarrow="block" endarrowwidth="narrow" endarrowlength="long"/>
                    <v:imagedata o:title=""/>
                    <o:lock v:ext="edit"/>
                  </v:line>
                  <v:rect id="_x0000_s327782" o:spid="_x0000_s327782" o:spt="1" style="position:absolute;left:3732;top:7434;height:338;width:1079;" filled="f" coordsize="21600,21600">
                    <v:path/>
                    <v:fill on="f" focussize="0,0"/>
                    <v:stroke/>
                    <v:imagedata o:title=""/>
                    <o:lock v:ext="edit"/>
                    <v:textbox inset="2.83692913385827pt,1.41842519685039pt,2.83692913385827pt,1.41842519685039pt">
                      <w:txbxContent>
                        <w:p>
                          <w:pPr>
                            <w:adjustRightInd w:val="0"/>
                            <w:snapToGrid w:val="0"/>
                            <w:jc w:val="center"/>
                            <w:rPr>
                              <w:spacing w:val="-10"/>
                              <w:szCs w:val="21"/>
                            </w:rPr>
                          </w:pPr>
                          <w:r>
                            <w:rPr>
                              <w:rFonts w:hint="eastAsia"/>
                              <w:spacing w:val="-10"/>
                              <w:szCs w:val="21"/>
                            </w:rPr>
                            <w:t>主体施工</w:t>
                          </w:r>
                        </w:p>
                        <w:p>
                          <w:pPr>
                            <w:rPr>
                              <w:szCs w:val="21"/>
                            </w:rPr>
                          </w:pPr>
                        </w:p>
                      </w:txbxContent>
                    </v:textbox>
                  </v:rect>
                  <v:line id="_x0000_s327783" o:spid="_x0000_s327783" o:spt="20" style="position:absolute;left:4808;top:7591;height:1;width:624;" coordsize="21600,21600">
                    <v:path arrowok="t"/>
                    <v:fill focussize="0,0"/>
                    <v:stroke endarrow="block" endarrowwidth="narrow" endarrowlength="long"/>
                    <v:imagedata o:title=""/>
                    <o:lock v:ext="edit"/>
                  </v:line>
                  <v:rect id="_x0000_s327784" o:spid="_x0000_s327784" o:spt="1" style="position:absolute;left:5432;top:7422;height:337;width:1080;" filled="f" coordsize="21600,21600">
                    <v:path/>
                    <v:fill on="f" focussize="0,0"/>
                    <v:stroke/>
                    <v:imagedata o:title=""/>
                    <o:lock v:ext="edit"/>
                    <v:textbox inset="2.83692913385827pt,1.41842519685039pt,2.83692913385827pt,1.41842519685039pt">
                      <w:txbxContent>
                        <w:p>
                          <w:pPr>
                            <w:adjustRightInd w:val="0"/>
                            <w:snapToGrid w:val="0"/>
                            <w:jc w:val="center"/>
                            <w:rPr>
                              <w:spacing w:val="-10"/>
                              <w:szCs w:val="21"/>
                            </w:rPr>
                          </w:pPr>
                          <w:r>
                            <w:rPr>
                              <w:rFonts w:hint="eastAsia"/>
                              <w:spacing w:val="-10"/>
                              <w:szCs w:val="21"/>
                            </w:rPr>
                            <w:t>设备安装</w:t>
                          </w:r>
                        </w:p>
                        <w:p>
                          <w:pPr>
                            <w:rPr>
                              <w:szCs w:val="21"/>
                            </w:rPr>
                          </w:pPr>
                        </w:p>
                      </w:txbxContent>
                    </v:textbox>
                  </v:rect>
                  <v:line id="_x0000_s327785" o:spid="_x0000_s327785" o:spt="20" style="position:absolute;left:6512;top:7577;flip:y;height:14;width:560;" coordsize="21600,21600">
                    <v:path arrowok="t"/>
                    <v:fill focussize="0,0"/>
                    <v:stroke endarrow="block" endarrowwidth="narrow" endarrowlength="long"/>
                    <v:imagedata o:title=""/>
                    <o:lock v:ext="edit"/>
                  </v:line>
                  <v:rect id="_x0000_s327786" o:spid="_x0000_s327786" o:spt="1" style="position:absolute;left:7050;top:7422;height:337;width:1080;" filled="f" coordsize="21600,21600">
                    <v:path/>
                    <v:fill on="f" focussize="0,0"/>
                    <v:stroke/>
                    <v:imagedata o:title=""/>
                    <o:lock v:ext="edit"/>
                    <v:textbox inset="2.83692913385827pt,1.41842519685039pt,2.83692913385827pt,1.41842519685039pt">
                      <w:txbxContent>
                        <w:p>
                          <w:pPr>
                            <w:adjustRightInd w:val="0"/>
                            <w:snapToGrid w:val="0"/>
                            <w:jc w:val="center"/>
                            <w:rPr>
                              <w:spacing w:val="-10"/>
                              <w:szCs w:val="21"/>
                            </w:rPr>
                          </w:pPr>
                          <w:r>
                            <w:rPr>
                              <w:rFonts w:hint="eastAsia"/>
                              <w:spacing w:val="-10"/>
                              <w:szCs w:val="21"/>
                            </w:rPr>
                            <w:t>工程验收</w:t>
                          </w:r>
                        </w:p>
                        <w:p>
                          <w:pPr>
                            <w:rPr>
                              <w:szCs w:val="21"/>
                            </w:rPr>
                          </w:pPr>
                        </w:p>
                      </w:txbxContent>
                    </v:textbox>
                  </v:rect>
                  <v:line id="_x0000_s327787" o:spid="_x0000_s327787" o:spt="20" style="position:absolute;left:8130;top:7593;height:1;width:881;" coordsize="21600,21600">
                    <v:path arrowok="t"/>
                    <v:fill focussize="0,0"/>
                    <v:stroke endarrow="block" endarrowwidth="narrow" endarrowlength="long"/>
                    <v:imagedata o:title=""/>
                    <o:lock v:ext="edit"/>
                  </v:line>
                  <v:rect id="_x0000_s327788" o:spid="_x0000_s327788" o:spt="1" style="position:absolute;left:9011;top:7401;height:337;width:1080;" filled="f" coordsize="21600,21600">
                    <v:path/>
                    <v:fill on="f" focussize="0,0"/>
                    <v:stroke/>
                    <v:imagedata o:title=""/>
                    <o:lock v:ext="edit"/>
                    <v:textbox inset="2.83692913385827pt,1.41842519685039pt,2.83692913385827pt,1.41842519685039pt">
                      <w:txbxContent>
                        <w:p>
                          <w:pPr>
                            <w:adjustRightInd w:val="0"/>
                            <w:snapToGrid w:val="0"/>
                            <w:jc w:val="center"/>
                            <w:rPr>
                              <w:spacing w:val="-10"/>
                              <w:szCs w:val="21"/>
                            </w:rPr>
                          </w:pPr>
                          <w:r>
                            <w:rPr>
                              <w:rFonts w:hint="eastAsia"/>
                              <w:spacing w:val="-10"/>
                              <w:szCs w:val="21"/>
                            </w:rPr>
                            <w:t>运行使用</w:t>
                          </w:r>
                        </w:p>
                        <w:p>
                          <w:pPr>
                            <w:rPr>
                              <w:szCs w:val="21"/>
                            </w:rPr>
                          </w:pPr>
                        </w:p>
                      </w:txbxContent>
                    </v:textbox>
                  </v:rect>
                  <v:line id="_x0000_s327789" o:spid="_x0000_s327789" o:spt="20" style="position:absolute;left:2837;top:7097;flip:x y;height:325;width:0;" coordsize="21600,21600">
                    <v:path arrowok="t"/>
                    <v:fill focussize="0,0"/>
                    <v:stroke dashstyle="dashDot" endarrow="block" endarrowwidth="narrow" endarrowlength="long"/>
                    <v:imagedata o:title=""/>
                    <o:lock v:ext="edit"/>
                  </v:line>
                  <v:line id="_x0000_s327790" o:spid="_x0000_s327790" o:spt="20" style="position:absolute;left:4262;top:7097;flip:y;height:325;width:1;" coordsize="21600,21600">
                    <v:path arrowok="t"/>
                    <v:fill focussize="0,0"/>
                    <v:stroke dashstyle="dashDot" endarrow="block" endarrowwidth="narrow" endarrowlength="long"/>
                    <v:imagedata o:title=""/>
                    <o:lock v:ext="edit"/>
                  </v:line>
                  <v:line id="_x0000_s327791" o:spid="_x0000_s327791" o:spt="20" style="position:absolute;left:5964;top:7076;flip:y;height:325;width:1;" coordsize="21600,21600">
                    <v:path arrowok="t"/>
                    <v:fill focussize="0,0"/>
                    <v:stroke dashstyle="dashDot" endarrow="block" endarrowwidth="narrow" endarrowlength="long"/>
                    <v:imagedata o:title=""/>
                    <o:lock v:ext="edit"/>
                  </v:line>
                  <v:line id="_x0000_s327792" o:spid="_x0000_s327792" o:spt="20" style="position:absolute;left:7569;top:7076;flip:x y;height:336;width:1;" coordsize="21600,21600">
                    <v:path arrowok="t"/>
                    <v:fill focussize="0,0"/>
                    <v:stroke dashstyle="dashDot" endarrow="block" endarrowwidth="narrow" endarrowlength="long"/>
                    <v:imagedata o:title=""/>
                    <o:lock v:ext="edit"/>
                  </v:line>
                  <v:rect id="_x0000_s327793" o:spid="_x0000_s327793" o:spt="1" style="position:absolute;left:3685;top:6679;height:337;width:1238;" filled="f" stroked="f" coordsize="21600,21600">
                    <v:path/>
                    <v:fill on="f" focussize="0,0"/>
                    <v:stroke on="f" dashstyle="dash"/>
                    <v:imagedata o:title=""/>
                    <o:lock v:ext="edit"/>
                    <v:textbox inset="1.41842519685039pt,1.41842519685039pt,1.41842519685039pt,1.41842519685039pt">
                      <w:txbxContent>
                        <w:p>
                          <w:pPr>
                            <w:adjustRightInd w:val="0"/>
                            <w:snapToGrid w:val="0"/>
                            <w:jc w:val="center"/>
                            <w:rPr>
                              <w:spacing w:val="-10"/>
                              <w:szCs w:val="21"/>
                            </w:rPr>
                          </w:pPr>
                          <w:r>
                            <w:rPr>
                              <w:rFonts w:hint="eastAsia"/>
                              <w:spacing w:val="-10"/>
                              <w:szCs w:val="21"/>
                            </w:rPr>
                            <w:t>扬尘、废气</w:t>
                          </w:r>
                        </w:p>
                      </w:txbxContent>
                    </v:textbox>
                  </v:rect>
                  <v:line id="_x0000_s327794" o:spid="_x0000_s327794" o:spt="20" style="position:absolute;left:2837;top:7076;height:1;width:4732;" coordsize="21600,21600">
                    <v:path arrowok="t"/>
                    <v:fill focussize="0,0"/>
                    <v:stroke dashstyle="dashDot"/>
                    <v:imagedata o:title=""/>
                    <o:lock v:ext="edit"/>
                  </v:line>
                  <v:rect id="_x0000_s327795" o:spid="_x0000_s327795" o:spt="1" style="position:absolute;left:2559;top:6703;height:337;width:856;" filled="f" stroked="f" coordsize="21600,21600">
                    <v:path/>
                    <v:fill on="f" focussize="0,0"/>
                    <v:stroke on="f" dashstyle="dash"/>
                    <v:imagedata o:title=""/>
                    <o:lock v:ext="edit"/>
                    <v:textbox inset="1.41842519685039pt,1.41842519685039pt,1.41842519685039pt,1.41842519685039pt">
                      <w:txbxContent>
                        <w:p>
                          <w:pPr>
                            <w:adjustRightInd w:val="0"/>
                            <w:snapToGrid w:val="0"/>
                            <w:jc w:val="center"/>
                            <w:rPr>
                              <w:spacing w:val="-10"/>
                              <w:szCs w:val="21"/>
                            </w:rPr>
                          </w:pPr>
                          <w:r>
                            <w:rPr>
                              <w:rFonts w:hint="eastAsia"/>
                              <w:spacing w:val="-10"/>
                              <w:szCs w:val="21"/>
                            </w:rPr>
                            <w:t>噪声</w:t>
                          </w:r>
                        </w:p>
                      </w:txbxContent>
                    </v:textbox>
                  </v:rect>
                  <v:line id="_x0000_s327796" o:spid="_x0000_s327796" o:spt="20" style="position:absolute;left:2987;top:6233;flip:y;height:402;width:0;" coordsize="21600,21600">
                    <v:path arrowok="t"/>
                    <v:fill focussize="0,0"/>
                    <v:stroke dashstyle="dashDot" endarrow="block" endarrowwidth="narrow" endarrowlength="long"/>
                    <v:imagedata o:title=""/>
                    <o:lock v:ext="edit"/>
                  </v:line>
                  <v:rect id="_x0000_s327797" o:spid="_x0000_s327797" o:spt="1" style="position:absolute;left:2549;top:5829;height:337;width:856;" filled="f" stroked="f" coordsize="21600,21600">
                    <v:path/>
                    <v:fill on="f" focussize="0,0"/>
                    <v:stroke on="f" dashstyle="dash"/>
                    <v:imagedata o:title=""/>
                    <o:lock v:ext="edit"/>
                    <v:textbox inset="1.41842519685039pt,1.41842519685039pt,1.41842519685039pt,1.41842519685039pt">
                      <w:txbxContent>
                        <w:p>
                          <w:pPr>
                            <w:adjustRightInd w:val="0"/>
                            <w:snapToGrid w:val="0"/>
                            <w:jc w:val="center"/>
                            <w:rPr>
                              <w:spacing w:val="-10"/>
                              <w:szCs w:val="21"/>
                            </w:rPr>
                          </w:pPr>
                          <w:r>
                            <w:rPr>
                              <w:rFonts w:hint="eastAsia"/>
                              <w:spacing w:val="-10"/>
                              <w:szCs w:val="21"/>
                            </w:rPr>
                            <w:t>声环境</w:t>
                          </w:r>
                        </w:p>
                      </w:txbxContent>
                    </v:textbox>
                  </v:rect>
                  <v:line id="_x0000_s327798" o:spid="_x0000_s327798" o:spt="20" style="position:absolute;left:4305;top:6254;flip:y;height:402;width:1;" coordsize="21600,21600">
                    <v:path arrowok="t"/>
                    <v:fill focussize="0,0"/>
                    <v:stroke dashstyle="dashDot" endarrow="block" endarrowwidth="narrow" endarrowlength="long"/>
                    <v:imagedata o:title=""/>
                    <o:lock v:ext="edit"/>
                  </v:line>
                  <v:rect id="_x0000_s327799" o:spid="_x0000_s327799" o:spt="1" style="position:absolute;left:3858;top:5840;height:337;width:856;" filled="f" stroked="f" coordsize="21600,21600">
                    <v:path/>
                    <v:fill on="f" focussize="0,0"/>
                    <v:stroke on="f" dashstyle="dash"/>
                    <v:imagedata o:title=""/>
                    <o:lock v:ext="edit"/>
                    <v:textbox inset="1.41842519685039pt,1.41842519685039pt,1.41842519685039pt,1.41842519685039pt">
                      <w:txbxContent>
                        <w:p>
                          <w:pPr>
                            <w:adjustRightInd w:val="0"/>
                            <w:snapToGrid w:val="0"/>
                            <w:jc w:val="center"/>
                            <w:rPr>
                              <w:spacing w:val="-10"/>
                              <w:szCs w:val="21"/>
                            </w:rPr>
                          </w:pPr>
                          <w:r>
                            <w:rPr>
                              <w:rFonts w:hint="eastAsia"/>
                              <w:spacing w:val="-10"/>
                              <w:szCs w:val="21"/>
                            </w:rPr>
                            <w:t>大气环境</w:t>
                          </w:r>
                        </w:p>
                      </w:txbxContent>
                    </v:textbox>
                  </v:rect>
                  <v:rect id="_x0000_s327800" o:spid="_x0000_s327800" o:spt="1" style="position:absolute;left:5492;top:6734;height:337;width:1074;" filled="f" stroked="f" coordsize="21600,21600">
                    <v:path/>
                    <v:fill on="f" focussize="0,0"/>
                    <v:stroke on="f" dashstyle="dash"/>
                    <v:imagedata o:title=""/>
                    <o:lock v:ext="edit"/>
                    <v:textbox inset="1.41842519685039pt,1.41842519685039pt,1.41842519685039pt,1.41842519685039pt">
                      <w:txbxContent>
                        <w:p>
                          <w:pPr>
                            <w:adjustRightInd w:val="0"/>
                            <w:snapToGrid w:val="0"/>
                            <w:jc w:val="center"/>
                            <w:rPr>
                              <w:spacing w:val="-10"/>
                              <w:szCs w:val="21"/>
                            </w:rPr>
                          </w:pPr>
                          <w:r>
                            <w:rPr>
                              <w:rFonts w:hint="eastAsia"/>
                              <w:spacing w:val="-10"/>
                              <w:szCs w:val="21"/>
                            </w:rPr>
                            <w:t>建筑废水</w:t>
                          </w:r>
                        </w:p>
                      </w:txbxContent>
                    </v:textbox>
                  </v:rect>
                  <v:line id="_x0000_s327801" o:spid="_x0000_s327801" o:spt="20" style="position:absolute;left:6014;top:6310;flip:y;height:402;width:1;" coordsize="21600,21600">
                    <v:path arrowok="t"/>
                    <v:fill focussize="0,0"/>
                    <v:stroke dashstyle="dashDot" endarrow="block" endarrowwidth="narrow" endarrowlength="long"/>
                    <v:imagedata o:title=""/>
                    <o:lock v:ext="edit"/>
                  </v:line>
                  <v:rect id="_x0000_s327802" o:spid="_x0000_s327802" o:spt="1" style="position:absolute;left:5339;top:5995;height:337;width:1333;" filled="f" stroked="f" coordsize="21600,21600">
                    <v:path/>
                    <v:fill on="f" focussize="0,0"/>
                    <v:stroke on="f" dashstyle="dash"/>
                    <v:imagedata o:title=""/>
                    <o:lock v:ext="edit"/>
                    <v:textbox inset="1.41842519685039pt,1.41842519685039pt,1.41842519685039pt,1.41842519685039pt">
                      <w:txbxContent>
                        <w:p>
                          <w:pPr>
                            <w:adjustRightInd w:val="0"/>
                            <w:snapToGrid w:val="0"/>
                            <w:jc w:val="center"/>
                            <w:rPr>
                              <w:spacing w:val="-10"/>
                              <w:szCs w:val="21"/>
                            </w:rPr>
                          </w:pPr>
                          <w:r>
                            <w:rPr>
                              <w:rFonts w:hint="eastAsia"/>
                              <w:spacing w:val="-10"/>
                              <w:szCs w:val="21"/>
                            </w:rPr>
                            <w:t>临时沉淀池</w:t>
                          </w:r>
                        </w:p>
                      </w:txbxContent>
                    </v:textbox>
                  </v:rect>
                  <v:line id="_x0000_s327803" o:spid="_x0000_s327803" o:spt="20" style="position:absolute;left:5225;top:6157;height:739;width:6;" coordsize="21600,21600">
                    <v:path arrowok="t"/>
                    <v:fill focussize="0,0"/>
                    <v:stroke dashstyle="dashDot"/>
                    <v:imagedata o:title=""/>
                    <o:lock v:ext="edit"/>
                  </v:line>
                  <v:line id="_x0000_s327804" o:spid="_x0000_s327804" o:spt="20" style="position:absolute;left:5225;top:6895;height:1;width:360;" coordsize="21600,21600">
                    <v:path arrowok="t"/>
                    <v:fill focussize="0,0"/>
                    <v:stroke dashstyle="dash" endarrow="block" endarrowwidth="narrow" endarrowlength="long"/>
                    <v:imagedata o:title=""/>
                    <o:lock v:ext="edit"/>
                  </v:line>
                  <v:rect id="_x0000_s327805" o:spid="_x0000_s327805" o:spt="1" style="position:absolute;left:5081;top:6363;height:337;width:640;" filled="f" stroked="f" coordsize="21600,21600">
                    <v:path/>
                    <v:fill on="f" focussize="0,0"/>
                    <v:stroke on="f" dashstyle="dash"/>
                    <v:imagedata o:title=""/>
                    <o:lock v:ext="edit"/>
                    <v:textbox inset="1.41842519685039pt,1.41842519685039pt,1.41842519685039pt,1.41842519685039pt">
                      <w:txbxContent>
                        <w:p>
                          <w:pPr>
                            <w:adjustRightInd w:val="0"/>
                            <w:snapToGrid w:val="0"/>
                            <w:jc w:val="center"/>
                            <w:rPr>
                              <w:spacing w:val="-10"/>
                              <w:sz w:val="18"/>
                              <w:szCs w:val="18"/>
                            </w:rPr>
                          </w:pPr>
                          <w:r>
                            <w:rPr>
                              <w:rFonts w:hint="eastAsia"/>
                              <w:spacing w:val="-10"/>
                              <w:sz w:val="18"/>
                              <w:szCs w:val="18"/>
                            </w:rPr>
                            <w:t>回用</w:t>
                          </w:r>
                        </w:p>
                      </w:txbxContent>
                    </v:textbox>
                  </v:rect>
                  <v:line id="_x0000_s327806" o:spid="_x0000_s327806" o:spt="20" style="position:absolute;left:5231;top:6094;height:1;width:212;" coordsize="21600,21600">
                    <v:path arrowok="t"/>
                    <v:fill focussize="0,0"/>
                    <v:stroke dashstyle="dashDot"/>
                    <v:imagedata o:title=""/>
                    <o:lock v:ext="edit"/>
                  </v:line>
                  <v:rect id="_x0000_s327807" o:spid="_x0000_s327807" o:spt="1" style="position:absolute;left:6819;top:6734;height:337;width:856;" filled="f" stroked="f" coordsize="21600,21600">
                    <v:path/>
                    <v:fill on="f" focussize="0,0"/>
                    <v:stroke on="f" dashstyle="dash"/>
                    <v:imagedata o:title=""/>
                    <o:lock v:ext="edit"/>
                    <v:textbox inset="1.41842519685039pt,1.41842519685039pt,1.41842519685039pt,1.41842519685039pt">
                      <w:txbxContent>
                        <w:p>
                          <w:pPr>
                            <w:adjustRightInd w:val="0"/>
                            <w:snapToGrid w:val="0"/>
                            <w:jc w:val="center"/>
                            <w:rPr>
                              <w:spacing w:val="-10"/>
                              <w:szCs w:val="21"/>
                            </w:rPr>
                          </w:pPr>
                          <w:r>
                            <w:rPr>
                              <w:rFonts w:hint="eastAsia"/>
                              <w:spacing w:val="-10"/>
                              <w:szCs w:val="21"/>
                            </w:rPr>
                            <w:t>生活废水</w:t>
                          </w:r>
                        </w:p>
                      </w:txbxContent>
                    </v:textbox>
                  </v:rect>
                  <v:line id="_x0000_s327808" o:spid="_x0000_s327808" o:spt="20" style="position:absolute;left:7221;top:6318;flip:y;height:402;width:1;" coordsize="21600,21600">
                    <v:path arrowok="t"/>
                    <v:fill focussize="0,0"/>
                    <v:stroke dashstyle="dashDot" endarrow="block" endarrowwidth="narrow" endarrowlength="long"/>
                    <v:imagedata o:title=""/>
                    <o:lock v:ext="edit"/>
                  </v:line>
                  <v:line id="_x0000_s327809" o:spid="_x0000_s327809" o:spt="20" style="position:absolute;left:9563;top:6471;flip:y;height:936;width:1;" coordsize="21600,21600">
                    <v:path arrowok="t"/>
                    <v:fill focussize="0,0"/>
                    <v:stroke dashstyle="dashDot" endarrow="block" endarrowwidth="narrow" endarrowlength="long"/>
                    <v:imagedata o:title=""/>
                    <o:lock v:ext="edit"/>
                  </v:line>
                  <v:rect id="_x0000_s327810" o:spid="_x0000_s327810" o:spt="1" style="position:absolute;left:6672;top:5724;height:573;width:1215;" filled="f" stroked="f" coordsize="21600,21600">
                    <v:path/>
                    <v:fill on="f" focussize="0,0"/>
                    <v:stroke on="f" dashstyle="dash"/>
                    <v:imagedata o:title=""/>
                    <o:lock v:ext="edit"/>
                    <v:textbox inset="1.41842519685039pt,1.41842519685039pt,1.41842519685039pt,1.41842519685039pt">
                      <w:txbxContent>
                        <w:p>
                          <w:pPr>
                            <w:adjustRightInd w:val="0"/>
                            <w:snapToGrid w:val="0"/>
                            <w:rPr>
                              <w:spacing w:val="-10"/>
                              <w:szCs w:val="21"/>
                            </w:rPr>
                          </w:pPr>
                          <w:r>
                            <w:rPr>
                              <w:rFonts w:hint="eastAsia"/>
                              <w:spacing w:val="-10"/>
                              <w:szCs w:val="21"/>
                            </w:rPr>
                            <w:t>依托东风村公用设施解决</w:t>
                          </w:r>
                        </w:p>
                      </w:txbxContent>
                    </v:textbox>
                  </v:rect>
                  <v:line id="_x0000_s327811" o:spid="_x0000_s327811" o:spt="20" style="position:absolute;left:2852;top:7766;height:312;width:0;" coordsize="21600,21600">
                    <v:path arrowok="t"/>
                    <v:fill focussize="0,0"/>
                    <v:stroke dashstyle="dashDot" endarrow="block" endarrowwidth="narrow" endarrowlength="long"/>
                    <v:imagedata o:title=""/>
                    <o:lock v:ext="edit"/>
                  </v:line>
                  <v:line id="_x0000_s327812" o:spid="_x0000_s327812" o:spt="20" style="position:absolute;left:4287;top:7784;height:312;width:1;" coordsize="21600,21600">
                    <v:path arrowok="t"/>
                    <v:fill focussize="0,0"/>
                    <v:stroke dashstyle="dashDot" endarrow="block" endarrowwidth="narrow" endarrowlength="long"/>
                    <v:imagedata o:title=""/>
                    <o:lock v:ext="edit"/>
                  </v:line>
                  <v:line id="_x0000_s327813" o:spid="_x0000_s327813" o:spt="20" style="position:absolute;left:6015;top:7772;height:312;width:1;" coordsize="21600,21600">
                    <v:path arrowok="t"/>
                    <v:fill focussize="0,0"/>
                    <v:stroke dashstyle="dashDot" endarrow="block" endarrowwidth="narrow" endarrowlength="long"/>
                    <v:imagedata o:title=""/>
                    <o:lock v:ext="edit"/>
                  </v:line>
                  <v:line id="_x0000_s327814" o:spid="_x0000_s327814" o:spt="20" style="position:absolute;left:7674;top:7785;height:312;width:1;" coordsize="21600,21600">
                    <v:path arrowok="t"/>
                    <v:fill focussize="0,0"/>
                    <v:stroke dashstyle="dashDot" endarrow="block" endarrowwidth="narrow" endarrowlength="long"/>
                    <v:imagedata o:title=""/>
                    <o:lock v:ext="edit"/>
                  </v:line>
                  <v:line id="_x0000_s327815" o:spid="_x0000_s327815" o:spt="20" style="position:absolute;left:2877;top:8093;height:0;width:4798;" coordsize="21600,21600">
                    <v:path arrowok="t"/>
                    <v:fill focussize="0,0"/>
                    <v:stroke dashstyle="dashDot"/>
                    <v:imagedata o:title=""/>
                    <o:lock v:ext="edit"/>
                  </v:line>
                  <v:line id="_x0000_s327816" o:spid="_x0000_s327816" o:spt="20" style="position:absolute;left:3893;top:8426;height:468;width:0;" coordsize="21600,21600">
                    <v:path arrowok="t"/>
                    <v:fill focussize="0,0"/>
                    <v:stroke dashstyle="dashDot" endarrow="block" endarrowwidth="narrow" endarrowlength="long"/>
                    <v:imagedata o:title=""/>
                    <o:lock v:ext="edit"/>
                  </v:line>
                  <v:rect id="_x0000_s327817" o:spid="_x0000_s327817" o:spt="1" style="position:absolute;left:3108;top:8097;height:400;width:1568;" filled="f" stroked="f" coordsize="21600,21600">
                    <v:path/>
                    <v:fill on="f" focussize="0,0"/>
                    <v:stroke on="f" dashstyle="dash"/>
                    <v:imagedata o:title=""/>
                    <o:lock v:ext="edit"/>
                    <v:textbox inset="1.41842519685039pt,1.41842519685039pt,1.41842519685039pt,1.41842519685039pt">
                      <w:txbxContent>
                        <w:p>
                          <w:pPr>
                            <w:adjustRightInd w:val="0"/>
                            <w:snapToGrid w:val="0"/>
                            <w:jc w:val="center"/>
                            <w:rPr>
                              <w:spacing w:val="-10"/>
                              <w:szCs w:val="21"/>
                            </w:rPr>
                          </w:pPr>
                          <w:r>
                            <w:rPr>
                              <w:rFonts w:hint="eastAsia"/>
                              <w:spacing w:val="-10"/>
                              <w:szCs w:val="21"/>
                            </w:rPr>
                            <w:t>生活垃圾</w:t>
                          </w:r>
                        </w:p>
                      </w:txbxContent>
                    </v:textbox>
                  </v:rect>
                  <v:rect id="_x0000_s327818" o:spid="_x0000_s327818" o:spt="1" style="position:absolute;left:2953;top:8894;height:573;width:1887;" filled="f" stroked="f" coordsize="21600,21600">
                    <v:path/>
                    <v:fill on="f" focussize="0,0"/>
                    <v:stroke on="f" dashstyle="dash"/>
                    <v:imagedata o:title=""/>
                    <o:lock v:ext="edit"/>
                    <v:textbox inset="1.41842519685039pt,1.41842519685039pt,1.41842519685039pt,1.41842519685039pt">
                      <w:txbxContent>
                        <w:p>
                          <w:pPr>
                            <w:adjustRightInd w:val="0"/>
                            <w:snapToGrid w:val="0"/>
                            <w:jc w:val="center"/>
                            <w:rPr>
                              <w:spacing w:val="-10"/>
                              <w:szCs w:val="21"/>
                            </w:rPr>
                          </w:pPr>
                          <w:r>
                            <w:rPr>
                              <w:rFonts w:hint="eastAsia"/>
                              <w:spacing w:val="-10"/>
                              <w:szCs w:val="21"/>
                            </w:rPr>
                            <w:t>施工营地不设生活区，依托东风村公用设施解决</w:t>
                          </w:r>
                        </w:p>
                      </w:txbxContent>
                    </v:textbox>
                  </v:rect>
                  <v:rect id="_x0000_s327819" o:spid="_x0000_s327819" o:spt="1" style="position:absolute;left:5630;top:8097;height:400;width:1568;" filled="f" stroked="f" coordsize="21600,21600">
                    <v:path/>
                    <v:fill on="f" focussize="0,0"/>
                    <v:stroke on="f" dashstyle="dash"/>
                    <v:imagedata o:title=""/>
                    <o:lock v:ext="edit"/>
                    <v:textbox inset="1.41842519685039pt,1.41842519685039pt,1.41842519685039pt,1.41842519685039pt">
                      <w:txbxContent>
                        <w:p>
                          <w:pPr>
                            <w:adjustRightInd w:val="0"/>
                            <w:snapToGrid w:val="0"/>
                            <w:jc w:val="center"/>
                            <w:rPr>
                              <w:spacing w:val="-10"/>
                              <w:szCs w:val="21"/>
                            </w:rPr>
                          </w:pPr>
                          <w:r>
                            <w:rPr>
                              <w:rFonts w:hint="eastAsia"/>
                              <w:spacing w:val="-10"/>
                              <w:szCs w:val="21"/>
                            </w:rPr>
                            <w:t>建筑垃圾</w:t>
                          </w:r>
                        </w:p>
                      </w:txbxContent>
                    </v:textbox>
                  </v:rect>
                  <v:line id="_x0000_s327820" o:spid="_x0000_s327820" o:spt="20" style="position:absolute;left:6415;top:8398;height:468;width:0;" coordsize="21600,21600">
                    <v:path arrowok="t"/>
                    <v:fill focussize="0,0"/>
                    <v:stroke dashstyle="dashDot" endarrow="block" endarrowwidth="narrow" endarrowlength="long"/>
                    <v:imagedata o:title=""/>
                    <o:lock v:ext="edit"/>
                  </v:line>
                  <v:rect id="_x0000_s327821" o:spid="_x0000_s327821" o:spt="1" style="position:absolute;left:5525;top:8866;height:573;width:1789;" filled="f" stroked="f" coordsize="21600,21600">
                    <v:path/>
                    <v:fill on="f" focussize="0,0"/>
                    <v:stroke on="f" dashstyle="dash"/>
                    <v:imagedata o:title=""/>
                    <o:lock v:ext="edit"/>
                    <v:textbox inset="1.41842519685039pt,1.41842519685039pt,1.41842519685039pt,1.41842519685039pt">
                      <w:txbxContent>
                        <w:p>
                          <w:pPr>
                            <w:adjustRightInd w:val="0"/>
                            <w:snapToGrid w:val="0"/>
                            <w:jc w:val="center"/>
                            <w:rPr>
                              <w:spacing w:val="-10"/>
                              <w:szCs w:val="21"/>
                            </w:rPr>
                          </w:pPr>
                          <w:r>
                            <w:rPr>
                              <w:rFonts w:hint="eastAsia"/>
                              <w:spacing w:val="-10"/>
                              <w:szCs w:val="21"/>
                            </w:rPr>
                            <w:t>产生量少，管理回收及时清理施工区域</w:t>
                          </w:r>
                        </w:p>
                      </w:txbxContent>
                    </v:textbox>
                  </v:rect>
                  <v:rect id="_x0000_s327822" o:spid="_x0000_s327822" o:spt="1" style="position:absolute;left:8220;top:6157;height:337;width:2284;" filled="f" stroked="f" coordsize="21600,21600">
                    <v:path/>
                    <v:fill on="f" focussize="0,0"/>
                    <v:stroke on="f" dashstyle="dash"/>
                    <v:imagedata o:title=""/>
                    <o:lock v:ext="edit"/>
                    <v:textbox inset="1.41842519685039pt,1.41842519685039pt,1.41842519685039pt,1.41842519685039pt">
                      <w:txbxContent>
                        <w:p>
                          <w:pPr>
                            <w:adjustRightInd w:val="0"/>
                            <w:snapToGrid w:val="0"/>
                            <w:jc w:val="center"/>
                            <w:rPr>
                              <w:spacing w:val="-10"/>
                              <w:szCs w:val="21"/>
                            </w:rPr>
                          </w:pPr>
                          <w:r>
                            <w:rPr>
                              <w:rFonts w:hint="eastAsia"/>
                              <w:spacing w:val="-10"/>
                              <w:szCs w:val="21"/>
                            </w:rPr>
                            <w:t>废气、废水、噪声、固废</w:t>
                          </w:r>
                        </w:p>
                      </w:txbxContent>
                    </v:textbox>
                  </v:rect>
                  <w10:wrap type="none"/>
                  <w10:anchorlock/>
                </v:group>
              </w:pict>
            </w:r>
          </w:p>
          <w:p>
            <w:pPr>
              <w:spacing w:line="360" w:lineRule="auto"/>
              <w:jc w:val="center"/>
              <w:rPr>
                <w:rFonts w:ascii="宋体" w:hAnsi="宋体"/>
                <w:b/>
                <w:szCs w:val="21"/>
              </w:rPr>
            </w:pPr>
            <w:r>
              <w:rPr>
                <w:rFonts w:hAnsi="宋体"/>
                <w:b/>
                <w:szCs w:val="21"/>
              </w:rPr>
              <w:t>图</w:t>
            </w:r>
            <w:r>
              <w:rPr>
                <w:rFonts w:hint="eastAsia"/>
                <w:b/>
                <w:szCs w:val="21"/>
              </w:rPr>
              <w:t>14-1</w:t>
            </w:r>
            <w:r>
              <w:rPr>
                <w:b/>
                <w:szCs w:val="21"/>
              </w:rPr>
              <w:t xml:space="preserve">   </w:t>
            </w:r>
            <w:r>
              <w:rPr>
                <w:rFonts w:hAnsi="宋体"/>
                <w:b/>
                <w:szCs w:val="21"/>
              </w:rPr>
              <w:t>污水处理</w:t>
            </w:r>
            <w:r>
              <w:rPr>
                <w:rFonts w:hint="eastAsia" w:ascii="宋体" w:hAnsi="宋体"/>
                <w:b/>
                <w:szCs w:val="21"/>
              </w:rPr>
              <w:t>站施工期工艺流程及产污环节图</w:t>
            </w:r>
          </w:p>
          <w:p>
            <w:pPr>
              <w:spacing w:line="360" w:lineRule="auto"/>
              <w:jc w:val="center"/>
              <w:rPr>
                <w:rFonts w:ascii="宋体" w:hAnsi="宋体"/>
                <w:b/>
                <w:szCs w:val="21"/>
              </w:rPr>
            </w:pPr>
            <w:r>
              <w:rPr>
                <w:rFonts w:ascii="宋体" w:hAnsi="宋体"/>
                <w:b/>
                <w:szCs w:val="21"/>
              </w:rPr>
              <w:pict>
                <v:group id="_x0000_s327823" o:spid="_x0000_s327823" o:spt="203" style="height:195.45pt;width:437.5pt;" coordorigin="1664,9099" coordsize="8750,3909" editas="canvas">
                  <o:lock v:ext="edit"/>
                  <v:shape id="_x0000_s327824" o:spid="_x0000_s327824" o:spt="75" type="#_x0000_t75" style="position:absolute;left:1664;top:9099;height:3909;width:8750;" filled="f" o:preferrelative="f" stroked="t" coordsize="21600,21600">
                    <v:fill on="f" focussize="0,0"/>
                    <v:stroke color="#000000 [3213]" joinstyle="miter"/>
                    <v:imagedata o:title=""/>
                    <o:lock v:ext="edit" text="t" aspectratio="t"/>
                  </v:shape>
                  <v:shape id="_x0000_s327825" o:spid="_x0000_s327825" o:spt="202" type="#_x0000_t202" style="position:absolute;left:1749;top:10767;height:397;width:1586;" filled="f" coordsize="21600,21600">
                    <v:path/>
                    <v:fill on="f" focussize="0,0"/>
                    <v:stroke joinstyle="miter"/>
                    <v:imagedata o:title=""/>
                    <o:lock v:ext="edit"/>
                    <v:textbox>
                      <w:txbxContent>
                        <w:p>
                          <w:r>
                            <w:rPr>
                              <w:rFonts w:hint="eastAsia"/>
                            </w:rPr>
                            <w:t>原有路面拆除</w:t>
                          </w:r>
                        </w:p>
                      </w:txbxContent>
                    </v:textbox>
                  </v:shape>
                  <v:shape id="_x0000_s327826" o:spid="_x0000_s327826" o:spt="202" type="#_x0000_t202" style="position:absolute;left:3794;top:10765;height:399;width:1199;" filled="f" coordsize="21600,21600">
                    <v:path/>
                    <v:fill on="f" focussize="0,0"/>
                    <v:stroke joinstyle="miter"/>
                    <v:imagedata o:title=""/>
                    <o:lock v:ext="edit"/>
                    <v:textbox>
                      <w:txbxContent>
                        <w:p>
                          <w:r>
                            <w:rPr>
                              <w:rFonts w:hint="eastAsia"/>
                            </w:rPr>
                            <w:t>土方开挖</w:t>
                          </w:r>
                        </w:p>
                      </w:txbxContent>
                    </v:textbox>
                  </v:shape>
                  <v:shape id="_x0000_s327827" o:spid="_x0000_s327827" o:spt="202" type="#_x0000_t202" style="position:absolute;left:5440;top:10756;height:399;width:1199;" filled="f" coordsize="21600,21600">
                    <v:path/>
                    <v:fill on="f" focussize="0,0"/>
                    <v:stroke joinstyle="miter"/>
                    <v:imagedata o:title=""/>
                    <o:lock v:ext="edit"/>
                    <v:textbox>
                      <w:txbxContent>
                        <w:p>
                          <w:r>
                            <w:rPr>
                              <w:rFonts w:hint="eastAsia"/>
                            </w:rPr>
                            <w:t>路基工程</w:t>
                          </w:r>
                        </w:p>
                      </w:txbxContent>
                    </v:textbox>
                  </v:shape>
                  <v:shape id="_x0000_s327828" o:spid="_x0000_s327828" o:spt="202" type="#_x0000_t202" style="position:absolute;left:7094;top:10767;height:399;width:1199;" filled="f" coordsize="21600,21600">
                    <v:path/>
                    <v:fill on="f" focussize="0,0"/>
                    <v:stroke joinstyle="miter"/>
                    <v:imagedata o:title=""/>
                    <o:lock v:ext="edit"/>
                    <v:textbox>
                      <w:txbxContent>
                        <w:p>
                          <w:r>
                            <w:rPr>
                              <w:rFonts w:hint="eastAsia"/>
                            </w:rPr>
                            <w:t>路面工程</w:t>
                          </w:r>
                        </w:p>
                      </w:txbxContent>
                    </v:textbox>
                  </v:shape>
                  <v:shape id="_x0000_s327829" o:spid="_x0000_s327829" o:spt="202" type="#_x0000_t202" style="position:absolute;left:8751;top:10758;height:397;width:1202;" filled="f" coordsize="21600,21600">
                    <v:path/>
                    <v:fill on="f" focussize="0,0"/>
                    <v:stroke joinstyle="miter"/>
                    <v:imagedata o:title=""/>
                    <o:lock v:ext="edit"/>
                    <v:textbox>
                      <w:txbxContent>
                        <w:p>
                          <w:r>
                            <w:rPr>
                              <w:rFonts w:hint="eastAsia"/>
                            </w:rPr>
                            <w:t>道路运营</w:t>
                          </w:r>
                        </w:p>
                      </w:txbxContent>
                    </v:textbox>
                  </v:shape>
                  <v:line id="_x0000_s327830" o:spid="_x0000_s327830" o:spt="20" style="position:absolute;left:3336;top:10960;height:1;width:458;" coordsize="21600,21600">
                    <v:path arrowok="t"/>
                    <v:fill focussize="0,0"/>
                    <v:stroke endarrow="block" endarrowwidth="narrow" endarrowlength="long"/>
                    <v:imagedata o:title=""/>
                    <o:lock v:ext="edit"/>
                  </v:line>
                  <v:line id="_x0000_s327831" o:spid="_x0000_s327831" o:spt="20" style="position:absolute;left:4985;top:10961;height:1;width:458;" coordsize="21600,21600">
                    <v:path arrowok="t"/>
                    <v:fill focussize="0,0"/>
                    <v:stroke endarrow="block" endarrowwidth="narrow" endarrowlength="long"/>
                    <v:imagedata o:title=""/>
                    <o:lock v:ext="edit"/>
                  </v:line>
                  <v:line id="_x0000_s327832" o:spid="_x0000_s327832" o:spt="20" style="position:absolute;left:6636;top:10960;height:1;width:458;" coordsize="21600,21600">
                    <v:path arrowok="t"/>
                    <v:fill focussize="0,0"/>
                    <v:stroke endarrow="block" endarrowwidth="narrow" endarrowlength="long"/>
                    <v:imagedata o:title=""/>
                    <o:lock v:ext="edit"/>
                  </v:line>
                  <v:line id="_x0000_s327833" o:spid="_x0000_s327833" o:spt="20" style="position:absolute;left:8293;top:10962;height:1;width:458;" coordsize="21600,21600">
                    <v:path arrowok="t"/>
                    <v:fill focussize="0,0"/>
                    <v:stroke endarrow="block" endarrowwidth="narrow" endarrowlength="long"/>
                    <v:imagedata o:title=""/>
                    <o:lock v:ext="edit"/>
                  </v:line>
                  <v:shape id="_x0000_s327834" o:spid="_x0000_s327834" o:spt="32" type="#_x0000_t32" style="position:absolute;left:2583;top:10339;flip:y;height:420;width:1;" o:connectortype="straight" filled="f" coordsize="21600,21600">
                    <v:path arrowok="t"/>
                    <v:fill on="f" focussize="0,0"/>
                    <v:stroke dashstyle="dash" endarrow="block"/>
                    <v:imagedata o:title=""/>
                    <o:lock v:ext="edit"/>
                  </v:shape>
                  <v:shape id="_x0000_s327835" o:spid="_x0000_s327835" o:spt="202" type="#_x0000_t202" style="position:absolute;left:2515;top:10025;height:421;width:875;" filled="f" stroked="f" coordsize="21600,21600">
                    <v:path/>
                    <v:fill on="f" focussize="0,0"/>
                    <v:stroke on="f" joinstyle="miter"/>
                    <v:imagedata o:title=""/>
                    <o:lock v:ext="edit"/>
                    <v:textbox>
                      <w:txbxContent>
                        <w:p>
                          <w:pPr>
                            <w:rPr>
                              <w:szCs w:val="21"/>
                            </w:rPr>
                          </w:pPr>
                          <w:r>
                            <w:rPr>
                              <w:rFonts w:hint="eastAsia"/>
                              <w:szCs w:val="21"/>
                            </w:rPr>
                            <w:t>噪声</w:t>
                          </w:r>
                        </w:p>
                      </w:txbxContent>
                    </v:textbox>
                  </v:shape>
                  <v:shape id="_x0000_s327836" o:spid="_x0000_s327836" o:spt="32" type="#_x0000_t32" style="position:absolute;left:4417;top:10336;flip:y;height:420;width:1;" o:connectortype="straight" filled="f" coordsize="21600,21600">
                    <v:path arrowok="t"/>
                    <v:fill on="f" focussize="0,0"/>
                    <v:stroke dashstyle="dash" endarrow="block"/>
                    <v:imagedata o:title=""/>
                    <o:lock v:ext="edit"/>
                  </v:shape>
                  <v:shape id="_x0000_s327837" o:spid="_x0000_s327837" o:spt="32" type="#_x0000_t32" style="position:absolute;left:6073;top:10336;flip:y;height:420;width:1;" o:connectortype="straight" filled="f" coordsize="21600,21600">
                    <v:path arrowok="t"/>
                    <v:fill on="f" focussize="0,0"/>
                    <v:stroke dashstyle="dash" endarrow="block"/>
                    <v:imagedata o:title=""/>
                    <o:lock v:ext="edit"/>
                  </v:shape>
                  <v:shape id="_x0000_s327838" o:spid="_x0000_s327838" o:spt="32" type="#_x0000_t32" style="position:absolute;left:7736;top:10336;flip:y;height:420;width:1;" o:connectortype="straight" filled="f" coordsize="21600,21600">
                    <v:path arrowok="t"/>
                    <v:fill on="f" focussize="0,0"/>
                    <v:stroke dashstyle="dash" endarrow="block"/>
                    <v:imagedata o:title=""/>
                    <o:lock v:ext="edit"/>
                  </v:shape>
                  <v:shape id="_x0000_s327839" o:spid="_x0000_s327839" o:spt="32" type="#_x0000_t32" style="position:absolute;left:2583;top:10339;height:0;width:5154;" o:connectortype="straight" filled="f" coordsize="21600,21600">
                    <v:path arrowok="t"/>
                    <v:fill on="f" focussize="0,0"/>
                    <v:stroke dashstyle="dash"/>
                    <v:imagedata o:title=""/>
                    <o:lock v:ext="edit"/>
                  </v:shape>
                  <v:shape id="_x0000_s327840" o:spid="_x0000_s327840" o:spt="32" type="#_x0000_t32" style="position:absolute;left:2877;top:9751;flip:y;height:274;width:15;" o:connectortype="straight" filled="f" coordsize="21600,21600">
                    <v:path arrowok="t"/>
                    <v:fill on="f" focussize="0,0"/>
                    <v:stroke dashstyle="dash" endarrow="block"/>
                    <v:imagedata o:title=""/>
                    <o:lock v:ext="edit"/>
                  </v:shape>
                  <v:shape id="_x0000_s327841" o:spid="_x0000_s327841" o:spt="202" type="#_x0000_t202" style="position:absolute;left:2450;top:9412;height:421;width:1009;" filled="f" stroked="f" coordsize="21600,21600">
                    <v:path/>
                    <v:fill on="f" focussize="0,0"/>
                    <v:stroke on="f" joinstyle="miter"/>
                    <v:imagedata o:title=""/>
                    <o:lock v:ext="edit"/>
                    <v:textbox>
                      <w:txbxContent>
                        <w:p>
                          <w:pPr>
                            <w:rPr>
                              <w:szCs w:val="21"/>
                            </w:rPr>
                          </w:pPr>
                          <w:r>
                            <w:rPr>
                              <w:rFonts w:hint="eastAsia"/>
                              <w:szCs w:val="21"/>
                            </w:rPr>
                            <w:t>声环境</w:t>
                          </w:r>
                        </w:p>
                      </w:txbxContent>
                    </v:textbox>
                  </v:shape>
                  <v:shape id="_x0000_s327842" o:spid="_x0000_s327842" o:spt="202" type="#_x0000_t202" style="position:absolute;left:3941;top:9984;height:421;width:1551;" filled="f" stroked="f" coordsize="21600,21600">
                    <v:path/>
                    <v:fill on="f" focussize="0,0"/>
                    <v:stroke on="f" joinstyle="miter"/>
                    <v:imagedata o:title=""/>
                    <o:lock v:ext="edit"/>
                    <v:textbox>
                      <w:txbxContent>
                        <w:p>
                          <w:pPr>
                            <w:rPr>
                              <w:szCs w:val="21"/>
                            </w:rPr>
                          </w:pPr>
                          <w:r>
                            <w:rPr>
                              <w:rFonts w:hint="eastAsia"/>
                              <w:szCs w:val="21"/>
                            </w:rPr>
                            <w:t>扬尘、沥青烟</w:t>
                          </w:r>
                        </w:p>
                      </w:txbxContent>
                    </v:textbox>
                  </v:shape>
                  <v:shape id="_x0000_s327843" o:spid="_x0000_s327843" o:spt="32" type="#_x0000_t32" style="position:absolute;left:4683;top:9751;flip:y;height:274;width:15;" o:connectortype="straight" filled="f" coordsize="21600,21600">
                    <v:path arrowok="t"/>
                    <v:fill on="f" focussize="0,0"/>
                    <v:stroke dashstyle="dash" endarrow="block"/>
                    <v:imagedata o:title=""/>
                    <o:lock v:ext="edit"/>
                  </v:shape>
                  <v:shape id="_x0000_s327844" o:spid="_x0000_s327844" o:spt="202" type="#_x0000_t202" style="position:absolute;left:4113;top:9374;height:421;width:1206;" filled="f" stroked="f" coordsize="21600,21600">
                    <v:path/>
                    <v:fill on="f" focussize="0,0"/>
                    <v:stroke on="f" joinstyle="miter"/>
                    <v:imagedata o:title=""/>
                    <o:lock v:ext="edit"/>
                    <v:textbox>
                      <w:txbxContent>
                        <w:p>
                          <w:pPr>
                            <w:rPr>
                              <w:szCs w:val="21"/>
                            </w:rPr>
                          </w:pPr>
                          <w:r>
                            <w:rPr>
                              <w:rFonts w:hint="eastAsia"/>
                              <w:szCs w:val="21"/>
                            </w:rPr>
                            <w:t>大气环境</w:t>
                          </w:r>
                        </w:p>
                      </w:txbxContent>
                    </v:textbox>
                  </v:shape>
                  <v:shape id="_x0000_s327845" o:spid="_x0000_s327845" o:spt="202" type="#_x0000_t202" style="position:absolute;left:6352;top:9992;height:421;width:1217;" filled="f" stroked="f" coordsize="21600,21600">
                    <v:path/>
                    <v:fill on="f" focussize="0,0"/>
                    <v:stroke on="f" joinstyle="miter"/>
                    <v:imagedata o:title=""/>
                    <o:lock v:ext="edit"/>
                    <v:textbox>
                      <w:txbxContent>
                        <w:p>
                          <w:pPr>
                            <w:rPr>
                              <w:szCs w:val="21"/>
                            </w:rPr>
                          </w:pPr>
                          <w:r>
                            <w:rPr>
                              <w:rFonts w:hint="eastAsia"/>
                              <w:szCs w:val="21"/>
                            </w:rPr>
                            <w:t>生活废水</w:t>
                          </w:r>
                        </w:p>
                      </w:txbxContent>
                    </v:textbox>
                  </v:shape>
                  <v:shape id="_x0000_s327846" o:spid="_x0000_s327846" o:spt="32" type="#_x0000_t32" style="position:absolute;left:6928;top:9762;flip:y;height:274;width:15;" o:connectortype="straight" filled="f" coordsize="21600,21600">
                    <v:path arrowok="t"/>
                    <v:fill on="f" focussize="0,0"/>
                    <v:stroke dashstyle="dash" endarrow="block"/>
                    <v:imagedata o:title=""/>
                    <o:lock v:ext="edit"/>
                  </v:shape>
                  <v:rect id="_x0000_s327847" o:spid="_x0000_s327847" o:spt="1" style="position:absolute;left:6278;top:9178;height:573;width:1319;" filled="f" stroked="f" coordsize="21600,21600">
                    <v:path/>
                    <v:fill on="f" focussize="0,0"/>
                    <v:stroke on="f" dashstyle="dash"/>
                    <v:imagedata o:title=""/>
                    <o:lock v:ext="edit"/>
                    <v:textbox inset="1.41842519685039pt,1.41842519685039pt,1.41842519685039pt,1.41842519685039pt">
                      <w:txbxContent>
                        <w:p>
                          <w:pPr>
                            <w:adjustRightInd w:val="0"/>
                            <w:snapToGrid w:val="0"/>
                            <w:rPr>
                              <w:spacing w:val="-10"/>
                              <w:szCs w:val="21"/>
                            </w:rPr>
                          </w:pPr>
                          <w:r>
                            <w:rPr>
                              <w:rFonts w:hint="eastAsia"/>
                              <w:spacing w:val="-10"/>
                              <w:szCs w:val="21"/>
                            </w:rPr>
                            <w:t>依托东风村公用设施解决</w:t>
                          </w:r>
                        </w:p>
                      </w:txbxContent>
                    </v:textbox>
                  </v:rect>
                  <v:shape id="_x0000_s327848" o:spid="_x0000_s327848" o:spt="32" type="#_x0000_t32" style="position:absolute;left:2568;top:11166;height:279;width:1;" o:connectortype="straight" filled="f" coordsize="21600,21600">
                    <v:path arrowok="t"/>
                    <v:fill on="f" focussize="0,0"/>
                    <v:stroke dashstyle="dash" endarrow="block"/>
                    <v:imagedata o:title=""/>
                    <o:lock v:ext="edit"/>
                  </v:shape>
                  <v:shape id="_x0000_s327849" o:spid="_x0000_s327849" o:spt="32" type="#_x0000_t32" style="position:absolute;left:4418;top:11156;height:279;width:1;" o:connectortype="straight" filled="f" coordsize="21600,21600">
                    <v:path arrowok="t"/>
                    <v:fill on="f" focussize="0,0"/>
                    <v:stroke dashstyle="dash" endarrow="block"/>
                    <v:imagedata o:title=""/>
                    <o:lock v:ext="edit"/>
                  </v:shape>
                  <v:shape id="_x0000_s327850" o:spid="_x0000_s327850" o:spt="32" type="#_x0000_t32" style="position:absolute;left:6072;top:11155;height:279;width:1;" o:connectortype="straight" filled="f" coordsize="21600,21600">
                    <v:path arrowok="t"/>
                    <v:fill on="f" focussize="0,0"/>
                    <v:stroke dashstyle="dash" endarrow="block"/>
                    <v:imagedata o:title=""/>
                    <o:lock v:ext="edit"/>
                  </v:shape>
                  <v:shape id="_x0000_s327851" o:spid="_x0000_s327851" o:spt="32" type="#_x0000_t32" style="position:absolute;left:7737;top:11166;height:279;width:1;" o:connectortype="straight" filled="f" coordsize="21600,21600">
                    <v:path arrowok="t"/>
                    <v:fill on="f" focussize="0,0"/>
                    <v:stroke dashstyle="dash" endarrow="block"/>
                    <v:imagedata o:title=""/>
                    <o:lock v:ext="edit"/>
                  </v:shape>
                  <v:shape id="_x0000_s327852" o:spid="_x0000_s327852" o:spt="32" type="#_x0000_t32" style="position:absolute;left:2568;top:11434;height:11;width:5170;" o:connectortype="straight" filled="f" coordsize="21600,21600">
                    <v:path arrowok="t"/>
                    <v:fill on="f" focussize="0,0"/>
                    <v:stroke dashstyle="dash"/>
                    <v:imagedata o:title=""/>
                    <o:lock v:ext="edit"/>
                  </v:shape>
                  <v:shape id="_x0000_s327853" o:spid="_x0000_s327853" o:spt="202" type="#_x0000_t202" style="position:absolute;left:2461;top:11393;height:421;width:1157;" filled="f" stroked="f" coordsize="21600,21600">
                    <v:path/>
                    <v:fill on="f" focussize="0,0"/>
                    <v:stroke on="f" joinstyle="miter"/>
                    <v:imagedata o:title=""/>
                    <o:lock v:ext="edit"/>
                    <v:textbox>
                      <w:txbxContent>
                        <w:p>
                          <w:pPr>
                            <w:rPr>
                              <w:szCs w:val="21"/>
                            </w:rPr>
                          </w:pPr>
                          <w:r>
                            <w:rPr>
                              <w:rFonts w:hint="eastAsia"/>
                              <w:szCs w:val="21"/>
                            </w:rPr>
                            <w:t>拆除垃圾</w:t>
                          </w:r>
                        </w:p>
                      </w:txbxContent>
                    </v:textbox>
                  </v:shape>
                  <v:shape id="_x0000_s327854" o:spid="_x0000_s327854" o:spt="202" type="#_x0000_t202" style="position:absolute;left:4361;top:11356;height:421;width:1157;" filled="f" stroked="f" coordsize="21600,21600">
                    <v:path/>
                    <v:fill on="f" focussize="0,0"/>
                    <v:stroke on="f" joinstyle="miter"/>
                    <v:imagedata o:title=""/>
                    <o:lock v:ext="edit"/>
                    <v:textbox>
                      <w:txbxContent>
                        <w:p>
                          <w:pPr>
                            <w:rPr>
                              <w:szCs w:val="21"/>
                            </w:rPr>
                          </w:pPr>
                          <w:r>
                            <w:rPr>
                              <w:rFonts w:hint="eastAsia"/>
                              <w:szCs w:val="21"/>
                            </w:rPr>
                            <w:t>建筑垃圾</w:t>
                          </w:r>
                        </w:p>
                      </w:txbxContent>
                    </v:textbox>
                  </v:shape>
                  <v:shape id="_x0000_s327855" o:spid="_x0000_s327855" o:spt="202" type="#_x0000_t202" style="position:absolute;left:6551;top:11378;height:421;width:1157;" filled="f" stroked="f" coordsize="21600,21600">
                    <v:path/>
                    <v:fill on="f" focussize="0,0"/>
                    <v:stroke on="f" joinstyle="miter"/>
                    <v:imagedata o:title=""/>
                    <o:lock v:ext="edit"/>
                    <v:textbox>
                      <w:txbxContent>
                        <w:p>
                          <w:pPr>
                            <w:rPr>
                              <w:szCs w:val="21"/>
                            </w:rPr>
                          </w:pPr>
                          <w:r>
                            <w:rPr>
                              <w:rFonts w:hint="eastAsia"/>
                              <w:szCs w:val="21"/>
                            </w:rPr>
                            <w:t>生活垃圾</w:t>
                          </w:r>
                        </w:p>
                      </w:txbxContent>
                    </v:textbox>
                  </v:shape>
                  <v:shape id="_x0000_s327856" o:spid="_x0000_s327856" o:spt="32" type="#_x0000_t32" style="position:absolute;left:9339;top:10336;flip:y;height:420;width:1;" o:connectortype="straight" filled="f" coordsize="21600,21600">
                    <v:path arrowok="t"/>
                    <v:fill on="f" focussize="0,0"/>
                    <v:stroke dashstyle="dash" endarrow="block"/>
                    <v:imagedata o:title=""/>
                    <o:lock v:ext="edit"/>
                  </v:shape>
                  <v:shape id="_x0000_s327857" o:spid="_x0000_s327857" o:spt="202" type="#_x0000_t202" style="position:absolute;left:8714;top:9792;height:772;width:1344;" filled="f" stroked="f" coordsize="21600,21600">
                    <v:path/>
                    <v:fill on="f" focussize="0,0"/>
                    <v:stroke on="f" joinstyle="miter"/>
                    <v:imagedata o:title=""/>
                    <o:lock v:ext="edit"/>
                    <v:textbox>
                      <w:txbxContent>
                        <w:p>
                          <w:pPr>
                            <w:rPr>
                              <w:sz w:val="18"/>
                              <w:szCs w:val="18"/>
                            </w:rPr>
                          </w:pPr>
                          <w:r>
                            <w:rPr>
                              <w:rFonts w:hint="eastAsia"/>
                              <w:sz w:val="18"/>
                              <w:szCs w:val="18"/>
                            </w:rPr>
                            <w:t>噪声、尾气、扬尘、固废</w:t>
                          </w:r>
                        </w:p>
                      </w:txbxContent>
                    </v:textbox>
                  </v:shape>
                  <v:shape id="_x0000_s327858" o:spid="_x0000_s327858" o:spt="32" type="#_x0000_t32" style="position:absolute;left:3031;top:11788;height:392;width:1;" o:connectortype="straight" filled="f" coordsize="21600,21600">
                    <v:path arrowok="t"/>
                    <v:fill on="f" focussize="0,0"/>
                    <v:stroke dashstyle="dash" endarrow="block"/>
                    <v:imagedata o:title=""/>
                    <o:lock v:ext="edit"/>
                  </v:shape>
                  <v:shape id="_x0000_s327859" o:spid="_x0000_s327859" o:spt="32" type="#_x0000_t32" style="position:absolute;left:4922;top:11766;height:392;width:1;" o:connectortype="straight" filled="f" coordsize="21600,21600">
                    <v:path arrowok="t"/>
                    <v:fill on="f" focussize="0,0"/>
                    <v:stroke dashstyle="dash" endarrow="block"/>
                    <v:imagedata o:title=""/>
                    <o:lock v:ext="edit"/>
                  </v:shape>
                  <v:shape id="_x0000_s327860" o:spid="_x0000_s327860" o:spt="32" type="#_x0000_t32" style="position:absolute;left:7131;top:11777;height:392;width:1;" o:connectortype="straight" filled="f" coordsize="21600,21600">
                    <v:path arrowok="t"/>
                    <v:fill on="f" focussize="0,0"/>
                    <v:stroke dashstyle="dash" endarrow="block"/>
                    <v:imagedata o:title=""/>
                    <o:lock v:ext="edit"/>
                  </v:shape>
                  <v:shape id="_x0000_s327861" o:spid="_x0000_s327861" o:spt="202" type="#_x0000_t202" style="position:absolute;left:2296;top:12191;height:688;width:1389;" filled="f" stroked="f" coordsize="21600,21600">
                    <v:path/>
                    <v:fill on="f" focussize="0,0"/>
                    <v:stroke on="f" joinstyle="miter"/>
                    <v:imagedata o:title=""/>
                    <o:lock v:ext="edit"/>
                    <v:textbox>
                      <w:txbxContent>
                        <w:p>
                          <w:pPr>
                            <w:rPr>
                              <w:szCs w:val="21"/>
                            </w:rPr>
                          </w:pPr>
                          <w:r>
                            <w:rPr>
                              <w:rFonts w:hint="eastAsia"/>
                              <w:szCs w:val="21"/>
                            </w:rPr>
                            <w:t>施工道路填方和填沟</w:t>
                          </w:r>
                        </w:p>
                      </w:txbxContent>
                    </v:textbox>
                  </v:shape>
                  <v:shape id="_x0000_s327862" o:spid="_x0000_s327862" o:spt="202" type="#_x0000_t202" style="position:absolute;left:4092;top:12158;height:721;width:1629;" filled="f" stroked="f" coordsize="21600,21600">
                    <v:path/>
                    <v:fill on="f" focussize="0,0"/>
                    <v:stroke on="f" joinstyle="miter"/>
                    <v:imagedata o:title=""/>
                    <o:lock v:ext="edit"/>
                    <v:textbox>
                      <w:txbxContent>
                        <w:p>
                          <w:pPr>
                            <w:rPr>
                              <w:szCs w:val="21"/>
                            </w:rPr>
                          </w:pPr>
                          <w:r>
                            <w:rPr>
                              <w:rFonts w:hint="eastAsia"/>
                              <w:szCs w:val="21"/>
                            </w:rPr>
                            <w:t>分拣回收后运指定地点堆放</w:t>
                          </w:r>
                        </w:p>
                      </w:txbxContent>
                    </v:textbox>
                  </v:shape>
                  <v:rect id="_x0000_s327863" o:spid="_x0000_s327863" o:spt="1" style="position:absolute;left:6186;top:12202;height:573;width:1887;" filled="f" stroked="f" coordsize="21600,21600">
                    <v:path/>
                    <v:fill on="f" focussize="0,0"/>
                    <v:stroke on="f" dashstyle="dash"/>
                    <v:imagedata o:title=""/>
                    <o:lock v:ext="edit"/>
                    <v:textbox inset="1.41842519685039pt,1.41842519685039pt,1.41842519685039pt,1.41842519685039pt">
                      <w:txbxContent>
                        <w:p>
                          <w:pPr>
                            <w:adjustRightInd w:val="0"/>
                            <w:snapToGrid w:val="0"/>
                            <w:jc w:val="center"/>
                            <w:rPr>
                              <w:spacing w:val="-10"/>
                              <w:szCs w:val="21"/>
                            </w:rPr>
                          </w:pPr>
                          <w:r>
                            <w:rPr>
                              <w:rFonts w:hint="eastAsia"/>
                              <w:spacing w:val="-10"/>
                              <w:szCs w:val="21"/>
                            </w:rPr>
                            <w:t>施工营地不设生活区，依托东风村公用设施解决</w:t>
                          </w:r>
                        </w:p>
                      </w:txbxContent>
                    </v:textbox>
                  </v:rect>
                  <w10:wrap type="none"/>
                  <w10:anchorlock/>
                </v:group>
              </w:pict>
            </w:r>
          </w:p>
          <w:p>
            <w:pPr>
              <w:spacing w:line="360" w:lineRule="auto"/>
              <w:jc w:val="center"/>
              <w:rPr>
                <w:b/>
                <w:szCs w:val="21"/>
              </w:rPr>
            </w:pPr>
            <w:r>
              <w:rPr>
                <w:rFonts w:hAnsi="宋体"/>
                <w:b/>
                <w:szCs w:val="21"/>
              </w:rPr>
              <w:t>图</w:t>
            </w:r>
            <w:r>
              <w:rPr>
                <w:b/>
                <w:szCs w:val="21"/>
              </w:rPr>
              <w:t>14-2</w:t>
            </w:r>
            <w:r>
              <w:rPr>
                <w:rFonts w:hint="eastAsia"/>
                <w:b/>
                <w:szCs w:val="21"/>
              </w:rPr>
              <w:t xml:space="preserve">  道路工程施工期工艺流程及产污环节图</w:t>
            </w:r>
          </w:p>
          <w:p>
            <w:pPr>
              <w:spacing w:line="360" w:lineRule="auto"/>
              <w:jc w:val="center"/>
              <w:rPr>
                <w:sz w:val="24"/>
                <w:szCs w:val="24"/>
              </w:rPr>
            </w:pPr>
            <w:r>
              <w:rPr>
                <w:sz w:val="24"/>
                <w:szCs w:val="24"/>
              </w:rPr>
              <w:pict>
                <v:group id="_x0000_s327864" o:spid="_x0000_s327864" o:spt="203" style="height:186.3pt;width:448.95pt;" coordorigin="1526,860" coordsize="8979,3726" editas="canvas">
                  <o:lock v:ext="edit"/>
                  <v:shape id="_x0000_s327865" o:spid="_x0000_s327865" o:spt="75" type="#_x0000_t75" style="position:absolute;left:1526;top:860;height:3726;width:8979;" filled="f" o:preferrelative="f" stroked="t" coordsize="21600,21600">
                    <v:fill on="f" focussize="0,0"/>
                    <v:stroke color="#000000 [3213]" joinstyle="miter"/>
                    <v:imagedata o:title=""/>
                    <o:lock v:ext="edit" text="t" aspectratio="t"/>
                  </v:shape>
                  <v:shape id="_x0000_s327866" o:spid="_x0000_s327866" o:spt="202" type="#_x0000_t202" style="position:absolute;left:3138;top:2508;height:399;width:1168;" filled="f" coordsize="21600,21600">
                    <v:path/>
                    <v:fill on="f" focussize="0,0"/>
                    <v:stroke joinstyle="miter"/>
                    <v:imagedata o:title=""/>
                    <o:lock v:ext="edit"/>
                    <v:textbox>
                      <w:txbxContent>
                        <w:p>
                          <w:r>
                            <w:rPr>
                              <w:rFonts w:hint="eastAsia"/>
                            </w:rPr>
                            <w:t>开挖管渠</w:t>
                          </w:r>
                        </w:p>
                      </w:txbxContent>
                    </v:textbox>
                  </v:shape>
                  <v:shape id="_x0000_s327867" o:spid="_x0000_s327867" o:spt="202" type="#_x0000_t202" style="position:absolute;left:4601;top:2497;height:399;width:1169;" filled="f" coordsize="21600,21600">
                    <v:path/>
                    <v:fill on="f" focussize="0,0"/>
                    <v:stroke joinstyle="miter"/>
                    <v:imagedata o:title=""/>
                    <o:lock v:ext="edit"/>
                    <v:textbox>
                      <w:txbxContent>
                        <w:p>
                          <w:r>
                            <w:rPr>
                              <w:rFonts w:hint="eastAsia"/>
                            </w:rPr>
                            <w:t>敷设管道</w:t>
                          </w:r>
                        </w:p>
                      </w:txbxContent>
                    </v:textbox>
                  </v:shape>
                  <v:shape id="_x0000_s327868" o:spid="_x0000_s327868" o:spt="202" type="#_x0000_t202" style="position:absolute;left:7741;top:2497;height:399;width:1832;" filled="f" coordsize="21600,21600">
                    <v:path/>
                    <v:fill on="f" focussize="0,0"/>
                    <v:stroke joinstyle="miter"/>
                    <v:imagedata o:title=""/>
                    <o:lock v:ext="edit"/>
                    <v:textbox>
                      <w:txbxContent>
                        <w:p>
                          <w:r>
                            <w:rPr>
                              <w:rFonts w:hint="eastAsia"/>
                            </w:rPr>
                            <w:t>覆土及路面整理</w:t>
                          </w:r>
                        </w:p>
                      </w:txbxContent>
                    </v:textbox>
                  </v:shape>
                  <v:shape id="_x0000_s327869" o:spid="_x0000_s327869" o:spt="202" type="#_x0000_t202" style="position:absolute;left:9263;top:3259;height:400;width:1185;" filled="f" coordsize="21600,21600">
                    <v:path/>
                    <v:fill on="f" focussize="0,0"/>
                    <v:stroke joinstyle="miter"/>
                    <v:imagedata o:title=""/>
                    <o:lock v:ext="edit"/>
                    <v:textbox>
                      <w:txbxContent>
                        <w:p>
                          <w:r>
                            <w:rPr>
                              <w:rFonts w:hint="eastAsia"/>
                            </w:rPr>
                            <w:t>管网运营</w:t>
                          </w:r>
                        </w:p>
                      </w:txbxContent>
                    </v:textbox>
                  </v:shape>
                  <v:shape id="_x0000_s327870" o:spid="_x0000_s327870" o:spt="32" type="#_x0000_t32" style="position:absolute;left:3722;top:2186;flip:y;height:311;width:1;" o:connectortype="straight" filled="f" coordsize="21600,21600">
                    <v:path arrowok="t"/>
                    <v:fill on="f" focussize="0,0"/>
                    <v:stroke dashstyle="dash" endarrow="block"/>
                    <v:imagedata o:title=""/>
                    <o:lock v:ext="edit"/>
                  </v:shape>
                  <v:shape id="_x0000_s327871" o:spid="_x0000_s327871" o:spt="32" type="#_x0000_t32" style="position:absolute;left:5210;top:2175;flip:y;height:311;width:1;" o:connectortype="straight" filled="f" coordsize="21600,21600">
                    <v:path arrowok="t"/>
                    <v:fill on="f" focussize="0,0"/>
                    <v:stroke dashstyle="dash" endarrow="block"/>
                    <v:imagedata o:title=""/>
                    <o:lock v:ext="edit"/>
                  </v:shape>
                  <v:shape id="_x0000_s327872" o:spid="_x0000_s327872" o:spt="32" type="#_x0000_t32" style="position:absolute;left:6763;top:2175;flip:y;height:311;width:1;" o:connectortype="straight" filled="f" coordsize="21600,21600">
                    <v:path arrowok="t"/>
                    <v:fill on="f" focussize="0,0"/>
                    <v:stroke dashstyle="dash" endarrow="block"/>
                    <v:imagedata o:title=""/>
                    <o:lock v:ext="edit"/>
                  </v:shape>
                  <v:shape id="_x0000_s327873" o:spid="_x0000_s327873" o:spt="32" type="#_x0000_t32" style="position:absolute;left:8602;top:2175;flip:y;height:311;width:1;" o:connectortype="straight" filled="f" coordsize="21600,21600">
                    <v:path arrowok="t"/>
                    <v:fill on="f" focussize="0,0"/>
                    <v:stroke dashstyle="dash" endarrow="block"/>
                    <v:imagedata o:title=""/>
                    <o:lock v:ext="edit"/>
                  </v:shape>
                  <v:shape id="_x0000_s327874" o:spid="_x0000_s327874" o:spt="32" type="#_x0000_t32" style="position:absolute;left:3723;top:2186;height:1;width:4880;" o:connectortype="straight" filled="f" coordsize="21600,21600">
                    <v:path arrowok="t"/>
                    <v:fill on="f" focussize="0,0"/>
                    <v:stroke dashstyle="dash"/>
                    <v:imagedata o:title=""/>
                    <o:lock v:ext="edit"/>
                  </v:shape>
                  <v:shape id="_x0000_s327875" o:spid="_x0000_s327875" o:spt="32" type="#_x0000_t32" style="position:absolute;left:2782;top:2705;height:1;width:356;" o:connectortype="straight" filled="f" coordsize="21600,21600">
                    <v:path arrowok="t"/>
                    <v:fill on="f" focussize="0,0"/>
                    <v:stroke endarrow="block"/>
                    <v:imagedata o:title=""/>
                    <o:lock v:ext="edit"/>
                  </v:shape>
                  <v:shape id="_x0000_s327876" o:spid="_x0000_s327876" o:spt="202" type="#_x0000_t202" style="position:absolute;left:9263;top:3905;height:421;width:1157;" filled="f" stroked="f" coordsize="21600,21600">
                    <v:path/>
                    <v:fill on="f" focussize="0,0"/>
                    <v:stroke on="f" joinstyle="miter"/>
                    <v:imagedata o:title=""/>
                    <o:lock v:ext="edit"/>
                    <v:textbox>
                      <w:txbxContent>
                        <w:p>
                          <w:pPr>
                            <w:rPr>
                              <w:szCs w:val="21"/>
                            </w:rPr>
                          </w:pPr>
                          <w:r>
                            <w:rPr>
                              <w:rFonts w:hint="eastAsia"/>
                              <w:szCs w:val="21"/>
                            </w:rPr>
                            <w:t>清理淤泥</w:t>
                          </w:r>
                        </w:p>
                      </w:txbxContent>
                    </v:textbox>
                  </v:shape>
                  <v:shape id="_x0000_s327877" o:spid="_x0000_s327877" o:spt="202" type="#_x0000_t202" style="position:absolute;left:1604;top:2497;height:399;width:1168;" filled="f" coordsize="21600,21600">
                    <v:path/>
                    <v:fill on="f" focussize="0,0"/>
                    <v:stroke joinstyle="miter"/>
                    <v:imagedata o:title=""/>
                    <o:lock v:ext="edit"/>
                    <v:textbox>
                      <w:txbxContent>
                        <w:p>
                          <w:r>
                            <w:rPr>
                              <w:rFonts w:hint="eastAsia"/>
                            </w:rPr>
                            <w:t>测量放线</w:t>
                          </w:r>
                        </w:p>
                      </w:txbxContent>
                    </v:textbox>
                  </v:shape>
                  <v:shape id="_x0000_s327878" o:spid="_x0000_s327878" o:spt="202" type="#_x0000_t202" style="position:absolute;left:6048;top:2497;height:399;width:1410;" filled="f" coordsize="21600,21600">
                    <v:path/>
                    <v:fill on="f" focussize="0,0"/>
                    <v:stroke joinstyle="miter"/>
                    <v:imagedata o:title=""/>
                    <o:lock v:ext="edit"/>
                    <v:textbox>
                      <w:txbxContent>
                        <w:p>
                          <w:r>
                            <w:rPr>
                              <w:rFonts w:hint="eastAsia"/>
                            </w:rPr>
                            <w:t>检查井施工</w:t>
                          </w:r>
                        </w:p>
                      </w:txbxContent>
                    </v:textbox>
                  </v:shape>
                  <v:shape id="_x0000_s327879" o:spid="_x0000_s327879" o:spt="32" type="#_x0000_t32" style="position:absolute;left:4306;top:2692;height:1;width:295;" o:connectortype="straight" filled="f" coordsize="21600,21600">
                    <v:path arrowok="t"/>
                    <v:fill on="f" focussize="0,0"/>
                    <v:stroke endarrow="block"/>
                    <v:imagedata o:title=""/>
                    <o:lock v:ext="edit"/>
                  </v:shape>
                  <v:shape id="_x0000_s327880" o:spid="_x0000_s327880" o:spt="32" type="#_x0000_t32" style="position:absolute;left:5770;top:2702;height:1;width:278;" o:connectortype="straight" filled="f" coordsize="21600,21600">
                    <v:path arrowok="t"/>
                    <v:fill on="f" focussize="0,0"/>
                    <v:stroke endarrow="block"/>
                    <v:imagedata o:title=""/>
                    <o:lock v:ext="edit"/>
                  </v:shape>
                  <v:shape id="_x0000_s327881" o:spid="_x0000_s327881" o:spt="32" type="#_x0000_t32" style="position:absolute;left:7458;top:2691;height:1;width:283;" o:connectortype="straight" filled="f" coordsize="21600,21600">
                    <v:path arrowok="t"/>
                    <v:fill on="f" focussize="0,0"/>
                    <v:stroke endarrow="block"/>
                    <v:imagedata o:title=""/>
                    <o:lock v:ext="edit"/>
                  </v:shape>
                  <v:shape id="_x0000_s327882" o:spid="_x0000_s327882" o:spt="32" type="#_x0000_t32" style="position:absolute;left:9572;top:2682;height:1;width:276;" o:connectortype="straight" filled="f" coordsize="21600,21600">
                    <v:path arrowok="t"/>
                    <v:fill on="f" focussize="0,0"/>
                    <v:stroke/>
                    <v:imagedata o:title=""/>
                    <o:lock v:ext="edit"/>
                  </v:shape>
                  <v:shape id="_x0000_s327883" o:spid="_x0000_s327883" o:spt="32" type="#_x0000_t32" style="position:absolute;left:9849;top:2682;height:563;width:1;" o:connectortype="straight" filled="f" coordsize="21600,21600">
                    <v:path arrowok="t"/>
                    <v:fill on="f" focussize="0,0"/>
                    <v:stroke endarrow="block"/>
                    <v:imagedata o:title=""/>
                    <o:lock v:ext="edit"/>
                  </v:shape>
                  <v:shape id="_x0000_s327884" o:spid="_x0000_s327884" o:spt="32" type="#_x0000_t32" style="position:absolute;left:9861;top:3659;height:301;width:1;" o:connectortype="straight" filled="f" coordsize="21600,21600">
                    <v:path arrowok="t"/>
                    <v:fill on="f" focussize="0,0"/>
                    <v:stroke dashstyle="dash" endarrow="block"/>
                    <v:imagedata o:title=""/>
                    <o:lock v:ext="edit"/>
                  </v:shape>
                  <v:shape id="_x0000_s327885" o:spid="_x0000_s327885" o:spt="202" type="#_x0000_t202" style="position:absolute;left:3529;top:1809;height:421;width:710;" filled="f" stroked="f" coordsize="21600,21600">
                    <v:path/>
                    <v:fill on="f" focussize="0,0"/>
                    <v:stroke on="f" joinstyle="miter"/>
                    <v:imagedata o:title=""/>
                    <o:lock v:ext="edit"/>
                    <v:textbox>
                      <w:txbxContent>
                        <w:p>
                          <w:pPr>
                            <w:rPr>
                              <w:szCs w:val="21"/>
                            </w:rPr>
                          </w:pPr>
                          <w:r>
                            <w:rPr>
                              <w:rFonts w:hint="eastAsia"/>
                              <w:szCs w:val="21"/>
                            </w:rPr>
                            <w:t>噪声</w:t>
                          </w:r>
                        </w:p>
                      </w:txbxContent>
                    </v:textbox>
                  </v:shape>
                  <v:shape id="_x0000_s327886" o:spid="_x0000_s327886" o:spt="32" type="#_x0000_t32" style="position:absolute;left:3884;top:1498;flip:y;height:311;width:1;" o:connectortype="straight" filled="f" coordsize="21600,21600">
                    <v:path arrowok="t"/>
                    <v:fill on="f" focussize="0,0"/>
                    <v:stroke dashstyle="dash" endarrow="block"/>
                    <v:imagedata o:title=""/>
                    <o:lock v:ext="edit"/>
                  </v:shape>
                  <v:shape id="_x0000_s327887" o:spid="_x0000_s327887" o:spt="202" type="#_x0000_t202" style="position:absolute;left:3395;top:1165;height:421;width:1009;" filled="f" stroked="f" coordsize="21600,21600">
                    <v:path/>
                    <v:fill on="f" focussize="0,0"/>
                    <v:stroke on="f" joinstyle="miter"/>
                    <v:imagedata o:title=""/>
                    <o:lock v:ext="edit"/>
                    <v:textbox>
                      <w:txbxContent>
                        <w:p>
                          <w:pPr>
                            <w:rPr>
                              <w:szCs w:val="21"/>
                            </w:rPr>
                          </w:pPr>
                          <w:r>
                            <w:rPr>
                              <w:rFonts w:hint="eastAsia"/>
                              <w:szCs w:val="21"/>
                            </w:rPr>
                            <w:t>声环境</w:t>
                          </w:r>
                        </w:p>
                      </w:txbxContent>
                    </v:textbox>
                  </v:shape>
                  <v:shape id="_x0000_s327888" o:spid="_x0000_s327888" o:spt="202" type="#_x0000_t202" style="position:absolute;left:4466;top:1809;height:421;width:1304;" filled="f" stroked="f" coordsize="21600,21600">
                    <v:path/>
                    <v:fill on="f" focussize="0,0"/>
                    <v:stroke on="f" joinstyle="miter"/>
                    <v:imagedata o:title=""/>
                    <o:lock v:ext="edit"/>
                    <v:textbox>
                      <w:txbxContent>
                        <w:p>
                          <w:pPr>
                            <w:rPr>
                              <w:szCs w:val="21"/>
                            </w:rPr>
                          </w:pPr>
                          <w:r>
                            <w:rPr>
                              <w:rFonts w:hint="eastAsia"/>
                              <w:szCs w:val="21"/>
                            </w:rPr>
                            <w:t>扬尘、废气</w:t>
                          </w:r>
                        </w:p>
                      </w:txbxContent>
                    </v:textbox>
                  </v:shape>
                  <v:shape id="_x0000_s327889" o:spid="_x0000_s327889" o:spt="32" type="#_x0000_t32" style="position:absolute;left:5130;top:1575;flip:y;height:311;width:1;" o:connectortype="straight" filled="f" coordsize="21600,21600">
                    <v:path arrowok="t"/>
                    <v:fill on="f" focussize="0,0"/>
                    <v:stroke dashstyle="dash" endarrow="block"/>
                    <v:imagedata o:title=""/>
                    <o:lock v:ext="edit"/>
                  </v:shape>
                  <v:shape id="_x0000_s327890" o:spid="_x0000_s327890" o:spt="202" type="#_x0000_t202" style="position:absolute;left:4542;top:1165;height:421;width:1206;" filled="f" stroked="f" coordsize="21600,21600">
                    <v:path/>
                    <v:fill on="f" focussize="0,0"/>
                    <v:stroke on="f" joinstyle="miter"/>
                    <v:imagedata o:title=""/>
                    <o:lock v:ext="edit"/>
                    <v:textbox>
                      <w:txbxContent>
                        <w:p>
                          <w:pPr>
                            <w:rPr>
                              <w:szCs w:val="21"/>
                            </w:rPr>
                          </w:pPr>
                          <w:r>
                            <w:rPr>
                              <w:rFonts w:hint="eastAsia"/>
                              <w:szCs w:val="21"/>
                            </w:rPr>
                            <w:t>大气环境</w:t>
                          </w:r>
                        </w:p>
                      </w:txbxContent>
                    </v:textbox>
                  </v:shape>
                  <v:shape id="_x0000_s327891" o:spid="_x0000_s327891" o:spt="202" type="#_x0000_t202" style="position:absolute;left:6048;top:1821;height:421;width:1189;" filled="f" stroked="f" coordsize="21600,21600">
                    <v:path/>
                    <v:fill on="f" focussize="0,0"/>
                    <v:stroke on="f" joinstyle="miter"/>
                    <v:imagedata o:title=""/>
                    <o:lock v:ext="edit"/>
                    <v:textbox>
                      <w:txbxContent>
                        <w:p>
                          <w:pPr>
                            <w:rPr>
                              <w:szCs w:val="21"/>
                            </w:rPr>
                          </w:pPr>
                          <w:r>
                            <w:rPr>
                              <w:rFonts w:hint="eastAsia"/>
                              <w:szCs w:val="21"/>
                            </w:rPr>
                            <w:t>试压废水</w:t>
                          </w:r>
                        </w:p>
                      </w:txbxContent>
                    </v:textbox>
                  </v:shape>
                  <v:shape id="_x0000_s327892" o:spid="_x0000_s327892" o:spt="32" type="#_x0000_t32" style="position:absolute;left:6624;top:1529;flip:y;height:311;width:1;" o:connectortype="straight" filled="f" coordsize="21600,21600">
                    <v:path arrowok="t"/>
                    <v:fill on="f" focussize="0,0"/>
                    <v:stroke dashstyle="dash" endarrow="block"/>
                    <v:imagedata o:title=""/>
                    <o:lock v:ext="edit"/>
                  </v:shape>
                  <v:shape id="_x0000_s327893" o:spid="_x0000_s327893" o:spt="202" type="#_x0000_t202" style="position:absolute;left:5948;top:1147;height:421;width:1383;" filled="f" stroked="f" coordsize="21600,21600">
                    <v:path/>
                    <v:fill on="f" focussize="0,0"/>
                    <v:stroke on="f" joinstyle="miter"/>
                    <v:imagedata o:title=""/>
                    <o:lock v:ext="edit"/>
                    <v:textbox>
                      <w:txbxContent>
                        <w:p>
                          <w:pPr>
                            <w:rPr>
                              <w:szCs w:val="21"/>
                            </w:rPr>
                          </w:pPr>
                          <w:r>
                            <w:rPr>
                              <w:rFonts w:hint="eastAsia"/>
                              <w:szCs w:val="21"/>
                            </w:rPr>
                            <w:t>临时沉淀池</w:t>
                          </w:r>
                        </w:p>
                      </w:txbxContent>
                    </v:textbox>
                  </v:shape>
                  <v:shape id="_x0000_s327894" o:spid="_x0000_s327894" o:spt="202" type="#_x0000_t202" style="position:absolute;left:7475;top:1831;height:421;width:1189;" filled="f" stroked="f" coordsize="21600,21600">
                    <v:path/>
                    <v:fill on="f" focussize="0,0"/>
                    <v:stroke on="f" joinstyle="miter"/>
                    <v:imagedata o:title=""/>
                    <o:lock v:ext="edit"/>
                    <v:textbox>
                      <w:txbxContent>
                        <w:p>
                          <w:pPr>
                            <w:rPr>
                              <w:szCs w:val="21"/>
                            </w:rPr>
                          </w:pPr>
                          <w:r>
                            <w:rPr>
                              <w:rFonts w:hint="eastAsia"/>
                              <w:szCs w:val="21"/>
                            </w:rPr>
                            <w:t>生活污水</w:t>
                          </w:r>
                        </w:p>
                      </w:txbxContent>
                    </v:textbox>
                  </v:shape>
                  <v:shape id="_x0000_s327895" o:spid="_x0000_s327895" o:spt="32" type="#_x0000_t32" style="position:absolute;left:8096;top:1562;flip:y;height:311;width:1;" o:connectortype="straight" filled="f" coordsize="21600,21600">
                    <v:path arrowok="t"/>
                    <v:fill on="f" focussize="0,0"/>
                    <v:stroke dashstyle="dash" endarrow="block"/>
                    <v:imagedata o:title=""/>
                    <o:lock v:ext="edit"/>
                  </v:shape>
                  <v:rect id="_x0000_s327896" o:spid="_x0000_s327896" o:spt="1" style="position:absolute;left:7458;top:969;height:573;width:1319;" filled="f" stroked="f" coordsize="21600,21600">
                    <v:path/>
                    <v:fill on="f" focussize="0,0"/>
                    <v:stroke on="f" dashstyle="dash"/>
                    <v:imagedata o:title=""/>
                    <o:lock v:ext="edit"/>
                    <v:textbox inset="1.41842519685039pt,1.41842519685039pt,1.41842519685039pt,1.41842519685039pt">
                      <w:txbxContent>
                        <w:p>
                          <w:pPr>
                            <w:adjustRightInd w:val="0"/>
                            <w:snapToGrid w:val="0"/>
                            <w:rPr>
                              <w:spacing w:val="-10"/>
                              <w:szCs w:val="21"/>
                            </w:rPr>
                          </w:pPr>
                          <w:r>
                            <w:rPr>
                              <w:rFonts w:hint="eastAsia"/>
                              <w:spacing w:val="-10"/>
                              <w:szCs w:val="21"/>
                            </w:rPr>
                            <w:t>依托东风村公用设施解决</w:t>
                          </w:r>
                        </w:p>
                      </w:txbxContent>
                    </v:textbox>
                  </v:rect>
                  <v:shape id="_x0000_s327897" o:spid="_x0000_s327897" o:spt="32" type="#_x0000_t32" style="position:absolute;left:3734;top:2896;height:359;width:1;" o:connectortype="straight" filled="f" coordsize="21600,21600">
                    <v:path arrowok="t"/>
                    <v:fill on="f" focussize="0,0"/>
                    <v:stroke dashstyle="dash" endarrow="block"/>
                    <v:imagedata o:title=""/>
                    <o:lock v:ext="edit"/>
                  </v:shape>
                  <v:shape id="_x0000_s327898" o:spid="_x0000_s327898" o:spt="32" type="#_x0000_t32" style="position:absolute;left:5198;top:2896;height:359;width:1;" o:connectortype="straight" filled="f" coordsize="21600,21600">
                    <v:path arrowok="t"/>
                    <v:fill on="f" focussize="0,0"/>
                    <v:stroke dashstyle="dash" endarrow="block"/>
                    <v:imagedata o:title=""/>
                    <o:lock v:ext="edit"/>
                  </v:shape>
                  <v:shape id="_x0000_s327899" o:spid="_x0000_s327899" o:spt="32" type="#_x0000_t32" style="position:absolute;left:6764;top:2907;height:359;width:1;" o:connectortype="straight" filled="f" coordsize="21600,21600">
                    <v:path arrowok="t"/>
                    <v:fill on="f" focussize="0,0"/>
                    <v:stroke dashstyle="dash" endarrow="block"/>
                    <v:imagedata o:title=""/>
                    <o:lock v:ext="edit"/>
                  </v:shape>
                  <v:shape id="_x0000_s327900" o:spid="_x0000_s327900" o:spt="32" type="#_x0000_t32" style="position:absolute;left:8664;top:2900;height:359;width:1;" o:connectortype="straight" filled="f" coordsize="21600,21600">
                    <v:path arrowok="t"/>
                    <v:fill on="f" focussize="0,0"/>
                    <v:stroke dashstyle="dash" endarrow="block"/>
                    <v:imagedata o:title=""/>
                    <o:lock v:ext="edit"/>
                  </v:shape>
                  <v:shape id="_x0000_s327901" o:spid="_x0000_s327901" o:spt="32" type="#_x0000_t32" style="position:absolute;left:3722;top:3255;flip:y;height:11;width:4943;" o:connectortype="straight" filled="f" coordsize="21600,21600">
                    <v:path arrowok="t"/>
                    <v:fill on="f" focussize="0,0"/>
                    <v:stroke dashstyle="dash"/>
                    <v:imagedata o:title=""/>
                    <o:lock v:ext="edit"/>
                  </v:shape>
                  <v:shape id="_x0000_s327902" o:spid="_x0000_s327902" o:spt="202" type="#_x0000_t202" style="position:absolute;left:4404;top:3194;height:421;width:1137;" filled="f" stroked="f" coordsize="21600,21600">
                    <v:path/>
                    <v:fill on="f" focussize="0,0"/>
                    <v:stroke on="f" joinstyle="miter"/>
                    <v:imagedata o:title=""/>
                    <o:lock v:ext="edit"/>
                    <v:textbox>
                      <w:txbxContent>
                        <w:p>
                          <w:pPr>
                            <w:rPr>
                              <w:szCs w:val="21"/>
                            </w:rPr>
                          </w:pPr>
                          <w:r>
                            <w:rPr>
                              <w:rFonts w:hint="eastAsia"/>
                              <w:szCs w:val="21"/>
                            </w:rPr>
                            <w:t>建筑垃圾</w:t>
                          </w:r>
                        </w:p>
                      </w:txbxContent>
                    </v:textbox>
                  </v:shape>
                  <v:shape id="_x0000_s327903" o:spid="_x0000_s327903" o:spt="202" type="#_x0000_t202" style="position:absolute;left:6501;top:3194;height:421;width:1263;" filled="f" stroked="f" coordsize="21600,21600">
                    <v:path/>
                    <v:fill on="f" focussize="0,0"/>
                    <v:stroke on="f" joinstyle="miter"/>
                    <v:imagedata o:title=""/>
                    <o:lock v:ext="edit"/>
                    <v:textbox>
                      <w:txbxContent>
                        <w:p>
                          <w:pPr>
                            <w:rPr>
                              <w:szCs w:val="21"/>
                            </w:rPr>
                          </w:pPr>
                          <w:r>
                            <w:rPr>
                              <w:rFonts w:hint="eastAsia"/>
                              <w:szCs w:val="21"/>
                            </w:rPr>
                            <w:t>生活垃圾</w:t>
                          </w:r>
                        </w:p>
                      </w:txbxContent>
                    </v:textbox>
                  </v:shape>
                  <v:shape id="_x0000_s327904" o:spid="_x0000_s327904" o:spt="32" type="#_x0000_t32" style="position:absolute;left:5022;top:3568;height:359;width:1;" o:connectortype="straight" filled="f" coordsize="21600,21600">
                    <v:path arrowok="t"/>
                    <v:fill on="f" focussize="0,0"/>
                    <v:stroke dashstyle="dash" endarrow="block"/>
                    <v:imagedata o:title=""/>
                    <o:lock v:ext="edit"/>
                  </v:shape>
                  <v:shape id="_x0000_s327905" o:spid="_x0000_s327905" o:spt="32" type="#_x0000_t32" style="position:absolute;left:7065;top:3572;height:359;width:1;" o:connectortype="straight" filled="f" coordsize="21600,21600">
                    <v:path arrowok="t"/>
                    <v:fill on="f" focussize="0,0"/>
                    <v:stroke dashstyle="dash" endarrow="block"/>
                    <v:imagedata o:title=""/>
                    <o:lock v:ext="edit"/>
                  </v:shape>
                  <v:rect id="_x0000_s327906" o:spid="_x0000_s327906" o:spt="1" style="position:absolute;left:6119;top:3905;height:573;width:1887;" filled="f" stroked="f" coordsize="21600,21600">
                    <v:path/>
                    <v:fill on="f" focussize="0,0"/>
                    <v:stroke on="f" dashstyle="dash"/>
                    <v:imagedata o:title=""/>
                    <o:lock v:ext="edit"/>
                    <v:textbox inset="1.41842519685039pt,1.41842519685039pt,1.41842519685039pt,1.41842519685039pt">
                      <w:txbxContent>
                        <w:p>
                          <w:pPr>
                            <w:adjustRightInd w:val="0"/>
                            <w:snapToGrid w:val="0"/>
                            <w:jc w:val="center"/>
                            <w:rPr>
                              <w:spacing w:val="-10"/>
                              <w:szCs w:val="21"/>
                            </w:rPr>
                          </w:pPr>
                          <w:r>
                            <w:rPr>
                              <w:rFonts w:hint="eastAsia"/>
                              <w:spacing w:val="-10"/>
                              <w:szCs w:val="21"/>
                            </w:rPr>
                            <w:t>施工营地不设生活区，依托东风村公用设施解决</w:t>
                          </w:r>
                        </w:p>
                      </w:txbxContent>
                    </v:textbox>
                  </v:rect>
                  <v:shape id="_x0000_s327907" o:spid="_x0000_s327907" o:spt="202" type="#_x0000_t202" style="position:absolute;left:4206;top:3865;height:721;width:1629;" filled="f" stroked="f" coordsize="21600,21600">
                    <v:path/>
                    <v:fill on="f" focussize="0,0"/>
                    <v:stroke on="f" joinstyle="miter"/>
                    <v:imagedata o:title=""/>
                    <o:lock v:ext="edit"/>
                    <v:textbox>
                      <w:txbxContent>
                        <w:p>
                          <w:pPr>
                            <w:rPr>
                              <w:szCs w:val="21"/>
                            </w:rPr>
                          </w:pPr>
                          <w:r>
                            <w:rPr>
                              <w:rFonts w:hint="eastAsia"/>
                              <w:szCs w:val="21"/>
                            </w:rPr>
                            <w:t>分拣回收后运指定地点堆放</w:t>
                          </w:r>
                        </w:p>
                      </w:txbxContent>
                    </v:textbox>
                  </v:shape>
                  <w10:wrap type="none"/>
                  <w10:anchorlock/>
                </v:group>
              </w:pict>
            </w:r>
          </w:p>
          <w:p>
            <w:pPr>
              <w:spacing w:line="360" w:lineRule="auto"/>
              <w:ind w:firstLine="422" w:firstLineChars="200"/>
              <w:jc w:val="center"/>
              <w:rPr>
                <w:b/>
              </w:rPr>
            </w:pPr>
            <w:r>
              <w:rPr>
                <w:rFonts w:hint="eastAsia"/>
                <w:b/>
              </w:rPr>
              <w:t>图14-3  给排水工程施工期工艺流程及产污环节图</w:t>
            </w:r>
          </w:p>
          <w:p>
            <w:pPr>
              <w:spacing w:line="360" w:lineRule="auto"/>
              <w:ind w:firstLine="480" w:firstLineChars="200"/>
            </w:pPr>
            <w:r>
              <w:rPr>
                <w:sz w:val="24"/>
              </w:rPr>
              <w:pict>
                <v:group id="_x0000_s327908" o:spid="_x0000_s327908" o:spt="203" style="height:218.1pt;width:449.85pt;" coordorigin="1402,5168" coordsize="8997,4362" editas="canvas">
                  <o:lock v:ext="edit"/>
                  <v:shape id="_x0000_s327909" o:spid="_x0000_s327909" o:spt="75" type="#_x0000_t75" style="position:absolute;left:1402;top:5168;height:4362;width:8997;" filled="f" o:preferrelative="f" stroked="t" coordsize="21600,21600">
                    <v:fill on="f" focussize="0,0"/>
                    <v:stroke joinstyle="miter"/>
                    <v:imagedata o:title=""/>
                    <o:lock v:ext="edit" text="t" aspectratio="t"/>
                  </v:shape>
                  <v:shape id="_x0000_s327910" o:spid="_x0000_s327910" o:spt="202" type="#_x0000_t202" style="position:absolute;left:1447;top:7032;height:426;width:1171;" filled="f" coordsize="21600,21600">
                    <v:path/>
                    <v:fill on="f" focussize="0,0"/>
                    <v:stroke joinstyle="miter"/>
                    <v:imagedata o:title=""/>
                    <o:lock v:ext="edit"/>
                    <v:textbox>
                      <w:txbxContent>
                        <w:p>
                          <w:r>
                            <w:rPr>
                              <w:rFonts w:hint="eastAsia"/>
                            </w:rPr>
                            <w:t>基础工程</w:t>
                          </w:r>
                        </w:p>
                      </w:txbxContent>
                    </v:textbox>
                  </v:shape>
                  <v:shape id="_x0000_s327911" o:spid="_x0000_s327911" o:spt="202" type="#_x0000_t202" style="position:absolute;left:6214;top:7044;height:426;width:1173;" filled="f" coordsize="21600,21600">
                    <v:path/>
                    <v:fill on="f" focussize="0,0"/>
                    <v:stroke joinstyle="miter"/>
                    <v:imagedata o:title=""/>
                    <o:lock v:ext="edit"/>
                    <v:textbox>
                      <w:txbxContent>
                        <w:p>
                          <w:r>
                            <w:rPr>
                              <w:rFonts w:hint="eastAsia"/>
                            </w:rPr>
                            <w:t>配套工程</w:t>
                          </w:r>
                        </w:p>
                      </w:txbxContent>
                    </v:textbox>
                  </v:shape>
                  <v:shape id="_x0000_s327912" o:spid="_x0000_s327912" o:spt="202" type="#_x0000_t202" style="position:absolute;left:4624;top:7047;height:425;width:1172;" filled="f" coordsize="21600,21600">
                    <v:path/>
                    <v:fill on="f" focussize="0,0"/>
                    <v:stroke joinstyle="miter"/>
                    <v:imagedata o:title=""/>
                    <o:lock v:ext="edit"/>
                    <v:textbox>
                      <w:txbxContent>
                        <w:p>
                          <w:r>
                            <w:rPr>
                              <w:rFonts w:hint="eastAsia"/>
                            </w:rPr>
                            <w:t>装饰工程</w:t>
                          </w:r>
                        </w:p>
                      </w:txbxContent>
                    </v:textbox>
                  </v:shape>
                  <v:shape id="_x0000_s327913" o:spid="_x0000_s327913" o:spt="202" type="#_x0000_t202" style="position:absolute;left:3081;top:7055;height:428;width:1174;" filled="f" coordsize="21600,21600">
                    <v:path/>
                    <v:fill on="f" focussize="0,0"/>
                    <v:stroke joinstyle="miter"/>
                    <v:imagedata o:title=""/>
                    <o:lock v:ext="edit"/>
                    <v:textbox>
                      <w:txbxContent>
                        <w:p>
                          <w:r>
                            <w:rPr>
                              <w:rFonts w:hint="eastAsia"/>
                            </w:rPr>
                            <w:t>主体工程</w:t>
                          </w:r>
                        </w:p>
                      </w:txbxContent>
                    </v:textbox>
                  </v:shape>
                  <v:shape id="_x0000_s327914" o:spid="_x0000_s327914" o:spt="202" type="#_x0000_t202" style="position:absolute;left:7735;top:7044;height:426;width:1176;" filled="f" coordsize="21600,21600">
                    <v:path/>
                    <v:fill on="f" focussize="0,0"/>
                    <v:stroke joinstyle="miter"/>
                    <v:imagedata o:title=""/>
                    <o:lock v:ext="edit"/>
                    <v:textbox>
                      <w:txbxContent>
                        <w:p>
                          <w:r>
                            <w:rPr>
                              <w:rFonts w:hint="eastAsia"/>
                            </w:rPr>
                            <w:t>工程验收</w:t>
                          </w:r>
                        </w:p>
                      </w:txbxContent>
                    </v:textbox>
                  </v:shape>
                  <v:shape id="_x0000_s327915" o:spid="_x0000_s327915" o:spt="202" type="#_x0000_t202" style="position:absolute;left:9199;top:7029;height:427;width:1172;" filled="f" coordsize="21600,21600">
                    <v:path/>
                    <v:fill on="f" focussize="0,0"/>
                    <v:stroke joinstyle="miter"/>
                    <v:imagedata o:title=""/>
                    <o:lock v:ext="edit"/>
                    <v:textbox>
                      <w:txbxContent>
                        <w:p>
                          <w:r>
                            <w:rPr>
                              <w:rFonts w:hint="eastAsia"/>
                            </w:rPr>
                            <w:t>运行使用</w:t>
                          </w:r>
                        </w:p>
                      </w:txbxContent>
                    </v:textbox>
                  </v:shape>
                  <v:shape id="_x0000_s327916" o:spid="_x0000_s327916" o:spt="32" type="#_x0000_t32" style="position:absolute;left:2607;top:7256;height:4;width:474;" o:connectortype="straight" filled="f" coordsize="21600,21600">
                    <v:path arrowok="t"/>
                    <v:fill on="f" focussize="0,0"/>
                    <v:stroke endarrow="block"/>
                    <v:imagedata o:title=""/>
                    <o:lock v:ext="edit"/>
                  </v:shape>
                  <v:shape id="_x0000_s327917" o:spid="_x0000_s327917" o:spt="32" type="#_x0000_t32" style="position:absolute;left:4266;top:7254;height:5;width:359;" o:connectortype="straight" filled="f" coordsize="21600,21600">
                    <v:path arrowok="t"/>
                    <v:fill on="f" focussize="0,0"/>
                    <v:stroke endarrow="block"/>
                    <v:imagedata o:title=""/>
                    <o:lock v:ext="edit"/>
                  </v:shape>
                  <v:shape id="_x0000_s327918" o:spid="_x0000_s327918" o:spt="32" type="#_x0000_t32" style="position:absolute;left:5796;top:7252;height:1;width:414;" o:connectortype="straight" filled="f" coordsize="21600,21600">
                    <v:path arrowok="t"/>
                    <v:fill on="f" focussize="0,0"/>
                    <v:stroke endarrow="block"/>
                    <v:imagedata o:title=""/>
                    <o:lock v:ext="edit"/>
                  </v:shape>
                  <v:shape id="_x0000_s327919" o:spid="_x0000_s327919" o:spt="32" type="#_x0000_t32" style="position:absolute;left:7387;top:7260;height:1;width:348;" o:connectortype="straight" filled="f" coordsize="21600,21600">
                    <v:path arrowok="t"/>
                    <v:fill on="f" focussize="0,0"/>
                    <v:stroke endarrow="block"/>
                    <v:imagedata o:title=""/>
                    <o:lock v:ext="edit"/>
                  </v:shape>
                  <v:shape id="_x0000_s327920" o:spid="_x0000_s327920" o:spt="32" type="#_x0000_t32" style="position:absolute;left:8927;top:7251;height:1;width:287;" o:connectortype="straight" filled="f" coordsize="21600,21600">
                    <v:path arrowok="t"/>
                    <v:fill on="f" focussize="0,0"/>
                    <v:stroke endarrow="block"/>
                    <v:imagedata o:title=""/>
                    <o:lock v:ext="edit"/>
                  </v:shape>
                  <v:shape id="_x0000_s327921" o:spid="_x0000_s327921" o:spt="32" type="#_x0000_t32" style="position:absolute;left:2018;top:6667;flip:y;height:366;width:1;" o:connectortype="straight" filled="f" coordsize="21600,21600">
                    <v:path arrowok="t"/>
                    <v:fill on="f" focussize="0,0"/>
                    <v:stroke dashstyle="dash" endarrow="block"/>
                    <v:imagedata o:title=""/>
                    <o:lock v:ext="edit"/>
                  </v:shape>
                  <v:shape id="_x0000_s327922" o:spid="_x0000_s327922" o:spt="32" type="#_x0000_t32" style="position:absolute;left:3659;top:6653;flip:y;height:383;width:1;" o:connectortype="straight" filled="f" coordsize="21600,21600">
                    <v:path arrowok="t"/>
                    <v:fill on="f" focussize="0,0"/>
                    <v:stroke dashstyle="dash" endarrow="block"/>
                    <v:imagedata o:title=""/>
                    <o:lock v:ext="edit"/>
                  </v:shape>
                  <v:shape id="_x0000_s327923" o:spid="_x0000_s327923" o:spt="32" type="#_x0000_t32" style="position:absolute;left:5207;top:6664;flip:y;height:365;width:1;" o:connectortype="straight" filled="f" coordsize="21600,21600">
                    <v:path arrowok="t"/>
                    <v:fill on="f" focussize="0,0"/>
                    <v:stroke dashstyle="dash" endarrow="block"/>
                    <v:imagedata o:title=""/>
                    <o:lock v:ext="edit"/>
                  </v:shape>
                  <v:shape id="_x0000_s327924" o:spid="_x0000_s327924" o:spt="32" type="#_x0000_t32" style="position:absolute;left:6753;top:6664;flip:y;height:354;width:1;" o:connectortype="straight" filled="f" coordsize="21600,21600">
                    <v:path arrowok="t"/>
                    <v:fill on="f" focussize="0,0"/>
                    <v:stroke dashstyle="dash" endarrow="block"/>
                    <v:imagedata o:title=""/>
                    <o:lock v:ext="edit"/>
                  </v:shape>
                  <v:shape id="_x0000_s327925" o:spid="_x0000_s327925" o:spt="32" type="#_x0000_t32" style="position:absolute;left:8283;top:6686;flip:y;height:343;width:1;" o:connectortype="straight" filled="f" coordsize="21600,21600">
                    <v:path arrowok="t"/>
                    <v:fill on="f" focussize="0,0"/>
                    <v:stroke dashstyle="dash" endarrow="block"/>
                    <v:imagedata o:title=""/>
                    <o:lock v:ext="edit"/>
                  </v:shape>
                  <v:shape id="_x0000_s327926" o:spid="_x0000_s327926" o:spt="32" type="#_x0000_t32" style="position:absolute;left:2029;top:6662;flip:y;height:4;width:6255;" o:connectortype="straight" filled="f" coordsize="21600,21600">
                    <v:path arrowok="t"/>
                    <v:fill on="f" focussize="0,0"/>
                    <v:stroke/>
                    <v:imagedata o:title=""/>
                    <o:lock v:ext="edit"/>
                  </v:shape>
                  <v:shape id="_x0000_s327927" o:spid="_x0000_s327927" o:spt="32" type="#_x0000_t32" style="position:absolute;left:1908;top:7461;flip:y;height:543;width:1;" o:connectortype="straight" filled="f" coordsize="21600,21600">
                    <v:path arrowok="t"/>
                    <v:fill on="f" focussize="0,0"/>
                    <v:stroke dashstyle="dash" endarrow="block"/>
                    <v:imagedata o:title=""/>
                    <o:lock v:ext="edit"/>
                  </v:shape>
                  <v:shape id="_x0000_s327928" o:spid="_x0000_s327928" o:spt="32" type="#_x0000_t32" style="position:absolute;left:2158;top:7472;height:547;width:1;" o:connectortype="straight" filled="f" coordsize="21600,21600">
                    <v:path arrowok="t"/>
                    <v:fill on="f" focussize="0,0"/>
                    <v:stroke dashstyle="dash" endarrow="block"/>
                    <v:imagedata o:title=""/>
                    <o:lock v:ext="edit"/>
                  </v:shape>
                  <v:shape id="_x0000_s327929" o:spid="_x0000_s327929" o:spt="202" type="#_x0000_t202" style="position:absolute;left:1822;top:7949;height:426;width:811;" filled="f" stroked="f" coordsize="21600,21600">
                    <v:path/>
                    <v:fill on="f" focussize="0,0"/>
                    <v:stroke on="f" joinstyle="miter"/>
                    <v:imagedata o:title=""/>
                    <o:lock v:ext="edit"/>
                    <v:textbox>
                      <w:txbxContent>
                        <w:p>
                          <w:pPr>
                            <w:rPr>
                              <w:sz w:val="18"/>
                              <w:szCs w:val="18"/>
                            </w:rPr>
                          </w:pPr>
                          <w:r>
                            <w:rPr>
                              <w:sz w:val="18"/>
                              <w:szCs w:val="18"/>
                            </w:rPr>
                            <w:t>挖方</w:t>
                          </w:r>
                        </w:p>
                      </w:txbxContent>
                    </v:textbox>
                  </v:shape>
                  <v:shape id="_x0000_s327930" o:spid="_x0000_s327930" o:spt="202" type="#_x0000_t202" style="position:absolute;left:1402;top:7582;height:426;width:671;" filled="f" stroked="f" coordsize="21600,21600">
                    <v:path/>
                    <v:fill on="f" focussize="0,0"/>
                    <v:stroke on="f" joinstyle="miter"/>
                    <v:imagedata o:title=""/>
                    <o:lock v:ext="edit"/>
                    <v:textbox>
                      <w:txbxContent>
                        <w:p>
                          <w:pPr>
                            <w:rPr>
                              <w:sz w:val="18"/>
                              <w:szCs w:val="18"/>
                            </w:rPr>
                          </w:pPr>
                          <w:r>
                            <w:rPr>
                              <w:rFonts w:hint="eastAsia"/>
                              <w:sz w:val="18"/>
                              <w:szCs w:val="18"/>
                            </w:rPr>
                            <w:t>回填</w:t>
                          </w:r>
                        </w:p>
                      </w:txbxContent>
                    </v:textbox>
                  </v:shape>
                  <v:shape id="_x0000_s327931" o:spid="_x0000_s327931" o:spt="32" type="#_x0000_t32" style="position:absolute;left:3691;top:7461;height:547;width:1;" o:connectortype="straight" filled="f" coordsize="21600,21600">
                    <v:path arrowok="t"/>
                    <v:fill on="f" focussize="0,0"/>
                    <v:stroke dashstyle="dash" endarrow="block"/>
                    <v:imagedata o:title=""/>
                    <o:lock v:ext="edit"/>
                  </v:shape>
                  <v:shape id="_x0000_s327932" o:spid="_x0000_s327932" o:spt="32" type="#_x0000_t32" style="position:absolute;left:5241;top:7488;height:547;width:1;" o:connectortype="straight" filled="f" coordsize="21600,21600">
                    <v:path arrowok="t"/>
                    <v:fill on="f" focussize="0,0"/>
                    <v:stroke dashstyle="dash" endarrow="block"/>
                    <v:imagedata o:title=""/>
                    <o:lock v:ext="edit"/>
                  </v:shape>
                  <v:shape id="_x0000_s327933" o:spid="_x0000_s327933" o:spt="32" type="#_x0000_t32" style="position:absolute;left:6815;top:7472;height:547;width:1;" o:connectortype="straight" filled="f" coordsize="21600,21600">
                    <v:path arrowok="t"/>
                    <v:fill on="f" focussize="0,0"/>
                    <v:stroke dashstyle="dash" endarrow="block"/>
                    <v:imagedata o:title=""/>
                    <o:lock v:ext="edit"/>
                  </v:shape>
                  <v:shape id="_x0000_s327934" o:spid="_x0000_s327934" o:spt="32" type="#_x0000_t32" style="position:absolute;left:8328;top:7483;height:547;width:1;" o:connectortype="straight" filled="f" coordsize="21600,21600">
                    <v:path arrowok="t"/>
                    <v:fill on="f" focussize="0,0"/>
                    <v:stroke dashstyle="dash" endarrow="block"/>
                    <v:imagedata o:title=""/>
                    <o:lock v:ext="edit"/>
                  </v:shape>
                  <v:shape id="_x0000_s327935" o:spid="_x0000_s327935" o:spt="32" type="#_x0000_t32" style="position:absolute;left:3692;top:8004;flip:y;height:5;width:4637;" o:connectortype="straight" filled="f" coordsize="21600,21600">
                    <v:path arrowok="t"/>
                    <v:fill on="f" focussize="0,0"/>
                    <v:stroke/>
                    <v:imagedata o:title=""/>
                    <o:lock v:ext="edit"/>
                  </v:shape>
                  <v:shape id="_x0000_s327936" o:spid="_x0000_s327936" o:spt="202" type="#_x0000_t202" style="position:absolute;left:4178;top:8068;height:426;width:1249;" filled="f" stroked="f" coordsize="21600,21600">
                    <v:path/>
                    <v:fill on="f" focussize="0,0"/>
                    <v:stroke on="f" joinstyle="miter"/>
                    <v:imagedata o:title=""/>
                    <o:lock v:ext="edit"/>
                    <v:textbox>
                      <w:txbxContent>
                        <w:p>
                          <w:r>
                            <w:rPr>
                              <w:rFonts w:hint="eastAsia"/>
                            </w:rPr>
                            <w:t>生活垃圾</w:t>
                          </w:r>
                        </w:p>
                      </w:txbxContent>
                    </v:textbox>
                  </v:shape>
                  <v:shape id="_x0000_s327937" o:spid="_x0000_s327937" o:spt="202" type="#_x0000_t202" style="position:absolute;left:6891;top:8035;height:426;width:1249;" filled="f" stroked="f" coordsize="21600,21600">
                    <v:path/>
                    <v:fill on="f" focussize="0,0"/>
                    <v:stroke on="f" joinstyle="miter"/>
                    <v:imagedata o:title=""/>
                    <o:lock v:ext="edit"/>
                    <v:textbox>
                      <w:txbxContent>
                        <w:p>
                          <w:r>
                            <w:rPr>
                              <w:rFonts w:hint="eastAsia"/>
                            </w:rPr>
                            <w:t>建筑垃圾</w:t>
                          </w:r>
                        </w:p>
                      </w:txbxContent>
                    </v:textbox>
                  </v:shape>
                  <v:shape id="_x0000_s327938" o:spid="_x0000_s327938" o:spt="32" type="#_x0000_t32" style="position:absolute;left:4799;top:8461;height:327;width:1;" o:connectortype="straight" filled="f" coordsize="21600,21600">
                    <v:path arrowok="t"/>
                    <v:fill on="f" focussize="0,0"/>
                    <v:stroke dashstyle="dash" endarrow="block"/>
                    <v:imagedata o:title=""/>
                    <o:lock v:ext="edit"/>
                  </v:shape>
                  <v:shape id="_x0000_s327939" o:spid="_x0000_s327939" o:spt="32" type="#_x0000_t32" style="position:absolute;left:7443;top:8461;height:327;width:1;" o:connectortype="straight" filled="f" coordsize="21600,21600">
                    <v:path arrowok="t"/>
                    <v:fill on="f" focussize="0,0"/>
                    <v:stroke dashstyle="dash" endarrow="block"/>
                    <v:imagedata o:title=""/>
                    <o:lock v:ext="edit"/>
                  </v:shape>
                  <v:shape id="_x0000_s327940" o:spid="_x0000_s327940" o:spt="202" type="#_x0000_t202" style="position:absolute;left:3627;top:8734;height:731;width:2587;" filled="f" stroked="f" coordsize="21600,21600">
                    <v:path/>
                    <v:fill on="f" focussize="0,0"/>
                    <v:stroke on="f" joinstyle="miter"/>
                    <v:imagedata o:title=""/>
                    <o:lock v:ext="edit"/>
                    <v:textbox>
                      <w:txbxContent>
                        <w:p>
                          <w:r>
                            <w:rPr>
                              <w:rFonts w:hint="eastAsia"/>
                            </w:rPr>
                            <w:t>施工营地不设生活区，依托东风村公用设施解决</w:t>
                          </w:r>
                        </w:p>
                      </w:txbxContent>
                    </v:textbox>
                  </v:shape>
                  <v:shape id="_x0000_s327941" o:spid="_x0000_s327941" o:spt="202" type="#_x0000_t202" style="position:absolute;left:6435;top:8701;height:764;width:2123;" filled="f" stroked="f" coordsize="21600,21600">
                    <v:path/>
                    <v:fill on="f" focussize="0,0"/>
                    <v:stroke on="f" joinstyle="miter"/>
                    <v:imagedata o:title=""/>
                    <o:lock v:ext="edit"/>
                    <v:textbox>
                      <w:txbxContent>
                        <w:p>
                          <w:r>
                            <w:rPr>
                              <w:rFonts w:hint="eastAsia"/>
                            </w:rPr>
                            <w:t>产生量少，管理回收及时清理施工区域</w:t>
                          </w:r>
                        </w:p>
                      </w:txbxContent>
                    </v:textbox>
                  </v:shape>
                  <v:shape id="_x0000_s327942" o:spid="_x0000_s327942" o:spt="202" type="#_x0000_t202" style="position:absolute;left:2029;top:6315;height:426;width:811;" filled="f" stroked="f" coordsize="21600,21600">
                    <v:path/>
                    <v:fill on="f" focussize="0,0"/>
                    <v:stroke on="f" joinstyle="miter"/>
                    <v:imagedata o:title=""/>
                    <o:lock v:ext="edit"/>
                    <v:textbox>
                      <w:txbxContent>
                        <w:p>
                          <w:r>
                            <w:rPr>
                              <w:rFonts w:hint="eastAsia"/>
                            </w:rPr>
                            <w:t>噪声</w:t>
                          </w:r>
                        </w:p>
                      </w:txbxContent>
                    </v:textbox>
                  </v:shape>
                  <v:shape id="_x0000_s327943" o:spid="_x0000_s327943" o:spt="202" type="#_x0000_t202" style="position:absolute;left:3296;top:6241;height:426;width:1329;" filled="f" stroked="f" coordsize="21600,21600">
                    <v:path/>
                    <v:fill on="f" focussize="0,0"/>
                    <v:stroke on="f" joinstyle="miter"/>
                    <v:imagedata o:title=""/>
                    <o:lock v:ext="edit"/>
                    <v:textbox>
                      <w:txbxContent>
                        <w:p>
                          <w:r>
                            <w:rPr>
                              <w:rFonts w:hint="eastAsia"/>
                            </w:rPr>
                            <w:t>扬尘、废气</w:t>
                          </w:r>
                        </w:p>
                      </w:txbxContent>
                    </v:textbox>
                  </v:shape>
                  <v:shape id="_x0000_s327944" o:spid="_x0000_s327944" o:spt="202" type="#_x0000_t202" style="position:absolute;left:5550;top:6227;height:426;width:1203;" filled="f" stroked="f" coordsize="21600,21600">
                    <v:path/>
                    <v:fill on="f" focussize="0,0"/>
                    <v:stroke on="f" joinstyle="miter"/>
                    <v:imagedata o:title=""/>
                    <o:lock v:ext="edit"/>
                    <v:textbox>
                      <w:txbxContent>
                        <w:p>
                          <w:r>
                            <w:rPr>
                              <w:rFonts w:hint="eastAsia"/>
                            </w:rPr>
                            <w:t>建筑废水</w:t>
                          </w:r>
                        </w:p>
                      </w:txbxContent>
                    </v:textbox>
                  </v:shape>
                  <v:shape id="_x0000_s327945" o:spid="_x0000_s327945" o:spt="202" type="#_x0000_t202" style="position:absolute;left:7224;top:6227;height:426;width:1203;" filled="f" stroked="f" coordsize="21600,21600">
                    <v:path/>
                    <v:fill on="f" focussize="0,0"/>
                    <v:stroke on="f" joinstyle="miter"/>
                    <v:imagedata o:title=""/>
                    <o:lock v:ext="edit"/>
                    <v:textbox>
                      <w:txbxContent>
                        <w:p>
                          <w:r>
                            <w:rPr>
                              <w:rFonts w:hint="eastAsia"/>
                            </w:rPr>
                            <w:t>生活废水</w:t>
                          </w:r>
                        </w:p>
                      </w:txbxContent>
                    </v:textbox>
                  </v:shape>
                  <v:shape id="_x0000_s327946" o:spid="_x0000_s327946" o:spt="32" type="#_x0000_t32" style="position:absolute;left:7801;top:5871;flip:y;height:444;width:1;" o:connectortype="straight" filled="f" coordsize="21600,21600">
                    <v:path arrowok="t"/>
                    <v:fill on="f" focussize="0,0"/>
                    <v:stroke dashstyle="dash" endarrow="block"/>
                    <v:imagedata o:title=""/>
                    <o:lock v:ext="edit"/>
                  </v:shape>
                  <v:shape id="_x0000_s327947" o:spid="_x0000_s327947" o:spt="202" type="#_x0000_t202" style="position:absolute;left:6990;top:5223;height:872;width:1657;" filled="f" stroked="f" coordsize="21600,21600">
                    <v:path/>
                    <v:fill on="f" focussize="0,0"/>
                    <v:stroke on="f" joinstyle="miter"/>
                    <v:imagedata o:title=""/>
                    <o:lock v:ext="edit"/>
                    <v:textbox>
                      <w:txbxContent>
                        <w:p>
                          <w:r>
                            <w:rPr>
                              <w:rFonts w:hint="eastAsia"/>
                            </w:rPr>
                            <w:t>依托东风村公用设施解决</w:t>
                          </w:r>
                        </w:p>
                      </w:txbxContent>
                    </v:textbox>
                  </v:shape>
                  <v:shape id="_x0000_s327948" o:spid="_x0000_s327948" o:spt="32" type="#_x0000_t32" style="position:absolute;left:6092;top:5871;flip:y;height:444;width:1;" o:connectortype="straight" filled="f" coordsize="21600,21600">
                    <v:path arrowok="t"/>
                    <v:fill on="f" focussize="0,0"/>
                    <v:stroke dashstyle="dash" endarrow="block"/>
                    <v:imagedata o:title=""/>
                    <o:lock v:ext="edit"/>
                  </v:shape>
                  <v:shape id="_x0000_s327949" o:spid="_x0000_s327949" o:spt="202" type="#_x0000_t202" style="position:absolute;left:5333;top:5445;height:426;width:1420;" filled="f" stroked="f" coordsize="21600,21600">
                    <v:path/>
                    <v:fill on="f" focussize="0,0"/>
                    <v:stroke on="f" joinstyle="miter"/>
                    <v:imagedata o:title=""/>
                    <o:lock v:ext="edit"/>
                    <v:textbox>
                      <w:txbxContent>
                        <w:p>
                          <w:r>
                            <w:rPr>
                              <w:rFonts w:hint="eastAsia"/>
                            </w:rPr>
                            <w:t>临时沉淀池</w:t>
                          </w:r>
                        </w:p>
                      </w:txbxContent>
                    </v:textbox>
                  </v:shape>
                  <v:shape id="_x0000_s327950" o:spid="_x0000_s327950" o:spt="32" type="#_x0000_t32" style="position:absolute;left:5150;top:5687;flip:x;height:1;width:287;" o:connectortype="straight" filled="f" coordsize="21600,21600">
                    <v:path arrowok="t"/>
                    <v:fill on="f" focussize="0,0"/>
                    <v:stroke dashstyle="dash"/>
                    <v:imagedata o:title=""/>
                    <o:lock v:ext="edit"/>
                  </v:shape>
                  <v:shape id="_x0000_s327951" o:spid="_x0000_s327951" o:spt="32" type="#_x0000_t32" style="position:absolute;left:5152;top:5687;height:792;width:1;" o:connectortype="straight" filled="f" coordsize="21600,21600">
                    <v:path arrowok="t"/>
                    <v:fill on="f" focussize="0,0"/>
                    <v:stroke dashstyle="dash"/>
                    <v:imagedata o:title=""/>
                    <o:lock v:ext="edit"/>
                  </v:shape>
                  <v:shape id="_x0000_s327952" o:spid="_x0000_s327952" o:spt="32" type="#_x0000_t32" style="position:absolute;left:5152;top:6468;flip:y;height:11;width:485;" o:connectortype="straight" filled="f" coordsize="21600,21600">
                    <v:path arrowok="t"/>
                    <v:fill on="f" focussize="0,0"/>
                    <v:stroke dashstyle="dash" endarrow="block"/>
                    <v:imagedata o:title=""/>
                    <o:lock v:ext="edit"/>
                  </v:shape>
                  <v:shape id="_x0000_s327953" o:spid="_x0000_s327953" o:spt="202" type="#_x0000_t202" style="position:absolute;left:5042;top:5889;height:426;width:714;" filled="f" stroked="f" coordsize="21600,21600">
                    <v:path/>
                    <v:fill on="f" focussize="0,0"/>
                    <v:stroke on="f" joinstyle="miter"/>
                    <v:imagedata o:title=""/>
                    <o:lock v:ext="edit"/>
                    <v:textbox>
                      <w:txbxContent>
                        <w:p>
                          <w:pPr>
                            <w:rPr>
                              <w:sz w:val="18"/>
                              <w:szCs w:val="18"/>
                            </w:rPr>
                          </w:pPr>
                          <w:r>
                            <w:rPr>
                              <w:rFonts w:hint="eastAsia"/>
                              <w:sz w:val="18"/>
                              <w:szCs w:val="18"/>
                            </w:rPr>
                            <w:t>回用</w:t>
                          </w:r>
                        </w:p>
                      </w:txbxContent>
                    </v:textbox>
                  </v:shape>
                  <v:shape id="_x0000_s327954" o:spid="_x0000_s327954" o:spt="32" type="#_x0000_t32" style="position:absolute;left:3953;top:5871;flip:y;height:444;width:1;" o:connectortype="straight" filled="f" coordsize="21600,21600">
                    <v:path arrowok="t"/>
                    <v:fill on="f" focussize="0,0"/>
                    <v:stroke dashstyle="dash" endarrow="block"/>
                    <v:imagedata o:title=""/>
                    <o:lock v:ext="edit"/>
                  </v:shape>
                  <v:shape id="_x0000_s327955" o:spid="_x0000_s327955" o:spt="202" type="#_x0000_t202" style="position:absolute;left:3365;top:5540;height:426;width:1129;" filled="f" stroked="f" coordsize="21600,21600">
                    <v:path/>
                    <v:fill on="f" focussize="0,0"/>
                    <v:stroke on="f" joinstyle="miter"/>
                    <v:imagedata o:title=""/>
                    <o:lock v:ext="edit"/>
                    <v:textbox>
                      <w:txbxContent>
                        <w:p>
                          <w:r>
                            <w:rPr>
                              <w:rFonts w:hint="eastAsia"/>
                            </w:rPr>
                            <w:t>大气环境</w:t>
                          </w:r>
                        </w:p>
                      </w:txbxContent>
                    </v:textbox>
                  </v:shape>
                  <v:shape id="_x0000_s327956" o:spid="_x0000_s327956" o:spt="202" type="#_x0000_t202" style="position:absolute;left:1909;top:5540;height:426;width:1129;" filled="f" stroked="f" coordsize="21600,21600">
                    <v:path/>
                    <v:fill on="f" focussize="0,0"/>
                    <v:stroke on="f" joinstyle="miter"/>
                    <v:imagedata o:title=""/>
                    <o:lock v:ext="edit"/>
                    <v:textbox>
                      <w:txbxContent>
                        <w:p>
                          <w:r>
                            <w:rPr>
                              <w:rFonts w:hint="eastAsia"/>
                            </w:rPr>
                            <w:t>声环境</w:t>
                          </w:r>
                        </w:p>
                      </w:txbxContent>
                    </v:textbox>
                  </v:shape>
                  <v:shape id="_x0000_s327957" o:spid="_x0000_s327957" o:spt="32" type="#_x0000_t32" style="position:absolute;left:2425;top:5889;flip:y;height:444;width:1;" o:connectortype="straight" filled="f" coordsize="21600,21600">
                    <v:path arrowok="t"/>
                    <v:fill on="f" focussize="0,0"/>
                    <v:stroke dashstyle="dash" endarrow="block"/>
                    <v:imagedata o:title=""/>
                    <o:lock v:ext="edit"/>
                  </v:shape>
                  <w10:wrap type="none"/>
                  <w10:anchorlock/>
                </v:group>
              </w:pict>
            </w:r>
          </w:p>
          <w:p>
            <w:pPr>
              <w:spacing w:line="360" w:lineRule="auto"/>
              <w:ind w:firstLine="422" w:firstLineChars="200"/>
              <w:jc w:val="center"/>
              <w:rPr>
                <w:b/>
              </w:rPr>
            </w:pPr>
            <w:r>
              <w:rPr>
                <w:b/>
              </w:rPr>
              <w:t>图14-4  广场</w:t>
            </w:r>
            <w:r>
              <w:rPr>
                <w:rFonts w:hint="eastAsia"/>
                <w:b/>
              </w:rPr>
              <w:t>、照明等</w:t>
            </w:r>
            <w:r>
              <w:rPr>
                <w:b/>
              </w:rPr>
              <w:t>工程施工期工艺流程及产污环节图</w:t>
            </w:r>
          </w:p>
          <w:p>
            <w:pPr>
              <w:spacing w:line="360" w:lineRule="auto"/>
              <w:ind w:firstLine="482" w:firstLineChars="200"/>
              <w:rPr>
                <w:b/>
                <w:sz w:val="24"/>
                <w:szCs w:val="24"/>
              </w:rPr>
            </w:pPr>
            <w:r>
              <w:rPr>
                <w:rFonts w:hint="eastAsia"/>
                <w:b/>
                <w:sz w:val="24"/>
                <w:szCs w:val="24"/>
              </w:rPr>
              <w:t>产污环节：</w:t>
            </w:r>
          </w:p>
          <w:p>
            <w:pPr>
              <w:spacing w:line="360" w:lineRule="auto"/>
              <w:ind w:firstLine="480" w:firstLineChars="200"/>
              <w:rPr>
                <w:sz w:val="24"/>
                <w:szCs w:val="24"/>
              </w:rPr>
            </w:pPr>
            <w:r>
              <w:rPr>
                <w:rFonts w:hint="eastAsia"/>
                <w:sz w:val="24"/>
                <w:szCs w:val="24"/>
              </w:rPr>
              <w:t>1.废气：主要为施工机械挖土、建筑材料及弃土堆放时产生的扬尘，道路沥青混凝土路面产生的少量沥青烟气，汽车尾气。</w:t>
            </w:r>
          </w:p>
          <w:p>
            <w:pPr>
              <w:spacing w:line="360" w:lineRule="auto"/>
              <w:ind w:firstLine="480" w:firstLineChars="200"/>
              <w:rPr>
                <w:sz w:val="24"/>
                <w:szCs w:val="24"/>
              </w:rPr>
            </w:pPr>
            <w:r>
              <w:rPr>
                <w:rFonts w:hint="eastAsia"/>
                <w:sz w:val="24"/>
                <w:szCs w:val="24"/>
              </w:rPr>
              <w:t>2.废水：主要为施工废水、试压/清管废水和施工人员生活污水。</w:t>
            </w:r>
          </w:p>
          <w:p>
            <w:pPr>
              <w:spacing w:line="360" w:lineRule="auto"/>
              <w:ind w:firstLine="480" w:firstLineChars="200"/>
              <w:rPr>
                <w:sz w:val="24"/>
                <w:szCs w:val="24"/>
              </w:rPr>
            </w:pPr>
            <w:r>
              <w:rPr>
                <w:rFonts w:hint="eastAsia"/>
                <w:sz w:val="24"/>
                <w:szCs w:val="24"/>
              </w:rPr>
              <w:t>3.噪声：主要为施工机械产生的噪声。</w:t>
            </w:r>
          </w:p>
          <w:p>
            <w:pPr>
              <w:spacing w:line="360" w:lineRule="auto"/>
              <w:ind w:firstLine="480" w:firstLineChars="200"/>
              <w:rPr>
                <w:sz w:val="24"/>
                <w:szCs w:val="24"/>
              </w:rPr>
            </w:pPr>
            <w:r>
              <w:rPr>
                <w:rFonts w:hint="eastAsia"/>
                <w:sz w:val="24"/>
                <w:szCs w:val="24"/>
              </w:rPr>
              <w:t>4.固体废物：主要为路面拆除产生的废建筑垃圾、</w:t>
            </w:r>
            <w:r>
              <w:rPr>
                <w:rFonts w:hAnsi="宋体"/>
                <w:bCs/>
                <w:sz w:val="24"/>
              </w:rPr>
              <w:t>废弃的碎砖、石块、冲洗残渣以及各类建材的包装箱、袋</w:t>
            </w:r>
            <w:r>
              <w:rPr>
                <w:rFonts w:hint="eastAsia" w:hAnsi="宋体"/>
                <w:sz w:val="24"/>
              </w:rPr>
              <w:t>等建筑垃圾</w:t>
            </w:r>
            <w:r>
              <w:rPr>
                <w:rFonts w:hint="eastAsia"/>
                <w:sz w:val="24"/>
                <w:szCs w:val="24"/>
              </w:rPr>
              <w:t>和施工人员生活垃圾。</w:t>
            </w:r>
          </w:p>
          <w:p>
            <w:pPr>
              <w:spacing w:line="360" w:lineRule="auto"/>
              <w:ind w:firstLine="482" w:firstLineChars="200"/>
              <w:rPr>
                <w:b/>
                <w:sz w:val="24"/>
                <w:szCs w:val="24"/>
              </w:rPr>
            </w:pPr>
            <w:r>
              <w:rPr>
                <w:rFonts w:hint="eastAsia"/>
                <w:b/>
                <w:sz w:val="24"/>
                <w:szCs w:val="24"/>
              </w:rPr>
              <w:t>二、运营期</w:t>
            </w:r>
          </w:p>
          <w:p>
            <w:pPr>
              <w:spacing w:line="360" w:lineRule="auto"/>
              <w:ind w:firstLine="482" w:firstLineChars="200"/>
              <w:rPr>
                <w:b/>
                <w:sz w:val="24"/>
                <w:szCs w:val="24"/>
              </w:rPr>
            </w:pPr>
            <w:r>
              <w:rPr>
                <w:rFonts w:hint="eastAsia"/>
                <w:b/>
                <w:sz w:val="24"/>
                <w:szCs w:val="24"/>
              </w:rPr>
              <w:t>污水处理站：</w:t>
            </w:r>
          </w:p>
          <w:p>
            <w:pPr>
              <w:spacing w:line="360" w:lineRule="auto"/>
              <w:ind w:firstLine="480" w:firstLineChars="200"/>
              <w:rPr>
                <w:sz w:val="24"/>
                <w:szCs w:val="24"/>
              </w:rPr>
            </w:pPr>
            <w:r>
              <w:rPr>
                <w:rFonts w:hint="eastAsia"/>
                <w:sz w:val="24"/>
                <w:szCs w:val="24"/>
              </w:rPr>
              <w:t>1、污水处理规模</w:t>
            </w:r>
          </w:p>
          <w:p>
            <w:pPr>
              <w:spacing w:line="360" w:lineRule="auto"/>
              <w:ind w:firstLine="480" w:firstLineChars="200"/>
              <w:rPr>
                <w:sz w:val="24"/>
                <w:szCs w:val="24"/>
              </w:rPr>
            </w:pPr>
            <w:r>
              <w:rPr>
                <w:rFonts w:hint="eastAsia"/>
                <w:sz w:val="24"/>
                <w:szCs w:val="24"/>
              </w:rPr>
              <w:t>根据《庆阳市太昌镇污水处理工程建设项目可行性研究报告》（北京桑德环境工程有限公司），本项目处理规模确定如下：</w:t>
            </w:r>
          </w:p>
          <w:p>
            <w:pPr>
              <w:spacing w:line="360" w:lineRule="auto"/>
              <w:ind w:firstLine="480" w:firstLineChars="200"/>
              <w:rPr>
                <w:sz w:val="24"/>
                <w:szCs w:val="24"/>
              </w:rPr>
            </w:pPr>
            <w:r>
              <w:rPr>
                <w:rFonts w:hint="eastAsia"/>
                <w:sz w:val="24"/>
                <w:szCs w:val="24"/>
              </w:rPr>
              <w:t>（1）服务范围</w:t>
            </w:r>
          </w:p>
          <w:p>
            <w:pPr>
              <w:spacing w:line="360" w:lineRule="auto"/>
              <w:ind w:firstLine="480" w:firstLineChars="200"/>
              <w:rPr>
                <w:sz w:val="24"/>
                <w:szCs w:val="24"/>
              </w:rPr>
            </w:pPr>
            <w:r>
              <w:rPr>
                <w:rFonts w:hint="eastAsia"/>
                <w:sz w:val="24"/>
                <w:szCs w:val="24"/>
              </w:rPr>
              <w:t>服务于太昌镇街区辖区。</w:t>
            </w:r>
          </w:p>
          <w:p>
            <w:pPr>
              <w:spacing w:line="360" w:lineRule="auto"/>
              <w:ind w:firstLine="480" w:firstLineChars="200"/>
              <w:rPr>
                <w:sz w:val="24"/>
                <w:szCs w:val="24"/>
              </w:rPr>
            </w:pPr>
            <w:bookmarkStart w:id="34" w:name="_Toc247901932"/>
            <w:r>
              <w:rPr>
                <w:rFonts w:hint="eastAsia"/>
                <w:sz w:val="24"/>
                <w:szCs w:val="24"/>
              </w:rPr>
              <w:t>（2）</w:t>
            </w:r>
            <w:bookmarkEnd w:id="34"/>
            <w:r>
              <w:rPr>
                <w:rFonts w:hint="eastAsia"/>
                <w:sz w:val="24"/>
                <w:szCs w:val="24"/>
              </w:rPr>
              <w:t>污水量预测</w:t>
            </w:r>
          </w:p>
          <w:p>
            <w:pPr>
              <w:spacing w:line="360" w:lineRule="auto"/>
              <w:ind w:firstLine="480" w:firstLineChars="200"/>
              <w:rPr>
                <w:sz w:val="24"/>
                <w:szCs w:val="24"/>
              </w:rPr>
            </w:pPr>
            <w:r>
              <w:rPr>
                <w:rFonts w:hint="eastAsia"/>
                <w:sz w:val="24"/>
                <w:szCs w:val="24"/>
              </w:rPr>
              <w:t>根据《镇（乡）村给水工程技术规范》、《村镇排水工程技术规程》、《室外给水设计规范》、《中国农村给水工程规划设计手册》、《城市给水工程规划规划》和《城市排水工程规划规范》，城市污水量宜根据城市综合用水量乘以城市污水排放系数确定。因此，应首先预测出用水量，然后再计算出污水量。用水量主要采用人均综合指标法进行预测，该法是根据人口规模和人均综合用水量指标进行预测，此方法是污水量预测的主要方法。</w:t>
            </w:r>
          </w:p>
          <w:p>
            <w:pPr>
              <w:spacing w:line="360" w:lineRule="auto"/>
              <w:ind w:firstLine="480" w:firstLineChars="200"/>
              <w:rPr>
                <w:sz w:val="24"/>
                <w:szCs w:val="24"/>
              </w:rPr>
            </w:pPr>
            <w:r>
              <w:rPr>
                <w:rFonts w:hint="eastAsia"/>
                <w:sz w:val="24"/>
                <w:szCs w:val="24"/>
              </w:rPr>
              <w:t>现状人口根据建设单位提供的乡镇污水站服务人口数量确定，如下表所示：</w:t>
            </w:r>
          </w:p>
          <w:p>
            <w:pPr>
              <w:spacing w:line="360" w:lineRule="auto"/>
              <w:ind w:firstLine="422" w:firstLineChars="200"/>
              <w:jc w:val="center"/>
              <w:rPr>
                <w:b/>
                <w:szCs w:val="21"/>
              </w:rPr>
            </w:pPr>
            <w:r>
              <w:rPr>
                <w:rFonts w:hint="eastAsia"/>
                <w:b/>
                <w:szCs w:val="21"/>
              </w:rPr>
              <w:t>表26  现状人口数量</w:t>
            </w:r>
          </w:p>
          <w:tbl>
            <w:tblPr>
              <w:tblStyle w:val="36"/>
              <w:tblW w:w="8901"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702"/>
              <w:gridCol w:w="2266"/>
              <w:gridCol w:w="493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1702" w:type="dxa"/>
                  <w:vAlign w:val="center"/>
                </w:tcPr>
                <w:p>
                  <w:pPr>
                    <w:jc w:val="center"/>
                    <w:rPr>
                      <w:b/>
                      <w:szCs w:val="21"/>
                    </w:rPr>
                  </w:pPr>
                  <w:r>
                    <w:rPr>
                      <w:rFonts w:hint="eastAsia"/>
                      <w:b/>
                      <w:szCs w:val="21"/>
                    </w:rPr>
                    <w:t>序号</w:t>
                  </w:r>
                </w:p>
              </w:tc>
              <w:tc>
                <w:tcPr>
                  <w:tcW w:w="2266" w:type="dxa"/>
                  <w:vAlign w:val="center"/>
                </w:tcPr>
                <w:p>
                  <w:pPr>
                    <w:jc w:val="center"/>
                    <w:rPr>
                      <w:b/>
                      <w:szCs w:val="21"/>
                    </w:rPr>
                  </w:pPr>
                  <w:r>
                    <w:rPr>
                      <w:rFonts w:hint="eastAsia"/>
                      <w:b/>
                      <w:szCs w:val="21"/>
                    </w:rPr>
                    <w:t>乡镇名称</w:t>
                  </w:r>
                </w:p>
              </w:tc>
              <w:tc>
                <w:tcPr>
                  <w:tcW w:w="4933" w:type="dxa"/>
                  <w:vAlign w:val="center"/>
                </w:tcPr>
                <w:p>
                  <w:pPr>
                    <w:jc w:val="center"/>
                    <w:rPr>
                      <w:b/>
                      <w:szCs w:val="21"/>
                    </w:rPr>
                  </w:pPr>
                  <w:r>
                    <w:rPr>
                      <w:rFonts w:hint="eastAsia"/>
                      <w:b/>
                      <w:szCs w:val="21"/>
                    </w:rPr>
                    <w:t>镇区2018年现状人口（万人）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1702" w:type="dxa"/>
                  <w:vAlign w:val="center"/>
                </w:tcPr>
                <w:p>
                  <w:pPr>
                    <w:jc w:val="center"/>
                    <w:rPr>
                      <w:szCs w:val="21"/>
                    </w:rPr>
                  </w:pPr>
                  <w:r>
                    <w:rPr>
                      <w:rFonts w:hint="eastAsia"/>
                      <w:szCs w:val="21"/>
                    </w:rPr>
                    <w:t>1</w:t>
                  </w:r>
                </w:p>
              </w:tc>
              <w:tc>
                <w:tcPr>
                  <w:tcW w:w="2266" w:type="dxa"/>
                  <w:vAlign w:val="center"/>
                </w:tcPr>
                <w:p>
                  <w:pPr>
                    <w:jc w:val="center"/>
                    <w:rPr>
                      <w:szCs w:val="21"/>
                    </w:rPr>
                  </w:pPr>
                  <w:r>
                    <w:rPr>
                      <w:rFonts w:hint="eastAsia"/>
                      <w:szCs w:val="21"/>
                    </w:rPr>
                    <w:t>太昌镇</w:t>
                  </w:r>
                </w:p>
              </w:tc>
              <w:tc>
                <w:tcPr>
                  <w:tcW w:w="4933" w:type="dxa"/>
                  <w:vAlign w:val="center"/>
                </w:tcPr>
                <w:p>
                  <w:pPr>
                    <w:jc w:val="center"/>
                    <w:rPr>
                      <w:szCs w:val="21"/>
                    </w:rPr>
                  </w:pPr>
                  <w:r>
                    <w:rPr>
                      <w:rFonts w:hint="eastAsia"/>
                      <w:szCs w:val="21"/>
                    </w:rPr>
                    <w:t>0.15</w:t>
                  </w:r>
                </w:p>
              </w:tc>
            </w:tr>
          </w:tbl>
          <w:p>
            <w:pPr>
              <w:spacing w:line="360" w:lineRule="auto"/>
              <w:ind w:firstLine="480" w:firstLineChars="200"/>
              <w:rPr>
                <w:sz w:val="24"/>
                <w:szCs w:val="24"/>
              </w:rPr>
            </w:pPr>
            <w:r>
              <w:rPr>
                <w:rFonts w:hint="eastAsia"/>
                <w:sz w:val="24"/>
                <w:szCs w:val="24"/>
              </w:rPr>
              <w:t>1）生活污水量</w:t>
            </w:r>
          </w:p>
          <w:p>
            <w:pPr>
              <w:spacing w:line="360" w:lineRule="auto"/>
              <w:ind w:firstLine="480" w:firstLineChars="200"/>
              <w:rPr>
                <w:sz w:val="24"/>
                <w:szCs w:val="24"/>
              </w:rPr>
            </w:pPr>
            <w:r>
              <w:rPr>
                <w:rFonts w:hint="eastAsia"/>
                <w:sz w:val="24"/>
                <w:szCs w:val="24"/>
              </w:rPr>
              <w:t>根据《室外给水设计规范》（GB50013-2006）（2014版）并结合宁县太昌镇的综合发展状况及污水实际收集情况，确定2018年宁县太昌镇综合生活用水量（平均日）为90L/cap·d，同时考虑到污水收集管网工程完善程度、供水普及率实际情况等，乡镇污水排放系数确定为0.8，收集率为90%，生活污水量预测结果见表33。</w:t>
            </w:r>
          </w:p>
          <w:p>
            <w:pPr>
              <w:spacing w:line="360" w:lineRule="auto"/>
              <w:ind w:firstLine="480" w:firstLineChars="200"/>
              <w:rPr>
                <w:sz w:val="24"/>
                <w:szCs w:val="24"/>
              </w:rPr>
            </w:pPr>
            <w:r>
              <w:rPr>
                <w:rFonts w:hint="eastAsia"/>
                <w:sz w:val="24"/>
                <w:szCs w:val="24"/>
              </w:rPr>
              <w:t>生活污水设计流量计算公示：</w:t>
            </w:r>
          </w:p>
          <w:p>
            <w:pPr>
              <w:spacing w:line="360" w:lineRule="auto"/>
              <w:ind w:firstLine="480" w:firstLineChars="200"/>
              <w:jc w:val="center"/>
              <w:rPr>
                <w:sz w:val="24"/>
                <w:szCs w:val="24"/>
              </w:rPr>
            </w:pPr>
            <w:r>
              <w:rPr>
                <w:rFonts w:hint="eastAsia"/>
                <w:sz w:val="24"/>
                <w:szCs w:val="24"/>
              </w:rPr>
              <w:t>Qd=n×N×K/1000</w:t>
            </w:r>
          </w:p>
          <w:p>
            <w:pPr>
              <w:spacing w:line="360" w:lineRule="auto"/>
              <w:ind w:firstLine="480" w:firstLineChars="200"/>
              <w:rPr>
                <w:sz w:val="24"/>
                <w:szCs w:val="24"/>
              </w:rPr>
            </w:pPr>
            <w:r>
              <w:rPr>
                <w:rFonts w:hint="eastAsia"/>
                <w:sz w:val="24"/>
                <w:szCs w:val="24"/>
              </w:rPr>
              <w:t>式中：Q</w:t>
            </w:r>
            <w:r>
              <w:rPr>
                <w:rFonts w:hint="eastAsia"/>
                <w:sz w:val="24"/>
                <w:szCs w:val="24"/>
                <w:vertAlign w:val="subscript"/>
              </w:rPr>
              <w:t>d</w:t>
            </w:r>
            <w:r>
              <w:rPr>
                <w:rFonts w:hint="eastAsia"/>
                <w:sz w:val="24"/>
                <w:szCs w:val="24"/>
              </w:rPr>
              <w:t>—设计生活污水流量，m</w:t>
            </w:r>
            <w:r>
              <w:rPr>
                <w:rFonts w:hint="eastAsia"/>
                <w:sz w:val="24"/>
                <w:szCs w:val="24"/>
                <w:vertAlign w:val="superscript"/>
              </w:rPr>
              <w:t>3</w:t>
            </w:r>
            <w:r>
              <w:rPr>
                <w:rFonts w:hint="eastAsia"/>
                <w:sz w:val="24"/>
                <w:szCs w:val="24"/>
              </w:rPr>
              <w:t>/d；</w:t>
            </w:r>
          </w:p>
          <w:p>
            <w:pPr>
              <w:spacing w:line="360" w:lineRule="auto"/>
              <w:ind w:firstLine="480" w:firstLineChars="200"/>
              <w:rPr>
                <w:sz w:val="24"/>
                <w:szCs w:val="24"/>
              </w:rPr>
            </w:pPr>
            <w:r>
              <w:rPr>
                <w:rFonts w:hint="eastAsia"/>
                <w:sz w:val="24"/>
                <w:szCs w:val="24"/>
              </w:rPr>
              <w:t xml:space="preserve">      n—综合生活用水量（平均日）指标，L/cap·d，</w:t>
            </w:r>
          </w:p>
          <w:p>
            <w:pPr>
              <w:spacing w:line="360" w:lineRule="auto"/>
              <w:ind w:firstLine="480" w:firstLineChars="200"/>
              <w:rPr>
                <w:sz w:val="24"/>
                <w:szCs w:val="24"/>
              </w:rPr>
            </w:pPr>
            <w:r>
              <w:rPr>
                <w:rFonts w:hint="eastAsia"/>
                <w:sz w:val="24"/>
                <w:szCs w:val="24"/>
              </w:rPr>
              <w:t xml:space="preserve">      N—设计人口数，人；</w:t>
            </w:r>
          </w:p>
          <w:p>
            <w:pPr>
              <w:spacing w:line="360" w:lineRule="auto"/>
              <w:ind w:firstLine="480" w:firstLineChars="200"/>
              <w:rPr>
                <w:sz w:val="24"/>
                <w:szCs w:val="24"/>
              </w:rPr>
            </w:pPr>
            <w:r>
              <w:rPr>
                <w:rFonts w:hint="eastAsia"/>
                <w:sz w:val="24"/>
                <w:szCs w:val="24"/>
              </w:rPr>
              <w:t xml:space="preserve">      K—污水排放系数，近期0.80，远期0.80。</w:t>
            </w:r>
          </w:p>
          <w:p>
            <w:pPr>
              <w:spacing w:line="360" w:lineRule="auto"/>
              <w:ind w:firstLine="422" w:firstLineChars="200"/>
              <w:jc w:val="center"/>
              <w:rPr>
                <w:b/>
                <w:szCs w:val="21"/>
              </w:rPr>
            </w:pPr>
            <w:r>
              <w:rPr>
                <w:rFonts w:hint="eastAsia"/>
                <w:b/>
                <w:szCs w:val="21"/>
              </w:rPr>
              <w:t>表27  宁县太昌镇（2018年）生活污水量</w:t>
            </w:r>
          </w:p>
          <w:tbl>
            <w:tblPr>
              <w:tblStyle w:val="36"/>
              <w:tblW w:w="8901"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806"/>
              <w:gridCol w:w="1178"/>
              <w:gridCol w:w="1136"/>
              <w:gridCol w:w="2010"/>
              <w:gridCol w:w="1259"/>
              <w:gridCol w:w="1123"/>
              <w:gridCol w:w="138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806" w:type="dxa"/>
                  <w:vAlign w:val="center"/>
                </w:tcPr>
                <w:p>
                  <w:pPr>
                    <w:jc w:val="center"/>
                    <w:rPr>
                      <w:b/>
                      <w:szCs w:val="21"/>
                    </w:rPr>
                  </w:pPr>
                  <w:r>
                    <w:rPr>
                      <w:rFonts w:hint="eastAsia"/>
                      <w:b/>
                      <w:szCs w:val="21"/>
                    </w:rPr>
                    <w:t>序号</w:t>
                  </w:r>
                </w:p>
              </w:tc>
              <w:tc>
                <w:tcPr>
                  <w:tcW w:w="1178" w:type="dxa"/>
                  <w:vAlign w:val="center"/>
                </w:tcPr>
                <w:p>
                  <w:pPr>
                    <w:jc w:val="center"/>
                    <w:rPr>
                      <w:b/>
                      <w:szCs w:val="21"/>
                    </w:rPr>
                  </w:pPr>
                  <w:r>
                    <w:rPr>
                      <w:rFonts w:hint="eastAsia"/>
                      <w:b/>
                      <w:szCs w:val="21"/>
                    </w:rPr>
                    <w:t>乡镇名称</w:t>
                  </w:r>
                </w:p>
              </w:tc>
              <w:tc>
                <w:tcPr>
                  <w:tcW w:w="1136" w:type="dxa"/>
                  <w:vAlign w:val="center"/>
                </w:tcPr>
                <w:p>
                  <w:pPr>
                    <w:jc w:val="center"/>
                    <w:rPr>
                      <w:b/>
                      <w:szCs w:val="21"/>
                    </w:rPr>
                  </w:pPr>
                  <w:r>
                    <w:rPr>
                      <w:rFonts w:hint="eastAsia"/>
                      <w:b/>
                      <w:szCs w:val="21"/>
                    </w:rPr>
                    <w:t>现状人口</w:t>
                  </w:r>
                </w:p>
              </w:tc>
              <w:tc>
                <w:tcPr>
                  <w:tcW w:w="2010" w:type="dxa"/>
                  <w:vAlign w:val="center"/>
                </w:tcPr>
                <w:p>
                  <w:pPr>
                    <w:jc w:val="center"/>
                    <w:rPr>
                      <w:b/>
                      <w:szCs w:val="21"/>
                    </w:rPr>
                  </w:pPr>
                  <w:r>
                    <w:rPr>
                      <w:rFonts w:hint="eastAsia"/>
                      <w:b/>
                      <w:szCs w:val="21"/>
                    </w:rPr>
                    <w:t>人均用水量（L/cap·d）</w:t>
                  </w:r>
                </w:p>
              </w:tc>
              <w:tc>
                <w:tcPr>
                  <w:tcW w:w="1259" w:type="dxa"/>
                  <w:vAlign w:val="center"/>
                </w:tcPr>
                <w:p>
                  <w:pPr>
                    <w:jc w:val="center"/>
                    <w:rPr>
                      <w:b/>
                      <w:szCs w:val="21"/>
                    </w:rPr>
                  </w:pPr>
                  <w:r>
                    <w:rPr>
                      <w:rFonts w:hint="eastAsia"/>
                      <w:b/>
                      <w:szCs w:val="21"/>
                    </w:rPr>
                    <w:t>排放系数</w:t>
                  </w:r>
                </w:p>
              </w:tc>
              <w:tc>
                <w:tcPr>
                  <w:tcW w:w="1123" w:type="dxa"/>
                  <w:vAlign w:val="center"/>
                </w:tcPr>
                <w:p>
                  <w:pPr>
                    <w:jc w:val="center"/>
                    <w:rPr>
                      <w:b/>
                      <w:szCs w:val="21"/>
                    </w:rPr>
                  </w:pPr>
                  <w:r>
                    <w:rPr>
                      <w:rFonts w:hint="eastAsia"/>
                      <w:b/>
                      <w:szCs w:val="21"/>
                    </w:rPr>
                    <w:t>收集率</w:t>
                  </w:r>
                </w:p>
              </w:tc>
              <w:tc>
                <w:tcPr>
                  <w:tcW w:w="1389" w:type="dxa"/>
                  <w:vAlign w:val="center"/>
                </w:tcPr>
                <w:p>
                  <w:pPr>
                    <w:jc w:val="center"/>
                    <w:rPr>
                      <w:b/>
                      <w:szCs w:val="21"/>
                    </w:rPr>
                  </w:pPr>
                  <w:r>
                    <w:rPr>
                      <w:rFonts w:hint="eastAsia"/>
                      <w:b/>
                      <w:szCs w:val="21"/>
                    </w:rPr>
                    <w:t>生活污水量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806" w:type="dxa"/>
                  <w:vAlign w:val="center"/>
                </w:tcPr>
                <w:p>
                  <w:pPr>
                    <w:jc w:val="center"/>
                    <w:rPr>
                      <w:szCs w:val="21"/>
                    </w:rPr>
                  </w:pPr>
                  <w:r>
                    <w:rPr>
                      <w:rFonts w:hint="eastAsia"/>
                      <w:szCs w:val="21"/>
                    </w:rPr>
                    <w:t>1</w:t>
                  </w:r>
                </w:p>
              </w:tc>
              <w:tc>
                <w:tcPr>
                  <w:tcW w:w="1178" w:type="dxa"/>
                  <w:vAlign w:val="center"/>
                </w:tcPr>
                <w:p>
                  <w:pPr>
                    <w:jc w:val="center"/>
                    <w:rPr>
                      <w:szCs w:val="21"/>
                    </w:rPr>
                  </w:pPr>
                  <w:r>
                    <w:rPr>
                      <w:rFonts w:hint="eastAsia"/>
                      <w:szCs w:val="21"/>
                    </w:rPr>
                    <w:t>太昌镇</w:t>
                  </w:r>
                </w:p>
              </w:tc>
              <w:tc>
                <w:tcPr>
                  <w:tcW w:w="1136" w:type="dxa"/>
                  <w:vAlign w:val="center"/>
                </w:tcPr>
                <w:p>
                  <w:pPr>
                    <w:jc w:val="center"/>
                    <w:rPr>
                      <w:szCs w:val="21"/>
                    </w:rPr>
                  </w:pPr>
                  <w:r>
                    <w:rPr>
                      <w:rFonts w:hint="eastAsia"/>
                      <w:szCs w:val="21"/>
                    </w:rPr>
                    <w:t>0.15万</w:t>
                  </w:r>
                </w:p>
              </w:tc>
              <w:tc>
                <w:tcPr>
                  <w:tcW w:w="2010" w:type="dxa"/>
                  <w:vAlign w:val="center"/>
                </w:tcPr>
                <w:p>
                  <w:pPr>
                    <w:jc w:val="center"/>
                    <w:rPr>
                      <w:szCs w:val="21"/>
                    </w:rPr>
                  </w:pPr>
                  <w:r>
                    <w:rPr>
                      <w:rFonts w:hint="eastAsia"/>
                      <w:szCs w:val="21"/>
                    </w:rPr>
                    <w:t>90</w:t>
                  </w:r>
                </w:p>
              </w:tc>
              <w:tc>
                <w:tcPr>
                  <w:tcW w:w="1259" w:type="dxa"/>
                  <w:vAlign w:val="center"/>
                </w:tcPr>
                <w:p>
                  <w:pPr>
                    <w:jc w:val="center"/>
                    <w:rPr>
                      <w:szCs w:val="21"/>
                    </w:rPr>
                  </w:pPr>
                  <w:r>
                    <w:rPr>
                      <w:rFonts w:hint="eastAsia"/>
                      <w:szCs w:val="21"/>
                    </w:rPr>
                    <w:t>0.8</w:t>
                  </w:r>
                </w:p>
              </w:tc>
              <w:tc>
                <w:tcPr>
                  <w:tcW w:w="1123" w:type="dxa"/>
                  <w:vAlign w:val="center"/>
                </w:tcPr>
                <w:p>
                  <w:pPr>
                    <w:jc w:val="center"/>
                    <w:rPr>
                      <w:szCs w:val="21"/>
                    </w:rPr>
                  </w:pPr>
                  <w:r>
                    <w:rPr>
                      <w:rFonts w:hint="eastAsia"/>
                      <w:szCs w:val="21"/>
                    </w:rPr>
                    <w:t>0.9</w:t>
                  </w:r>
                </w:p>
              </w:tc>
              <w:tc>
                <w:tcPr>
                  <w:tcW w:w="1389" w:type="dxa"/>
                  <w:vAlign w:val="center"/>
                </w:tcPr>
                <w:p>
                  <w:pPr>
                    <w:jc w:val="center"/>
                    <w:rPr>
                      <w:szCs w:val="21"/>
                    </w:rPr>
                  </w:pPr>
                  <w:r>
                    <w:rPr>
                      <w:rFonts w:hint="eastAsia"/>
                      <w:szCs w:val="21"/>
                    </w:rPr>
                    <w:t>97.2</w:t>
                  </w:r>
                </w:p>
              </w:tc>
            </w:tr>
          </w:tbl>
          <w:p>
            <w:pPr>
              <w:spacing w:line="360" w:lineRule="auto"/>
              <w:ind w:firstLine="480" w:firstLineChars="200"/>
              <w:rPr>
                <w:bCs/>
                <w:sz w:val="24"/>
                <w:szCs w:val="24"/>
              </w:rPr>
            </w:pPr>
            <w:r>
              <w:rPr>
                <w:rFonts w:hint="eastAsia"/>
                <w:sz w:val="24"/>
                <w:szCs w:val="24"/>
              </w:rPr>
              <w:t>根据</w:t>
            </w:r>
            <w:r>
              <w:rPr>
                <w:rFonts w:hint="eastAsia"/>
                <w:bCs/>
                <w:sz w:val="24"/>
                <w:szCs w:val="24"/>
              </w:rPr>
              <w:t>《甘肃省宁县太昌乡、焦村镇集中式饮用水水源保护区划分技术报告》（甘肃水文地质工程地质勘察院）中乡镇人口需水量预测“最高日综合生活用水量”为94.08m</w:t>
            </w:r>
            <w:r>
              <w:rPr>
                <w:rFonts w:hint="eastAsia"/>
                <w:bCs/>
                <w:sz w:val="24"/>
                <w:szCs w:val="24"/>
                <w:vertAlign w:val="superscript"/>
              </w:rPr>
              <w:t>3</w:t>
            </w:r>
            <w:r>
              <w:rPr>
                <w:rFonts w:hint="eastAsia"/>
                <w:bCs/>
                <w:sz w:val="24"/>
                <w:szCs w:val="24"/>
              </w:rPr>
              <w:t>/d，污水排放系数取0.8，收集率90%（取值同于本项目可行性研究报告），则太昌乡镇生活污水量为67.74m</w:t>
            </w:r>
            <w:r>
              <w:rPr>
                <w:rFonts w:hint="eastAsia"/>
                <w:bCs/>
                <w:sz w:val="24"/>
                <w:szCs w:val="24"/>
                <w:vertAlign w:val="superscript"/>
              </w:rPr>
              <w:t>3</w:t>
            </w:r>
            <w:r>
              <w:rPr>
                <w:rFonts w:hint="eastAsia"/>
                <w:bCs/>
                <w:sz w:val="24"/>
                <w:szCs w:val="24"/>
              </w:rPr>
              <w:t>/d。</w:t>
            </w:r>
          </w:p>
          <w:p>
            <w:pPr>
              <w:spacing w:line="360" w:lineRule="auto"/>
              <w:ind w:firstLine="480" w:firstLineChars="200"/>
              <w:rPr>
                <w:sz w:val="24"/>
                <w:szCs w:val="24"/>
              </w:rPr>
            </w:pPr>
            <w:r>
              <w:rPr>
                <w:rFonts w:hint="eastAsia"/>
                <w:bCs/>
                <w:sz w:val="24"/>
                <w:szCs w:val="24"/>
              </w:rPr>
              <w:t>根据宁县太昌镇人民政府提供数据，目前太昌镇街道生活污水产生量约为40m</w:t>
            </w:r>
            <w:r>
              <w:rPr>
                <w:rFonts w:hint="eastAsia"/>
                <w:bCs/>
                <w:sz w:val="24"/>
                <w:szCs w:val="24"/>
                <w:vertAlign w:val="superscript"/>
              </w:rPr>
              <w:t>3</w:t>
            </w:r>
            <w:r>
              <w:rPr>
                <w:rFonts w:hint="eastAsia"/>
                <w:bCs/>
                <w:sz w:val="24"/>
                <w:szCs w:val="24"/>
              </w:rPr>
              <w:t>/d~50m</w:t>
            </w:r>
            <w:r>
              <w:rPr>
                <w:rFonts w:hint="eastAsia"/>
                <w:bCs/>
                <w:sz w:val="24"/>
                <w:szCs w:val="24"/>
                <w:vertAlign w:val="superscript"/>
              </w:rPr>
              <w:t>3</w:t>
            </w:r>
            <w:r>
              <w:rPr>
                <w:rFonts w:hint="eastAsia"/>
                <w:bCs/>
                <w:sz w:val="24"/>
                <w:szCs w:val="24"/>
              </w:rPr>
              <w:t>/d。</w:t>
            </w:r>
          </w:p>
          <w:p>
            <w:pPr>
              <w:spacing w:line="360" w:lineRule="auto"/>
              <w:ind w:firstLine="480" w:firstLineChars="200"/>
              <w:rPr>
                <w:sz w:val="24"/>
                <w:szCs w:val="24"/>
              </w:rPr>
            </w:pPr>
            <w:r>
              <w:rPr>
                <w:rFonts w:hint="eastAsia"/>
                <w:sz w:val="24"/>
                <w:szCs w:val="24"/>
              </w:rPr>
              <w:t>2）工业用水量</w:t>
            </w:r>
          </w:p>
          <w:p>
            <w:pPr>
              <w:spacing w:line="360" w:lineRule="auto"/>
              <w:ind w:firstLine="480" w:firstLineChars="200"/>
              <w:rPr>
                <w:sz w:val="24"/>
                <w:szCs w:val="24"/>
              </w:rPr>
            </w:pPr>
            <w:r>
              <w:rPr>
                <w:rFonts w:hint="eastAsia"/>
                <w:sz w:val="24"/>
                <w:szCs w:val="24"/>
              </w:rPr>
              <w:t>工业用水量与生产工艺有关，同时由于工业废水中含有较多有毒有害物质，会对以生活污水为主的污水处理厂产生严重影响。通过现场调研，太昌镇基本没有工业废水的排放，因此本环评不考虑工业废水量。</w:t>
            </w:r>
          </w:p>
          <w:p>
            <w:pPr>
              <w:spacing w:line="360" w:lineRule="auto"/>
              <w:ind w:firstLine="480" w:firstLineChars="200"/>
              <w:rPr>
                <w:sz w:val="24"/>
                <w:szCs w:val="24"/>
              </w:rPr>
            </w:pPr>
            <w:r>
              <w:rPr>
                <w:rFonts w:hint="eastAsia"/>
                <w:sz w:val="24"/>
                <w:szCs w:val="24"/>
              </w:rPr>
              <w:t>即工业污水量=0.00m</w:t>
            </w:r>
            <w:r>
              <w:rPr>
                <w:rFonts w:hint="eastAsia"/>
                <w:sz w:val="24"/>
                <w:szCs w:val="24"/>
                <w:vertAlign w:val="superscript"/>
              </w:rPr>
              <w:t>3</w:t>
            </w:r>
            <w:r>
              <w:rPr>
                <w:rFonts w:hint="eastAsia"/>
                <w:sz w:val="24"/>
                <w:szCs w:val="24"/>
              </w:rPr>
              <w:t>/d</w:t>
            </w:r>
          </w:p>
          <w:p>
            <w:pPr>
              <w:spacing w:line="360" w:lineRule="auto"/>
              <w:ind w:firstLine="480" w:firstLineChars="200"/>
              <w:rPr>
                <w:sz w:val="24"/>
                <w:szCs w:val="24"/>
              </w:rPr>
            </w:pPr>
            <w:r>
              <w:rPr>
                <w:rFonts w:hint="eastAsia"/>
                <w:sz w:val="24"/>
                <w:szCs w:val="24"/>
              </w:rPr>
              <w:t>4）总污水量</w:t>
            </w:r>
          </w:p>
          <w:p>
            <w:pPr>
              <w:spacing w:line="360" w:lineRule="auto"/>
              <w:ind w:firstLine="480" w:firstLineChars="200"/>
              <w:rPr>
                <w:sz w:val="24"/>
                <w:szCs w:val="24"/>
              </w:rPr>
            </w:pPr>
            <w:r>
              <w:rPr>
                <w:rFonts w:hint="eastAsia"/>
                <w:sz w:val="24"/>
                <w:szCs w:val="24"/>
              </w:rPr>
              <w:t>总污水量=生活污水量+工业污水量=97.2 m</w:t>
            </w:r>
            <w:r>
              <w:rPr>
                <w:rFonts w:hint="eastAsia"/>
                <w:sz w:val="24"/>
                <w:szCs w:val="24"/>
                <w:vertAlign w:val="superscript"/>
              </w:rPr>
              <w:t>3</w:t>
            </w:r>
            <w:r>
              <w:rPr>
                <w:rFonts w:hint="eastAsia"/>
                <w:sz w:val="24"/>
                <w:szCs w:val="24"/>
              </w:rPr>
              <w:t>/d（取最大预测值）</w:t>
            </w:r>
          </w:p>
          <w:p>
            <w:pPr>
              <w:spacing w:line="360" w:lineRule="auto"/>
              <w:ind w:firstLine="480" w:firstLineChars="200"/>
              <w:rPr>
                <w:sz w:val="24"/>
                <w:szCs w:val="24"/>
              </w:rPr>
            </w:pPr>
            <w:r>
              <w:rPr>
                <w:rFonts w:hint="eastAsia"/>
                <w:sz w:val="24"/>
                <w:szCs w:val="24"/>
              </w:rPr>
              <w:t>（3）工程建设规模</w:t>
            </w:r>
          </w:p>
          <w:p>
            <w:pPr>
              <w:spacing w:line="360" w:lineRule="auto"/>
              <w:ind w:firstLine="480" w:firstLineChars="200"/>
              <w:rPr>
                <w:sz w:val="24"/>
                <w:szCs w:val="24"/>
              </w:rPr>
            </w:pPr>
            <w:r>
              <w:rPr>
                <w:rFonts w:hint="eastAsia"/>
                <w:sz w:val="24"/>
                <w:szCs w:val="24"/>
              </w:rPr>
              <w:t>根据以上预测，结合宁县太昌镇现有实际用水量、排放现状、可收集率，拟建污水处理站的建设规模确定为100 m</w:t>
            </w:r>
            <w:r>
              <w:rPr>
                <w:rFonts w:hint="eastAsia"/>
                <w:sz w:val="24"/>
                <w:szCs w:val="24"/>
                <w:vertAlign w:val="superscript"/>
              </w:rPr>
              <w:t>3</w:t>
            </w:r>
            <w:r>
              <w:rPr>
                <w:rFonts w:hint="eastAsia"/>
                <w:sz w:val="24"/>
                <w:szCs w:val="24"/>
              </w:rPr>
              <w:t>/d。</w:t>
            </w:r>
          </w:p>
          <w:p>
            <w:pPr>
              <w:spacing w:line="360" w:lineRule="auto"/>
              <w:ind w:firstLine="480" w:firstLineChars="200"/>
              <w:rPr>
                <w:sz w:val="24"/>
                <w:szCs w:val="24"/>
              </w:rPr>
            </w:pPr>
            <w:r>
              <w:rPr>
                <w:rFonts w:hint="eastAsia"/>
                <w:sz w:val="24"/>
                <w:szCs w:val="24"/>
              </w:rPr>
              <w:t>2、污水处理站进出水水质确定</w:t>
            </w:r>
          </w:p>
          <w:p>
            <w:pPr>
              <w:spacing w:line="360" w:lineRule="auto"/>
              <w:ind w:firstLine="480" w:firstLineChars="200"/>
              <w:rPr>
                <w:sz w:val="24"/>
                <w:szCs w:val="24"/>
              </w:rPr>
            </w:pPr>
            <w:r>
              <w:rPr>
                <w:rFonts w:hint="eastAsia"/>
                <w:sz w:val="24"/>
                <w:szCs w:val="24"/>
              </w:rPr>
              <w:t>根据《庆阳市太昌镇污水处理工程建设项目可行性研究报告》，项目进出水水质确定如下：</w:t>
            </w:r>
          </w:p>
          <w:p>
            <w:pPr>
              <w:spacing w:line="360" w:lineRule="auto"/>
              <w:ind w:firstLine="480" w:firstLineChars="200"/>
              <w:rPr>
                <w:sz w:val="24"/>
                <w:szCs w:val="24"/>
              </w:rPr>
            </w:pPr>
            <w:r>
              <w:rPr>
                <w:rFonts w:hint="eastAsia"/>
                <w:sz w:val="24"/>
                <w:szCs w:val="24"/>
              </w:rPr>
              <w:t>（</w:t>
            </w:r>
            <w:r>
              <w:rPr>
                <w:sz w:val="24"/>
                <w:szCs w:val="24"/>
              </w:rPr>
              <w:t>1</w:t>
            </w:r>
            <w:r>
              <w:rPr>
                <w:rFonts w:hint="eastAsia"/>
                <w:sz w:val="24"/>
                <w:szCs w:val="24"/>
              </w:rPr>
              <w:t>）进水水质</w:t>
            </w:r>
          </w:p>
          <w:p>
            <w:pPr>
              <w:spacing w:line="360" w:lineRule="auto"/>
              <w:ind w:firstLine="480" w:firstLineChars="200"/>
              <w:rPr>
                <w:sz w:val="24"/>
                <w:szCs w:val="24"/>
              </w:rPr>
            </w:pPr>
            <w:r>
              <w:rPr>
                <w:rFonts w:hint="eastAsia"/>
                <w:sz w:val="24"/>
                <w:szCs w:val="24"/>
              </w:rPr>
              <w:t>参考宁县其他小城镇的设计及实际进水水质作为本项目的设计进水水质取值依据。</w:t>
            </w:r>
          </w:p>
          <w:p>
            <w:pPr>
              <w:spacing w:line="360" w:lineRule="auto"/>
              <w:ind w:firstLine="422" w:firstLineChars="200"/>
              <w:jc w:val="center"/>
              <w:rPr>
                <w:b/>
                <w:szCs w:val="21"/>
              </w:rPr>
            </w:pPr>
            <w:r>
              <w:rPr>
                <w:rFonts w:hint="eastAsia"/>
                <w:b/>
                <w:szCs w:val="21"/>
              </w:rPr>
              <w:t>表28-1  其他小城镇的综合污水进水水质   单位：mg/L</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10"/>
              <w:gridCol w:w="1348"/>
              <w:gridCol w:w="1310"/>
              <w:gridCol w:w="1454"/>
              <w:gridCol w:w="1246"/>
              <w:gridCol w:w="1015"/>
              <w:gridCol w:w="10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65" w:hRule="atLeast"/>
                <w:jc w:val="center"/>
              </w:trPr>
              <w:tc>
                <w:tcPr>
                  <w:tcW w:w="1510"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项目</w:t>
                  </w:r>
                </w:p>
              </w:tc>
              <w:tc>
                <w:tcPr>
                  <w:tcW w:w="1348"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COD</w:t>
                  </w:r>
                  <w:r>
                    <w:rPr>
                      <w:rFonts w:hAnsi="宋体" w:eastAsia="宋体" w:cs="Times New Roman"/>
                      <w:b/>
                      <w:bCs w:val="0"/>
                      <w:sz w:val="21"/>
                      <w:szCs w:val="21"/>
                      <w:vertAlign w:val="subscript"/>
                    </w:rPr>
                    <w:t>Cr</w:t>
                  </w:r>
                </w:p>
              </w:tc>
              <w:tc>
                <w:tcPr>
                  <w:tcW w:w="1310"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BOD</w:t>
                  </w:r>
                  <w:r>
                    <w:rPr>
                      <w:rFonts w:hAnsi="宋体" w:eastAsia="宋体" w:cs="Times New Roman"/>
                      <w:b/>
                      <w:bCs w:val="0"/>
                      <w:sz w:val="21"/>
                      <w:szCs w:val="21"/>
                      <w:vertAlign w:val="subscript"/>
                    </w:rPr>
                    <w:t>5</w:t>
                  </w:r>
                </w:p>
              </w:tc>
              <w:tc>
                <w:tcPr>
                  <w:tcW w:w="1454"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SS</w:t>
                  </w:r>
                </w:p>
              </w:tc>
              <w:tc>
                <w:tcPr>
                  <w:tcW w:w="1246"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NH</w:t>
                  </w:r>
                  <w:r>
                    <w:rPr>
                      <w:rFonts w:hAnsi="宋体" w:eastAsia="宋体" w:cs="Times New Roman"/>
                      <w:b/>
                      <w:bCs w:val="0"/>
                      <w:sz w:val="21"/>
                      <w:szCs w:val="21"/>
                      <w:vertAlign w:val="subscript"/>
                    </w:rPr>
                    <w:t>3</w:t>
                  </w:r>
                  <w:r>
                    <w:rPr>
                      <w:rFonts w:hAnsi="宋体" w:eastAsia="宋体" w:cs="Times New Roman"/>
                      <w:b/>
                      <w:bCs w:val="0"/>
                      <w:sz w:val="21"/>
                      <w:szCs w:val="21"/>
                    </w:rPr>
                    <w:t>-N</w:t>
                  </w:r>
                </w:p>
              </w:tc>
              <w:tc>
                <w:tcPr>
                  <w:tcW w:w="1015"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TP</w:t>
                  </w:r>
                </w:p>
              </w:tc>
              <w:tc>
                <w:tcPr>
                  <w:tcW w:w="1018"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pH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1" w:hRule="atLeast"/>
                <w:jc w:val="center"/>
              </w:trPr>
              <w:tc>
                <w:tcPr>
                  <w:tcW w:w="1510" w:type="dxa"/>
                  <w:shd w:val="clear" w:color="auto" w:fill="auto"/>
                  <w:vAlign w:val="center"/>
                </w:tcPr>
                <w:p>
                  <w:pPr>
                    <w:pStyle w:val="209"/>
                    <w:spacing w:line="240" w:lineRule="auto"/>
                    <w:rPr>
                      <w:rFonts w:hAnsi="宋体" w:eastAsia="宋体" w:cs="Times New Roman"/>
                      <w:bCs w:val="0"/>
                      <w:sz w:val="21"/>
                      <w:szCs w:val="21"/>
                    </w:rPr>
                  </w:pPr>
                  <w:r>
                    <w:rPr>
                      <w:rFonts w:hint="eastAsia" w:hAnsi="宋体" w:eastAsia="宋体" w:cs="Times New Roman"/>
                      <w:bCs w:val="0"/>
                      <w:sz w:val="21"/>
                      <w:szCs w:val="21"/>
                    </w:rPr>
                    <w:t>进水水质</w:t>
                  </w:r>
                </w:p>
              </w:tc>
              <w:tc>
                <w:tcPr>
                  <w:tcW w:w="1348" w:type="dxa"/>
                  <w:shd w:val="clear" w:color="auto" w:fill="auto"/>
                  <w:vAlign w:val="center"/>
                </w:tcPr>
                <w:p>
                  <w:pPr>
                    <w:pStyle w:val="209"/>
                    <w:spacing w:line="240" w:lineRule="auto"/>
                    <w:rPr>
                      <w:rFonts w:hAnsi="宋体" w:eastAsia="宋体" w:cs="Times New Roman"/>
                      <w:bCs w:val="0"/>
                      <w:sz w:val="21"/>
                      <w:szCs w:val="21"/>
                    </w:rPr>
                  </w:pPr>
                  <w:r>
                    <w:rPr>
                      <w:rFonts w:hAnsi="宋体" w:eastAsia="宋体" w:cs="Times New Roman"/>
                      <w:bCs w:val="0"/>
                      <w:sz w:val="21"/>
                      <w:szCs w:val="21"/>
                    </w:rPr>
                    <w:t>1</w:t>
                  </w:r>
                  <w:r>
                    <w:rPr>
                      <w:rFonts w:hint="eastAsia" w:hAnsi="宋体" w:eastAsia="宋体" w:cs="Times New Roman"/>
                      <w:bCs w:val="0"/>
                      <w:sz w:val="21"/>
                      <w:szCs w:val="21"/>
                    </w:rPr>
                    <w:t>50</w:t>
                  </w:r>
                  <w:r>
                    <w:rPr>
                      <w:rFonts w:hAnsi="宋体" w:eastAsia="宋体" w:cs="Times New Roman"/>
                      <w:bCs w:val="0"/>
                      <w:sz w:val="21"/>
                      <w:szCs w:val="21"/>
                    </w:rPr>
                    <w:t>～</w:t>
                  </w:r>
                  <w:r>
                    <w:rPr>
                      <w:rFonts w:hint="eastAsia" w:hAnsi="宋体" w:eastAsia="宋体" w:cs="Times New Roman"/>
                      <w:bCs w:val="0"/>
                      <w:sz w:val="21"/>
                      <w:szCs w:val="21"/>
                    </w:rPr>
                    <w:t>3</w:t>
                  </w:r>
                  <w:r>
                    <w:rPr>
                      <w:rFonts w:hAnsi="宋体" w:eastAsia="宋体" w:cs="Times New Roman"/>
                      <w:bCs w:val="0"/>
                      <w:sz w:val="21"/>
                      <w:szCs w:val="21"/>
                    </w:rPr>
                    <w:t>00</w:t>
                  </w:r>
                </w:p>
              </w:tc>
              <w:tc>
                <w:tcPr>
                  <w:tcW w:w="1310" w:type="dxa"/>
                  <w:shd w:val="clear" w:color="auto" w:fill="auto"/>
                  <w:vAlign w:val="center"/>
                </w:tcPr>
                <w:p>
                  <w:pPr>
                    <w:pStyle w:val="209"/>
                    <w:spacing w:line="240" w:lineRule="auto"/>
                    <w:rPr>
                      <w:rFonts w:hAnsi="宋体" w:eastAsia="宋体" w:cs="Times New Roman"/>
                      <w:bCs w:val="0"/>
                      <w:sz w:val="21"/>
                      <w:szCs w:val="21"/>
                    </w:rPr>
                  </w:pPr>
                  <w:r>
                    <w:rPr>
                      <w:rFonts w:hint="eastAsia" w:hAnsi="宋体" w:eastAsia="宋体" w:cs="Times New Roman"/>
                      <w:bCs w:val="0"/>
                      <w:sz w:val="21"/>
                      <w:szCs w:val="21"/>
                    </w:rPr>
                    <w:t>80</w:t>
                  </w:r>
                  <w:r>
                    <w:rPr>
                      <w:rFonts w:hAnsi="宋体" w:eastAsia="宋体" w:cs="Times New Roman"/>
                      <w:bCs w:val="0"/>
                      <w:sz w:val="21"/>
                      <w:szCs w:val="21"/>
                    </w:rPr>
                    <w:t>～</w:t>
                  </w:r>
                  <w:r>
                    <w:rPr>
                      <w:rFonts w:hint="eastAsia" w:hAnsi="宋体" w:eastAsia="宋体" w:cs="Times New Roman"/>
                      <w:bCs w:val="0"/>
                      <w:sz w:val="21"/>
                      <w:szCs w:val="21"/>
                    </w:rPr>
                    <w:t>150</w:t>
                  </w:r>
                </w:p>
              </w:tc>
              <w:tc>
                <w:tcPr>
                  <w:tcW w:w="1454" w:type="dxa"/>
                  <w:shd w:val="clear" w:color="auto" w:fill="auto"/>
                  <w:vAlign w:val="center"/>
                </w:tcPr>
                <w:p>
                  <w:pPr>
                    <w:pStyle w:val="209"/>
                    <w:spacing w:line="240" w:lineRule="auto"/>
                    <w:rPr>
                      <w:rFonts w:hAnsi="宋体" w:eastAsia="宋体" w:cs="Times New Roman"/>
                      <w:bCs w:val="0"/>
                      <w:sz w:val="21"/>
                      <w:szCs w:val="21"/>
                    </w:rPr>
                  </w:pPr>
                  <w:r>
                    <w:rPr>
                      <w:rFonts w:hint="eastAsia" w:hAnsi="宋体" w:eastAsia="宋体" w:cs="Times New Roman"/>
                      <w:bCs w:val="0"/>
                      <w:sz w:val="21"/>
                      <w:szCs w:val="21"/>
                    </w:rPr>
                    <w:t>40</w:t>
                  </w:r>
                  <w:r>
                    <w:rPr>
                      <w:rFonts w:hAnsi="宋体" w:eastAsia="宋体" w:cs="Times New Roman"/>
                      <w:bCs w:val="0"/>
                      <w:sz w:val="21"/>
                      <w:szCs w:val="21"/>
                    </w:rPr>
                    <w:t>～</w:t>
                  </w:r>
                  <w:r>
                    <w:rPr>
                      <w:rFonts w:hint="eastAsia" w:hAnsi="宋体" w:eastAsia="宋体" w:cs="Times New Roman"/>
                      <w:bCs w:val="0"/>
                      <w:sz w:val="21"/>
                      <w:szCs w:val="21"/>
                    </w:rPr>
                    <w:t>120</w:t>
                  </w:r>
                </w:p>
              </w:tc>
              <w:tc>
                <w:tcPr>
                  <w:tcW w:w="1246" w:type="dxa"/>
                  <w:shd w:val="clear" w:color="auto" w:fill="auto"/>
                  <w:vAlign w:val="center"/>
                </w:tcPr>
                <w:p>
                  <w:pPr>
                    <w:pStyle w:val="209"/>
                    <w:spacing w:line="240" w:lineRule="auto"/>
                    <w:rPr>
                      <w:rFonts w:hAnsi="宋体" w:eastAsia="宋体" w:cs="Times New Roman"/>
                      <w:bCs w:val="0"/>
                      <w:sz w:val="21"/>
                      <w:szCs w:val="21"/>
                    </w:rPr>
                  </w:pPr>
                  <w:r>
                    <w:rPr>
                      <w:rFonts w:hint="eastAsia" w:hAnsi="宋体" w:eastAsia="宋体" w:cs="Times New Roman"/>
                      <w:bCs w:val="0"/>
                      <w:sz w:val="21"/>
                      <w:szCs w:val="21"/>
                    </w:rPr>
                    <w:t>10</w:t>
                  </w:r>
                  <w:r>
                    <w:rPr>
                      <w:rFonts w:hAnsi="宋体" w:eastAsia="宋体" w:cs="Times New Roman"/>
                      <w:bCs w:val="0"/>
                      <w:sz w:val="21"/>
                      <w:szCs w:val="21"/>
                    </w:rPr>
                    <w:t>～</w:t>
                  </w:r>
                  <w:r>
                    <w:rPr>
                      <w:rFonts w:hint="eastAsia" w:hAnsi="宋体" w:eastAsia="宋体" w:cs="Times New Roman"/>
                      <w:bCs w:val="0"/>
                      <w:sz w:val="21"/>
                      <w:szCs w:val="21"/>
                    </w:rPr>
                    <w:t>30</w:t>
                  </w:r>
                </w:p>
              </w:tc>
              <w:tc>
                <w:tcPr>
                  <w:tcW w:w="1015" w:type="dxa"/>
                  <w:shd w:val="clear" w:color="auto" w:fill="auto"/>
                  <w:vAlign w:val="center"/>
                </w:tcPr>
                <w:p>
                  <w:pPr>
                    <w:pStyle w:val="209"/>
                    <w:spacing w:line="240" w:lineRule="auto"/>
                    <w:rPr>
                      <w:rFonts w:hAnsi="宋体" w:eastAsia="宋体" w:cs="Times New Roman"/>
                      <w:bCs w:val="0"/>
                      <w:sz w:val="21"/>
                      <w:szCs w:val="21"/>
                    </w:rPr>
                  </w:pPr>
                  <w:r>
                    <w:rPr>
                      <w:rFonts w:hint="eastAsia" w:hAnsi="宋体" w:eastAsia="宋体" w:cs="Times New Roman"/>
                      <w:bCs w:val="0"/>
                      <w:sz w:val="21"/>
                      <w:szCs w:val="21"/>
                    </w:rPr>
                    <w:t>2</w:t>
                  </w:r>
                  <w:r>
                    <w:rPr>
                      <w:rFonts w:hAnsi="宋体" w:eastAsia="宋体" w:cs="Times New Roman"/>
                      <w:bCs w:val="0"/>
                      <w:sz w:val="21"/>
                      <w:szCs w:val="21"/>
                    </w:rPr>
                    <w:t>～</w:t>
                  </w:r>
                  <w:r>
                    <w:rPr>
                      <w:rFonts w:hint="eastAsia" w:hAnsi="宋体" w:eastAsia="宋体" w:cs="Times New Roman"/>
                      <w:bCs w:val="0"/>
                      <w:sz w:val="21"/>
                      <w:szCs w:val="21"/>
                    </w:rPr>
                    <w:t>4</w:t>
                  </w:r>
                </w:p>
              </w:tc>
              <w:tc>
                <w:tcPr>
                  <w:tcW w:w="1018" w:type="dxa"/>
                  <w:shd w:val="clear" w:color="auto" w:fill="auto"/>
                  <w:vAlign w:val="center"/>
                </w:tcPr>
                <w:p>
                  <w:pPr>
                    <w:pStyle w:val="209"/>
                    <w:spacing w:line="240" w:lineRule="auto"/>
                    <w:rPr>
                      <w:rFonts w:hAnsi="宋体" w:eastAsia="宋体" w:cs="Times New Roman"/>
                      <w:bCs w:val="0"/>
                      <w:sz w:val="21"/>
                      <w:szCs w:val="21"/>
                    </w:rPr>
                  </w:pPr>
                  <w:r>
                    <w:rPr>
                      <w:rFonts w:hint="eastAsia" w:hAnsi="宋体" w:eastAsia="宋体" w:cs="Times New Roman"/>
                      <w:bCs w:val="0"/>
                      <w:sz w:val="21"/>
                      <w:szCs w:val="21"/>
                    </w:rPr>
                    <w:t>6</w:t>
                  </w:r>
                  <w:r>
                    <w:rPr>
                      <w:rFonts w:hAnsi="宋体" w:eastAsia="宋体" w:cs="Times New Roman"/>
                      <w:bCs w:val="0"/>
                      <w:sz w:val="21"/>
                      <w:szCs w:val="21"/>
                    </w:rPr>
                    <w:t>~</w:t>
                  </w:r>
                  <w:r>
                    <w:rPr>
                      <w:rFonts w:hint="eastAsia" w:hAnsi="宋体" w:eastAsia="宋体" w:cs="Times New Roman"/>
                      <w:bCs w:val="0"/>
                      <w:sz w:val="21"/>
                      <w:szCs w:val="21"/>
                    </w:rPr>
                    <w:t>9</w:t>
                  </w:r>
                </w:p>
              </w:tc>
            </w:tr>
          </w:tbl>
          <w:p>
            <w:pPr>
              <w:spacing w:line="360" w:lineRule="auto"/>
              <w:ind w:firstLine="480" w:firstLineChars="200"/>
              <w:rPr>
                <w:sz w:val="24"/>
                <w:szCs w:val="24"/>
              </w:rPr>
            </w:pPr>
            <w:r>
              <w:rPr>
                <w:rFonts w:hint="eastAsia"/>
                <w:sz w:val="24"/>
                <w:szCs w:val="24"/>
              </w:rPr>
              <w:t>西北地区农村生活污水水质参考值，见表28-2。</w:t>
            </w:r>
          </w:p>
          <w:p>
            <w:pPr>
              <w:spacing w:line="360" w:lineRule="auto"/>
              <w:ind w:firstLine="422" w:firstLineChars="200"/>
              <w:jc w:val="center"/>
              <w:rPr>
                <w:b/>
                <w:szCs w:val="21"/>
              </w:rPr>
            </w:pPr>
            <w:r>
              <w:rPr>
                <w:rFonts w:hint="eastAsia"/>
                <w:b/>
                <w:szCs w:val="21"/>
              </w:rPr>
              <w:t>表28-2  西北地区农村生活污水水质参考值</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10"/>
              <w:gridCol w:w="1348"/>
              <w:gridCol w:w="1310"/>
              <w:gridCol w:w="1454"/>
              <w:gridCol w:w="1246"/>
              <w:gridCol w:w="1015"/>
              <w:gridCol w:w="10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65" w:hRule="atLeast"/>
                <w:jc w:val="center"/>
              </w:trPr>
              <w:tc>
                <w:tcPr>
                  <w:tcW w:w="1510"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水质项目</w:t>
                  </w:r>
                </w:p>
              </w:tc>
              <w:tc>
                <w:tcPr>
                  <w:tcW w:w="1348"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COD</w:t>
                  </w:r>
                  <w:r>
                    <w:rPr>
                      <w:rFonts w:hAnsi="宋体" w:eastAsia="宋体" w:cs="Times New Roman"/>
                      <w:b/>
                      <w:bCs w:val="0"/>
                      <w:sz w:val="21"/>
                      <w:szCs w:val="21"/>
                      <w:vertAlign w:val="subscript"/>
                    </w:rPr>
                    <w:t>Cr</w:t>
                  </w:r>
                </w:p>
              </w:tc>
              <w:tc>
                <w:tcPr>
                  <w:tcW w:w="1310"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BOD</w:t>
                  </w:r>
                  <w:r>
                    <w:rPr>
                      <w:rFonts w:hAnsi="宋体" w:eastAsia="宋体" w:cs="Times New Roman"/>
                      <w:b/>
                      <w:bCs w:val="0"/>
                      <w:sz w:val="21"/>
                      <w:szCs w:val="21"/>
                      <w:vertAlign w:val="subscript"/>
                    </w:rPr>
                    <w:t>5</w:t>
                  </w:r>
                </w:p>
              </w:tc>
              <w:tc>
                <w:tcPr>
                  <w:tcW w:w="1454"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SS</w:t>
                  </w:r>
                </w:p>
              </w:tc>
              <w:tc>
                <w:tcPr>
                  <w:tcW w:w="1246"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NH</w:t>
                  </w:r>
                  <w:r>
                    <w:rPr>
                      <w:rFonts w:hAnsi="宋体" w:eastAsia="宋体" w:cs="Times New Roman"/>
                      <w:b/>
                      <w:bCs w:val="0"/>
                      <w:sz w:val="21"/>
                      <w:szCs w:val="21"/>
                      <w:vertAlign w:val="subscript"/>
                    </w:rPr>
                    <w:t>3</w:t>
                  </w:r>
                  <w:r>
                    <w:rPr>
                      <w:rFonts w:hAnsi="宋体" w:eastAsia="宋体" w:cs="Times New Roman"/>
                      <w:b/>
                      <w:bCs w:val="0"/>
                      <w:sz w:val="21"/>
                      <w:szCs w:val="21"/>
                    </w:rPr>
                    <w:t>-N</w:t>
                  </w:r>
                </w:p>
              </w:tc>
              <w:tc>
                <w:tcPr>
                  <w:tcW w:w="1015"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TP</w:t>
                  </w:r>
                </w:p>
              </w:tc>
              <w:tc>
                <w:tcPr>
                  <w:tcW w:w="1018"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pH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1" w:hRule="atLeast"/>
                <w:jc w:val="center"/>
              </w:trPr>
              <w:tc>
                <w:tcPr>
                  <w:tcW w:w="1510" w:type="dxa"/>
                  <w:shd w:val="clear" w:color="auto" w:fill="auto"/>
                  <w:vAlign w:val="center"/>
                </w:tcPr>
                <w:p>
                  <w:pPr>
                    <w:pStyle w:val="209"/>
                    <w:spacing w:line="240" w:lineRule="auto"/>
                    <w:jc w:val="both"/>
                    <w:rPr>
                      <w:rFonts w:hAnsi="宋体" w:eastAsia="宋体" w:cs="Times New Roman"/>
                      <w:bCs w:val="0"/>
                      <w:sz w:val="21"/>
                      <w:szCs w:val="21"/>
                    </w:rPr>
                  </w:pPr>
                  <w:r>
                    <w:rPr>
                      <w:rFonts w:hint="eastAsia" w:hAnsi="宋体" w:eastAsia="宋体" w:cs="Times New Roman"/>
                      <w:bCs w:val="0"/>
                      <w:sz w:val="21"/>
                      <w:szCs w:val="21"/>
                    </w:rPr>
                    <w:t>数值</w:t>
                  </w:r>
                  <w:r>
                    <w:rPr>
                      <w:rFonts w:hAnsi="宋体" w:eastAsia="宋体" w:cs="Times New Roman"/>
                      <w:bCs w:val="0"/>
                      <w:sz w:val="21"/>
                      <w:szCs w:val="21"/>
                    </w:rPr>
                    <w:t>（mg/L）</w:t>
                  </w:r>
                </w:p>
              </w:tc>
              <w:tc>
                <w:tcPr>
                  <w:tcW w:w="1348" w:type="dxa"/>
                  <w:shd w:val="clear" w:color="auto" w:fill="auto"/>
                  <w:vAlign w:val="center"/>
                </w:tcPr>
                <w:p>
                  <w:pPr>
                    <w:pStyle w:val="209"/>
                    <w:spacing w:line="240" w:lineRule="auto"/>
                    <w:rPr>
                      <w:rFonts w:hAnsi="宋体" w:eastAsia="宋体" w:cs="Times New Roman"/>
                      <w:bCs w:val="0"/>
                      <w:sz w:val="21"/>
                      <w:szCs w:val="21"/>
                    </w:rPr>
                  </w:pPr>
                  <w:r>
                    <w:rPr>
                      <w:rFonts w:hAnsi="宋体" w:eastAsia="宋体" w:cs="Times New Roman"/>
                      <w:bCs w:val="0"/>
                      <w:sz w:val="21"/>
                      <w:szCs w:val="21"/>
                    </w:rPr>
                    <w:t>100～400</w:t>
                  </w:r>
                </w:p>
              </w:tc>
              <w:tc>
                <w:tcPr>
                  <w:tcW w:w="1310" w:type="dxa"/>
                  <w:shd w:val="clear" w:color="auto" w:fill="auto"/>
                  <w:vAlign w:val="center"/>
                </w:tcPr>
                <w:p>
                  <w:pPr>
                    <w:pStyle w:val="209"/>
                    <w:spacing w:line="240" w:lineRule="auto"/>
                    <w:rPr>
                      <w:rFonts w:hAnsi="宋体" w:eastAsia="宋体" w:cs="Times New Roman"/>
                      <w:bCs w:val="0"/>
                      <w:sz w:val="21"/>
                      <w:szCs w:val="21"/>
                    </w:rPr>
                  </w:pPr>
                  <w:r>
                    <w:rPr>
                      <w:rFonts w:hAnsi="宋体" w:eastAsia="宋体" w:cs="Times New Roman"/>
                      <w:bCs w:val="0"/>
                      <w:sz w:val="21"/>
                      <w:szCs w:val="21"/>
                    </w:rPr>
                    <w:t>50～300</w:t>
                  </w:r>
                </w:p>
              </w:tc>
              <w:tc>
                <w:tcPr>
                  <w:tcW w:w="1454" w:type="dxa"/>
                  <w:shd w:val="clear" w:color="auto" w:fill="auto"/>
                  <w:vAlign w:val="center"/>
                </w:tcPr>
                <w:p>
                  <w:pPr>
                    <w:pStyle w:val="209"/>
                    <w:spacing w:line="240" w:lineRule="auto"/>
                    <w:rPr>
                      <w:rFonts w:hAnsi="宋体" w:eastAsia="宋体" w:cs="Times New Roman"/>
                      <w:bCs w:val="0"/>
                      <w:sz w:val="21"/>
                      <w:szCs w:val="21"/>
                    </w:rPr>
                  </w:pPr>
                  <w:r>
                    <w:rPr>
                      <w:rFonts w:hAnsi="宋体" w:eastAsia="宋体" w:cs="Times New Roman"/>
                      <w:bCs w:val="0"/>
                      <w:sz w:val="21"/>
                      <w:szCs w:val="21"/>
                    </w:rPr>
                    <w:t>100～300</w:t>
                  </w:r>
                </w:p>
              </w:tc>
              <w:tc>
                <w:tcPr>
                  <w:tcW w:w="1246" w:type="dxa"/>
                  <w:shd w:val="clear" w:color="auto" w:fill="auto"/>
                  <w:vAlign w:val="center"/>
                </w:tcPr>
                <w:p>
                  <w:pPr>
                    <w:pStyle w:val="209"/>
                    <w:spacing w:line="240" w:lineRule="auto"/>
                    <w:rPr>
                      <w:rFonts w:hAnsi="宋体" w:eastAsia="宋体" w:cs="Times New Roman"/>
                      <w:bCs w:val="0"/>
                      <w:sz w:val="21"/>
                      <w:szCs w:val="21"/>
                    </w:rPr>
                  </w:pPr>
                  <w:r>
                    <w:rPr>
                      <w:rFonts w:hAnsi="宋体" w:eastAsia="宋体" w:cs="Times New Roman"/>
                      <w:bCs w:val="0"/>
                      <w:sz w:val="21"/>
                      <w:szCs w:val="21"/>
                    </w:rPr>
                    <w:t>30～50</w:t>
                  </w:r>
                </w:p>
              </w:tc>
              <w:tc>
                <w:tcPr>
                  <w:tcW w:w="1015" w:type="dxa"/>
                  <w:shd w:val="clear" w:color="auto" w:fill="auto"/>
                  <w:vAlign w:val="center"/>
                </w:tcPr>
                <w:p>
                  <w:pPr>
                    <w:pStyle w:val="209"/>
                    <w:spacing w:line="240" w:lineRule="auto"/>
                    <w:rPr>
                      <w:rFonts w:hAnsi="宋体" w:eastAsia="宋体" w:cs="Times New Roman"/>
                      <w:bCs w:val="0"/>
                      <w:sz w:val="21"/>
                      <w:szCs w:val="21"/>
                    </w:rPr>
                  </w:pPr>
                  <w:r>
                    <w:rPr>
                      <w:rFonts w:hAnsi="宋体" w:eastAsia="宋体" w:cs="Times New Roman"/>
                      <w:bCs w:val="0"/>
                      <w:sz w:val="21"/>
                      <w:szCs w:val="21"/>
                    </w:rPr>
                    <w:t>1～6</w:t>
                  </w:r>
                </w:p>
              </w:tc>
              <w:tc>
                <w:tcPr>
                  <w:tcW w:w="1018" w:type="dxa"/>
                  <w:shd w:val="clear" w:color="auto" w:fill="auto"/>
                  <w:vAlign w:val="center"/>
                </w:tcPr>
                <w:p>
                  <w:pPr>
                    <w:pStyle w:val="209"/>
                    <w:spacing w:line="240" w:lineRule="auto"/>
                    <w:rPr>
                      <w:rFonts w:hAnsi="宋体" w:eastAsia="宋体" w:cs="Times New Roman"/>
                      <w:bCs w:val="0"/>
                      <w:sz w:val="21"/>
                      <w:szCs w:val="21"/>
                    </w:rPr>
                  </w:pPr>
                  <w:r>
                    <w:rPr>
                      <w:rFonts w:hAnsi="宋体" w:eastAsia="宋体" w:cs="Times New Roman"/>
                      <w:bCs w:val="0"/>
                      <w:sz w:val="21"/>
                      <w:szCs w:val="21"/>
                    </w:rPr>
                    <w:t>6.5~8.5</w:t>
                  </w:r>
                </w:p>
              </w:tc>
            </w:tr>
          </w:tbl>
          <w:p>
            <w:pPr>
              <w:spacing w:line="360" w:lineRule="auto"/>
              <w:ind w:firstLine="480" w:firstLineChars="200"/>
              <w:rPr>
                <w:sz w:val="24"/>
                <w:szCs w:val="24"/>
              </w:rPr>
            </w:pPr>
            <w:r>
              <w:rPr>
                <w:rFonts w:hint="eastAsia"/>
                <w:sz w:val="24"/>
                <w:szCs w:val="24"/>
              </w:rPr>
              <w:t>宁县早胜镇街区雨污分流工程污水处理厂项目的进水水质见表28-3。</w:t>
            </w:r>
          </w:p>
          <w:p>
            <w:pPr>
              <w:spacing w:line="360" w:lineRule="auto"/>
              <w:ind w:firstLine="422" w:firstLineChars="200"/>
              <w:jc w:val="center"/>
              <w:rPr>
                <w:b/>
                <w:szCs w:val="21"/>
              </w:rPr>
            </w:pPr>
            <w:r>
              <w:rPr>
                <w:rFonts w:hint="eastAsia"/>
                <w:b/>
                <w:szCs w:val="21"/>
              </w:rPr>
              <w:t>表28-3  早胜镇污水处理厂进水水质</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06"/>
              <w:gridCol w:w="1196"/>
              <w:gridCol w:w="1264"/>
              <w:gridCol w:w="1106"/>
              <w:gridCol w:w="1235"/>
              <w:gridCol w:w="970"/>
              <w:gridCol w:w="678"/>
              <w:gridCol w:w="6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6" w:hRule="atLeast"/>
                <w:jc w:val="center"/>
              </w:trPr>
              <w:tc>
                <w:tcPr>
                  <w:tcW w:w="1806" w:type="dxa"/>
                  <w:shd w:val="clear" w:color="auto" w:fill="auto"/>
                  <w:vAlign w:val="center"/>
                </w:tcPr>
                <w:p>
                  <w:pPr>
                    <w:widowControl/>
                    <w:jc w:val="center"/>
                    <w:rPr>
                      <w:rFonts w:hAnsi="宋体"/>
                      <w:b/>
                      <w:szCs w:val="21"/>
                    </w:rPr>
                  </w:pPr>
                  <w:r>
                    <w:rPr>
                      <w:rFonts w:hint="eastAsia" w:hAnsi="宋体"/>
                      <w:b/>
                      <w:szCs w:val="21"/>
                    </w:rPr>
                    <w:t>污染物</w:t>
                  </w:r>
                </w:p>
              </w:tc>
              <w:tc>
                <w:tcPr>
                  <w:tcW w:w="1196" w:type="dxa"/>
                  <w:shd w:val="clear" w:color="auto" w:fill="auto"/>
                  <w:vAlign w:val="center"/>
                </w:tcPr>
                <w:p>
                  <w:pPr>
                    <w:widowControl/>
                    <w:jc w:val="center"/>
                    <w:rPr>
                      <w:rFonts w:hAnsi="宋体"/>
                      <w:b/>
                      <w:szCs w:val="21"/>
                    </w:rPr>
                  </w:pPr>
                  <w:r>
                    <w:rPr>
                      <w:rFonts w:hAnsi="宋体"/>
                      <w:b/>
                      <w:szCs w:val="21"/>
                    </w:rPr>
                    <w:t>COD</w:t>
                  </w:r>
                </w:p>
              </w:tc>
              <w:tc>
                <w:tcPr>
                  <w:tcW w:w="1264" w:type="dxa"/>
                  <w:shd w:val="clear" w:color="auto" w:fill="auto"/>
                  <w:vAlign w:val="center"/>
                </w:tcPr>
                <w:p>
                  <w:pPr>
                    <w:widowControl/>
                    <w:jc w:val="center"/>
                    <w:rPr>
                      <w:rFonts w:hAnsi="宋体"/>
                      <w:b/>
                      <w:szCs w:val="21"/>
                    </w:rPr>
                  </w:pPr>
                  <w:r>
                    <w:rPr>
                      <w:rFonts w:hAnsi="宋体"/>
                      <w:b/>
                      <w:szCs w:val="21"/>
                    </w:rPr>
                    <w:t>BOD</w:t>
                  </w:r>
                </w:p>
              </w:tc>
              <w:tc>
                <w:tcPr>
                  <w:tcW w:w="1106" w:type="dxa"/>
                  <w:shd w:val="clear" w:color="auto" w:fill="auto"/>
                  <w:vAlign w:val="center"/>
                </w:tcPr>
                <w:p>
                  <w:pPr>
                    <w:widowControl/>
                    <w:jc w:val="center"/>
                    <w:rPr>
                      <w:rFonts w:hAnsi="宋体"/>
                      <w:b/>
                      <w:szCs w:val="21"/>
                    </w:rPr>
                  </w:pPr>
                  <w:r>
                    <w:rPr>
                      <w:rFonts w:hAnsi="宋体"/>
                      <w:b/>
                      <w:szCs w:val="21"/>
                    </w:rPr>
                    <w:t>SS</w:t>
                  </w:r>
                </w:p>
              </w:tc>
              <w:tc>
                <w:tcPr>
                  <w:tcW w:w="1235" w:type="dxa"/>
                  <w:shd w:val="clear" w:color="auto" w:fill="auto"/>
                  <w:vAlign w:val="center"/>
                </w:tcPr>
                <w:p>
                  <w:pPr>
                    <w:widowControl/>
                    <w:jc w:val="center"/>
                    <w:rPr>
                      <w:rFonts w:hAnsi="宋体"/>
                      <w:b/>
                      <w:szCs w:val="21"/>
                    </w:rPr>
                  </w:pPr>
                  <w:r>
                    <w:rPr>
                      <w:rFonts w:hAnsi="宋体"/>
                      <w:b/>
                      <w:szCs w:val="21"/>
                    </w:rPr>
                    <w:t>NH</w:t>
                  </w:r>
                  <w:r>
                    <w:rPr>
                      <w:rFonts w:hAnsi="宋体"/>
                      <w:b/>
                      <w:szCs w:val="21"/>
                      <w:vertAlign w:val="subscript"/>
                    </w:rPr>
                    <w:t>3</w:t>
                  </w:r>
                  <w:r>
                    <w:rPr>
                      <w:rFonts w:hAnsi="宋体"/>
                      <w:b/>
                      <w:szCs w:val="21"/>
                    </w:rPr>
                    <w:t>-N</w:t>
                  </w:r>
                </w:p>
              </w:tc>
              <w:tc>
                <w:tcPr>
                  <w:tcW w:w="970" w:type="dxa"/>
                  <w:shd w:val="clear" w:color="auto" w:fill="auto"/>
                  <w:vAlign w:val="center"/>
                </w:tcPr>
                <w:p>
                  <w:pPr>
                    <w:widowControl/>
                    <w:jc w:val="center"/>
                    <w:rPr>
                      <w:rFonts w:hAnsi="宋体"/>
                      <w:b/>
                      <w:szCs w:val="21"/>
                    </w:rPr>
                  </w:pPr>
                  <w:r>
                    <w:rPr>
                      <w:rFonts w:hAnsi="宋体"/>
                      <w:b/>
                      <w:szCs w:val="21"/>
                    </w:rPr>
                    <w:t>TN</w:t>
                  </w:r>
                </w:p>
              </w:tc>
              <w:tc>
                <w:tcPr>
                  <w:tcW w:w="678" w:type="dxa"/>
                  <w:shd w:val="clear" w:color="auto" w:fill="auto"/>
                  <w:vAlign w:val="center"/>
                </w:tcPr>
                <w:p>
                  <w:pPr>
                    <w:widowControl/>
                    <w:jc w:val="center"/>
                    <w:rPr>
                      <w:rFonts w:hAnsi="宋体"/>
                      <w:b/>
                      <w:szCs w:val="21"/>
                    </w:rPr>
                  </w:pPr>
                  <w:r>
                    <w:rPr>
                      <w:rFonts w:hAnsi="宋体"/>
                      <w:b/>
                      <w:szCs w:val="21"/>
                    </w:rPr>
                    <w:t>TP</w:t>
                  </w:r>
                </w:p>
              </w:tc>
              <w:tc>
                <w:tcPr>
                  <w:tcW w:w="646" w:type="dxa"/>
                  <w:shd w:val="clear" w:color="auto" w:fill="auto"/>
                  <w:vAlign w:val="center"/>
                </w:tcPr>
                <w:p>
                  <w:pPr>
                    <w:widowControl/>
                    <w:jc w:val="center"/>
                    <w:rPr>
                      <w:rFonts w:hAnsi="宋体"/>
                      <w:b/>
                      <w:szCs w:val="21"/>
                    </w:rPr>
                  </w:pPr>
                  <w:r>
                    <w:rPr>
                      <w:rFonts w:hint="eastAsia" w:hAnsi="宋体"/>
                      <w:b/>
                      <w:szCs w:val="21"/>
                    </w:rPr>
                    <w:t>PH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1" w:hRule="atLeast"/>
                <w:jc w:val="center"/>
              </w:trPr>
              <w:tc>
                <w:tcPr>
                  <w:tcW w:w="1806" w:type="dxa"/>
                  <w:shd w:val="clear" w:color="auto" w:fill="auto"/>
                  <w:vAlign w:val="center"/>
                </w:tcPr>
                <w:p>
                  <w:pPr>
                    <w:widowControl/>
                    <w:jc w:val="center"/>
                    <w:rPr>
                      <w:rFonts w:hAnsi="宋体"/>
                      <w:szCs w:val="21"/>
                    </w:rPr>
                  </w:pPr>
                  <w:r>
                    <w:rPr>
                      <w:rFonts w:hint="eastAsia" w:hAnsi="宋体"/>
                      <w:szCs w:val="21"/>
                    </w:rPr>
                    <w:t>浓度</w:t>
                  </w:r>
                  <w:r>
                    <w:rPr>
                      <w:rFonts w:hAnsi="宋体"/>
                      <w:szCs w:val="21"/>
                    </w:rPr>
                    <w:t>（mg/L）</w:t>
                  </w:r>
                </w:p>
              </w:tc>
              <w:tc>
                <w:tcPr>
                  <w:tcW w:w="1196" w:type="dxa"/>
                  <w:shd w:val="clear" w:color="auto" w:fill="auto"/>
                  <w:vAlign w:val="center"/>
                </w:tcPr>
                <w:p>
                  <w:pPr>
                    <w:widowControl/>
                    <w:jc w:val="center"/>
                    <w:rPr>
                      <w:rFonts w:hAnsi="宋体"/>
                      <w:szCs w:val="21"/>
                    </w:rPr>
                  </w:pPr>
                  <w:r>
                    <w:rPr>
                      <w:rFonts w:hint="eastAsia" w:hAnsi="宋体"/>
                      <w:szCs w:val="21"/>
                    </w:rPr>
                    <w:t>250~550</w:t>
                  </w:r>
                </w:p>
              </w:tc>
              <w:tc>
                <w:tcPr>
                  <w:tcW w:w="1264" w:type="dxa"/>
                  <w:shd w:val="clear" w:color="auto" w:fill="auto"/>
                  <w:vAlign w:val="center"/>
                </w:tcPr>
                <w:p>
                  <w:pPr>
                    <w:widowControl/>
                    <w:jc w:val="center"/>
                    <w:rPr>
                      <w:rFonts w:hAnsi="宋体"/>
                      <w:szCs w:val="21"/>
                    </w:rPr>
                  </w:pPr>
                  <w:r>
                    <w:rPr>
                      <w:rFonts w:hint="eastAsia" w:hAnsi="宋体"/>
                      <w:szCs w:val="21"/>
                    </w:rPr>
                    <w:t>250~350</w:t>
                  </w:r>
                </w:p>
              </w:tc>
              <w:tc>
                <w:tcPr>
                  <w:tcW w:w="1106" w:type="dxa"/>
                  <w:shd w:val="clear" w:color="auto" w:fill="auto"/>
                  <w:vAlign w:val="center"/>
                </w:tcPr>
                <w:p>
                  <w:pPr>
                    <w:widowControl/>
                    <w:jc w:val="center"/>
                    <w:rPr>
                      <w:rFonts w:hAnsi="宋体"/>
                      <w:szCs w:val="21"/>
                    </w:rPr>
                  </w:pPr>
                  <w:r>
                    <w:rPr>
                      <w:rFonts w:hint="eastAsia" w:hAnsi="宋体"/>
                      <w:szCs w:val="21"/>
                    </w:rPr>
                    <w:t>250~350</w:t>
                  </w:r>
                </w:p>
              </w:tc>
              <w:tc>
                <w:tcPr>
                  <w:tcW w:w="1235" w:type="dxa"/>
                  <w:shd w:val="clear" w:color="auto" w:fill="auto"/>
                  <w:vAlign w:val="center"/>
                </w:tcPr>
                <w:p>
                  <w:pPr>
                    <w:widowControl/>
                    <w:jc w:val="center"/>
                    <w:rPr>
                      <w:rFonts w:hAnsi="宋体"/>
                      <w:szCs w:val="21"/>
                    </w:rPr>
                  </w:pPr>
                  <w:r>
                    <w:rPr>
                      <w:rFonts w:hint="eastAsia" w:hAnsi="宋体"/>
                      <w:szCs w:val="21"/>
                    </w:rPr>
                    <w:t>35~85</w:t>
                  </w:r>
                </w:p>
              </w:tc>
              <w:tc>
                <w:tcPr>
                  <w:tcW w:w="970" w:type="dxa"/>
                  <w:shd w:val="clear" w:color="auto" w:fill="auto"/>
                  <w:vAlign w:val="center"/>
                </w:tcPr>
                <w:p>
                  <w:pPr>
                    <w:widowControl/>
                    <w:jc w:val="center"/>
                    <w:rPr>
                      <w:rFonts w:hAnsi="宋体"/>
                      <w:szCs w:val="21"/>
                    </w:rPr>
                  </w:pPr>
                  <w:r>
                    <w:rPr>
                      <w:rFonts w:hint="eastAsia" w:hAnsi="宋体"/>
                      <w:szCs w:val="21"/>
                    </w:rPr>
                    <w:t>40~55</w:t>
                  </w:r>
                </w:p>
              </w:tc>
              <w:tc>
                <w:tcPr>
                  <w:tcW w:w="678" w:type="dxa"/>
                  <w:shd w:val="clear" w:color="auto" w:fill="auto"/>
                  <w:vAlign w:val="center"/>
                </w:tcPr>
                <w:p>
                  <w:pPr>
                    <w:widowControl/>
                    <w:jc w:val="center"/>
                    <w:rPr>
                      <w:rFonts w:hAnsi="宋体"/>
                      <w:szCs w:val="21"/>
                    </w:rPr>
                  </w:pPr>
                  <w:r>
                    <w:rPr>
                      <w:rFonts w:hint="eastAsia" w:hAnsi="宋体"/>
                      <w:szCs w:val="21"/>
                    </w:rPr>
                    <w:t>1~3</w:t>
                  </w:r>
                </w:p>
              </w:tc>
              <w:tc>
                <w:tcPr>
                  <w:tcW w:w="646" w:type="dxa"/>
                  <w:shd w:val="clear" w:color="auto" w:fill="auto"/>
                  <w:vAlign w:val="center"/>
                </w:tcPr>
                <w:p>
                  <w:pPr>
                    <w:widowControl/>
                    <w:jc w:val="center"/>
                    <w:rPr>
                      <w:rFonts w:hAnsi="宋体"/>
                      <w:szCs w:val="21"/>
                    </w:rPr>
                  </w:pPr>
                  <w:r>
                    <w:rPr>
                      <w:rFonts w:hint="eastAsia" w:hAnsi="宋体"/>
                      <w:szCs w:val="21"/>
                    </w:rPr>
                    <w:t>6~9</w:t>
                  </w:r>
                </w:p>
              </w:tc>
            </w:tr>
          </w:tbl>
          <w:p>
            <w:pPr>
              <w:spacing w:line="360" w:lineRule="auto"/>
              <w:ind w:firstLine="480" w:firstLineChars="200"/>
              <w:rPr>
                <w:sz w:val="24"/>
                <w:szCs w:val="24"/>
              </w:rPr>
            </w:pPr>
            <w:r>
              <w:rPr>
                <w:rFonts w:hint="eastAsia"/>
                <w:sz w:val="24"/>
                <w:szCs w:val="24"/>
              </w:rPr>
              <w:t>通过实际现场调查，镇区无工业废水的排放，故本工程不考虑工业污水处理，但污水处理站</w:t>
            </w:r>
            <w:r>
              <w:rPr>
                <w:sz w:val="24"/>
                <w:szCs w:val="24"/>
              </w:rPr>
              <w:t>进水水质还需满足《污水排入</w:t>
            </w:r>
            <w:r>
              <w:rPr>
                <w:rFonts w:hint="eastAsia"/>
                <w:sz w:val="24"/>
                <w:szCs w:val="24"/>
              </w:rPr>
              <w:t>城镇下水道水质标准</w:t>
            </w:r>
            <w:r>
              <w:rPr>
                <w:sz w:val="24"/>
                <w:szCs w:val="24"/>
              </w:rPr>
              <w:t>》（</w:t>
            </w:r>
            <w:r>
              <w:rPr>
                <w:rFonts w:hint="eastAsia"/>
                <w:sz w:val="24"/>
                <w:szCs w:val="24"/>
              </w:rPr>
              <w:t>GB/T31962</w:t>
            </w:r>
            <w:r>
              <w:rPr>
                <w:sz w:val="24"/>
                <w:szCs w:val="24"/>
              </w:rPr>
              <w:t>-201</w:t>
            </w:r>
            <w:r>
              <w:rPr>
                <w:rFonts w:hint="eastAsia"/>
                <w:sz w:val="24"/>
                <w:szCs w:val="24"/>
              </w:rPr>
              <w:t>5</w:t>
            </w:r>
            <w:r>
              <w:rPr>
                <w:sz w:val="24"/>
                <w:szCs w:val="24"/>
              </w:rPr>
              <w:t>）中</w:t>
            </w:r>
            <w:r>
              <w:rPr>
                <w:rFonts w:hint="eastAsia"/>
                <w:sz w:val="24"/>
                <w:szCs w:val="24"/>
              </w:rPr>
              <w:t>B级</w:t>
            </w:r>
            <w:r>
              <w:rPr>
                <w:sz w:val="24"/>
                <w:szCs w:val="24"/>
              </w:rPr>
              <w:t>各项指标规定。</w:t>
            </w:r>
          </w:p>
          <w:p>
            <w:pPr>
              <w:spacing w:line="360" w:lineRule="auto"/>
              <w:ind w:firstLine="422" w:firstLineChars="200"/>
              <w:jc w:val="center"/>
              <w:rPr>
                <w:b/>
                <w:szCs w:val="21"/>
              </w:rPr>
            </w:pPr>
            <w:r>
              <w:rPr>
                <w:rFonts w:hint="eastAsia"/>
                <w:b/>
                <w:szCs w:val="21"/>
              </w:rPr>
              <w:t xml:space="preserve">表28-4   </w:t>
            </w:r>
            <w:r>
              <w:rPr>
                <w:b/>
                <w:szCs w:val="21"/>
              </w:rPr>
              <w:t>《污水排入</w:t>
            </w:r>
            <w:r>
              <w:rPr>
                <w:rFonts w:hint="eastAsia"/>
                <w:b/>
                <w:szCs w:val="21"/>
              </w:rPr>
              <w:t>城镇下水道水质标准</w:t>
            </w:r>
            <w:r>
              <w:rPr>
                <w:b/>
                <w:szCs w:val="21"/>
              </w:rPr>
              <w:t>》（</w:t>
            </w:r>
            <w:r>
              <w:rPr>
                <w:rFonts w:hint="eastAsia"/>
                <w:b/>
                <w:szCs w:val="21"/>
              </w:rPr>
              <w:t>GB/T31962</w:t>
            </w:r>
            <w:r>
              <w:rPr>
                <w:b/>
                <w:szCs w:val="21"/>
              </w:rPr>
              <w:t>-201</w:t>
            </w:r>
            <w:r>
              <w:rPr>
                <w:rFonts w:hint="eastAsia"/>
                <w:b/>
                <w:szCs w:val="21"/>
              </w:rPr>
              <w:t>5</w:t>
            </w:r>
            <w:r>
              <w:rPr>
                <w:b/>
                <w:szCs w:val="21"/>
              </w:rPr>
              <w:t>）</w:t>
            </w:r>
            <w:r>
              <w:rPr>
                <w:rFonts w:hint="eastAsia"/>
                <w:b/>
                <w:szCs w:val="21"/>
              </w:rPr>
              <w:t>B级</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98"/>
              <w:gridCol w:w="1100"/>
              <w:gridCol w:w="974"/>
              <w:gridCol w:w="1045"/>
              <w:gridCol w:w="1095"/>
              <w:gridCol w:w="1031"/>
              <w:gridCol w:w="954"/>
              <w:gridCol w:w="11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86" w:hRule="atLeast"/>
                <w:jc w:val="center"/>
              </w:trPr>
              <w:tc>
                <w:tcPr>
                  <w:tcW w:w="1598"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水质项目</w:t>
                  </w:r>
                </w:p>
              </w:tc>
              <w:tc>
                <w:tcPr>
                  <w:tcW w:w="1100"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COD</w:t>
                  </w:r>
                  <w:r>
                    <w:rPr>
                      <w:rFonts w:hAnsi="宋体" w:eastAsia="宋体" w:cs="Times New Roman"/>
                      <w:b/>
                      <w:bCs w:val="0"/>
                      <w:sz w:val="21"/>
                      <w:szCs w:val="21"/>
                      <w:vertAlign w:val="subscript"/>
                    </w:rPr>
                    <w:t>Cr</w:t>
                  </w:r>
                </w:p>
              </w:tc>
              <w:tc>
                <w:tcPr>
                  <w:tcW w:w="974"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BOD</w:t>
                  </w:r>
                  <w:r>
                    <w:rPr>
                      <w:rFonts w:hAnsi="宋体" w:eastAsia="宋体" w:cs="Times New Roman"/>
                      <w:b/>
                      <w:bCs w:val="0"/>
                      <w:sz w:val="21"/>
                      <w:szCs w:val="21"/>
                      <w:vertAlign w:val="subscript"/>
                    </w:rPr>
                    <w:t>5</w:t>
                  </w:r>
                </w:p>
              </w:tc>
              <w:tc>
                <w:tcPr>
                  <w:tcW w:w="1045"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SS</w:t>
                  </w:r>
                </w:p>
              </w:tc>
              <w:tc>
                <w:tcPr>
                  <w:tcW w:w="1095"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TN</w:t>
                  </w:r>
                </w:p>
              </w:tc>
              <w:tc>
                <w:tcPr>
                  <w:tcW w:w="1031"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NH</w:t>
                  </w:r>
                  <w:r>
                    <w:rPr>
                      <w:rFonts w:hAnsi="宋体" w:eastAsia="宋体" w:cs="Times New Roman"/>
                      <w:b/>
                      <w:bCs w:val="0"/>
                      <w:sz w:val="21"/>
                      <w:szCs w:val="21"/>
                      <w:vertAlign w:val="subscript"/>
                    </w:rPr>
                    <w:t>3</w:t>
                  </w:r>
                  <w:r>
                    <w:rPr>
                      <w:rFonts w:hAnsi="宋体" w:eastAsia="宋体" w:cs="Times New Roman"/>
                      <w:b/>
                      <w:bCs w:val="0"/>
                      <w:sz w:val="21"/>
                      <w:szCs w:val="21"/>
                    </w:rPr>
                    <w:t>-N</w:t>
                  </w:r>
                </w:p>
              </w:tc>
              <w:tc>
                <w:tcPr>
                  <w:tcW w:w="954"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TP</w:t>
                  </w:r>
                </w:p>
              </w:tc>
              <w:tc>
                <w:tcPr>
                  <w:tcW w:w="1104"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pH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15" w:hRule="atLeast"/>
                <w:jc w:val="center"/>
              </w:trPr>
              <w:tc>
                <w:tcPr>
                  <w:tcW w:w="1598" w:type="dxa"/>
                  <w:shd w:val="clear" w:color="auto" w:fill="auto"/>
                  <w:vAlign w:val="center"/>
                </w:tcPr>
                <w:p>
                  <w:pPr>
                    <w:pStyle w:val="209"/>
                    <w:spacing w:line="240" w:lineRule="auto"/>
                    <w:jc w:val="both"/>
                    <w:rPr>
                      <w:rFonts w:hAnsi="宋体" w:eastAsia="宋体" w:cs="Times New Roman"/>
                      <w:bCs w:val="0"/>
                      <w:sz w:val="21"/>
                      <w:szCs w:val="21"/>
                    </w:rPr>
                  </w:pPr>
                  <w:r>
                    <w:rPr>
                      <w:rFonts w:hAnsi="宋体" w:eastAsia="宋体" w:cs="Times New Roman"/>
                      <w:bCs w:val="0"/>
                      <w:sz w:val="21"/>
                      <w:szCs w:val="21"/>
                    </w:rPr>
                    <w:t>数值（mg/L）</w:t>
                  </w:r>
                </w:p>
              </w:tc>
              <w:tc>
                <w:tcPr>
                  <w:tcW w:w="1100" w:type="dxa"/>
                  <w:shd w:val="clear" w:color="auto" w:fill="auto"/>
                  <w:vAlign w:val="center"/>
                </w:tcPr>
                <w:p>
                  <w:pPr>
                    <w:pStyle w:val="209"/>
                    <w:spacing w:line="240" w:lineRule="auto"/>
                    <w:rPr>
                      <w:rFonts w:hAnsi="宋体" w:eastAsia="宋体" w:cs="Times New Roman"/>
                      <w:bCs w:val="0"/>
                      <w:sz w:val="21"/>
                      <w:szCs w:val="21"/>
                    </w:rPr>
                  </w:pPr>
                  <w:r>
                    <w:rPr>
                      <w:rFonts w:hAnsi="宋体" w:eastAsia="宋体" w:cs="Times New Roman"/>
                      <w:bCs w:val="0"/>
                      <w:sz w:val="21"/>
                      <w:szCs w:val="21"/>
                    </w:rPr>
                    <w:t>≤500</w:t>
                  </w:r>
                </w:p>
              </w:tc>
              <w:tc>
                <w:tcPr>
                  <w:tcW w:w="974" w:type="dxa"/>
                  <w:shd w:val="clear" w:color="auto" w:fill="auto"/>
                  <w:vAlign w:val="center"/>
                </w:tcPr>
                <w:p>
                  <w:pPr>
                    <w:pStyle w:val="209"/>
                    <w:spacing w:line="240" w:lineRule="auto"/>
                    <w:rPr>
                      <w:rFonts w:hAnsi="宋体" w:eastAsia="宋体" w:cs="Times New Roman"/>
                      <w:bCs w:val="0"/>
                      <w:sz w:val="21"/>
                      <w:szCs w:val="21"/>
                    </w:rPr>
                  </w:pPr>
                  <w:r>
                    <w:rPr>
                      <w:rFonts w:hAnsi="宋体" w:eastAsia="宋体" w:cs="Times New Roman"/>
                      <w:bCs w:val="0"/>
                      <w:sz w:val="21"/>
                      <w:szCs w:val="21"/>
                    </w:rPr>
                    <w:t>≤350</w:t>
                  </w:r>
                </w:p>
              </w:tc>
              <w:tc>
                <w:tcPr>
                  <w:tcW w:w="1045" w:type="dxa"/>
                  <w:shd w:val="clear" w:color="auto" w:fill="auto"/>
                  <w:vAlign w:val="center"/>
                </w:tcPr>
                <w:p>
                  <w:pPr>
                    <w:pStyle w:val="209"/>
                    <w:spacing w:line="240" w:lineRule="auto"/>
                    <w:rPr>
                      <w:rFonts w:hAnsi="宋体" w:eastAsia="宋体" w:cs="Times New Roman"/>
                      <w:bCs w:val="0"/>
                      <w:sz w:val="21"/>
                      <w:szCs w:val="21"/>
                    </w:rPr>
                  </w:pPr>
                  <w:r>
                    <w:rPr>
                      <w:rFonts w:hAnsi="宋体" w:eastAsia="宋体" w:cs="Times New Roman"/>
                      <w:bCs w:val="0"/>
                      <w:sz w:val="21"/>
                      <w:szCs w:val="21"/>
                    </w:rPr>
                    <w:t>≤400</w:t>
                  </w:r>
                </w:p>
              </w:tc>
              <w:tc>
                <w:tcPr>
                  <w:tcW w:w="1095" w:type="dxa"/>
                  <w:shd w:val="clear" w:color="auto" w:fill="auto"/>
                  <w:vAlign w:val="center"/>
                </w:tcPr>
                <w:p>
                  <w:pPr>
                    <w:pStyle w:val="209"/>
                    <w:spacing w:line="240" w:lineRule="auto"/>
                    <w:rPr>
                      <w:rFonts w:hAnsi="宋体" w:eastAsia="宋体" w:cs="Times New Roman"/>
                      <w:bCs w:val="0"/>
                      <w:sz w:val="21"/>
                      <w:szCs w:val="21"/>
                    </w:rPr>
                  </w:pPr>
                  <w:r>
                    <w:rPr>
                      <w:rFonts w:hAnsi="宋体" w:eastAsia="宋体" w:cs="Times New Roman"/>
                      <w:bCs w:val="0"/>
                      <w:sz w:val="21"/>
                      <w:szCs w:val="21"/>
                    </w:rPr>
                    <w:t>≤70</w:t>
                  </w:r>
                </w:p>
              </w:tc>
              <w:tc>
                <w:tcPr>
                  <w:tcW w:w="1031" w:type="dxa"/>
                  <w:shd w:val="clear" w:color="auto" w:fill="auto"/>
                  <w:vAlign w:val="center"/>
                </w:tcPr>
                <w:p>
                  <w:pPr>
                    <w:pStyle w:val="209"/>
                    <w:spacing w:line="240" w:lineRule="auto"/>
                    <w:rPr>
                      <w:rFonts w:hAnsi="宋体" w:eastAsia="宋体" w:cs="Times New Roman"/>
                      <w:bCs w:val="0"/>
                      <w:sz w:val="21"/>
                      <w:szCs w:val="21"/>
                    </w:rPr>
                  </w:pPr>
                  <w:r>
                    <w:rPr>
                      <w:rFonts w:hAnsi="宋体" w:eastAsia="宋体" w:cs="Times New Roman"/>
                      <w:bCs w:val="0"/>
                      <w:sz w:val="21"/>
                      <w:szCs w:val="21"/>
                    </w:rPr>
                    <w:t>≤45</w:t>
                  </w:r>
                </w:p>
              </w:tc>
              <w:tc>
                <w:tcPr>
                  <w:tcW w:w="954" w:type="dxa"/>
                  <w:shd w:val="clear" w:color="auto" w:fill="auto"/>
                  <w:vAlign w:val="center"/>
                </w:tcPr>
                <w:p>
                  <w:pPr>
                    <w:pStyle w:val="209"/>
                    <w:spacing w:line="240" w:lineRule="auto"/>
                    <w:rPr>
                      <w:rFonts w:hAnsi="宋体" w:eastAsia="宋体" w:cs="Times New Roman"/>
                      <w:bCs w:val="0"/>
                      <w:sz w:val="21"/>
                      <w:szCs w:val="21"/>
                    </w:rPr>
                  </w:pPr>
                  <w:r>
                    <w:rPr>
                      <w:rFonts w:hAnsi="宋体" w:eastAsia="宋体" w:cs="Times New Roman"/>
                      <w:bCs w:val="0"/>
                      <w:sz w:val="21"/>
                      <w:szCs w:val="21"/>
                    </w:rPr>
                    <w:t>≤8</w:t>
                  </w:r>
                </w:p>
              </w:tc>
              <w:tc>
                <w:tcPr>
                  <w:tcW w:w="1104" w:type="dxa"/>
                  <w:shd w:val="clear" w:color="auto" w:fill="auto"/>
                  <w:vAlign w:val="center"/>
                </w:tcPr>
                <w:p>
                  <w:pPr>
                    <w:pStyle w:val="209"/>
                    <w:spacing w:line="240" w:lineRule="auto"/>
                    <w:rPr>
                      <w:rFonts w:hAnsi="宋体" w:eastAsia="宋体" w:cs="Times New Roman"/>
                      <w:bCs w:val="0"/>
                      <w:sz w:val="21"/>
                      <w:szCs w:val="21"/>
                    </w:rPr>
                  </w:pPr>
                  <w:r>
                    <w:rPr>
                      <w:rFonts w:hAnsi="宋体" w:eastAsia="宋体" w:cs="Times New Roman"/>
                      <w:bCs w:val="0"/>
                      <w:sz w:val="21"/>
                      <w:szCs w:val="21"/>
                    </w:rPr>
                    <w:t>6.5~9.5</w:t>
                  </w:r>
                </w:p>
              </w:tc>
            </w:tr>
          </w:tbl>
          <w:p>
            <w:pPr>
              <w:spacing w:line="360" w:lineRule="auto"/>
              <w:ind w:firstLine="480" w:firstLineChars="200"/>
              <w:rPr>
                <w:sz w:val="24"/>
                <w:szCs w:val="24"/>
              </w:rPr>
            </w:pPr>
            <w:r>
              <w:rPr>
                <w:rFonts w:hint="eastAsia"/>
                <w:sz w:val="24"/>
                <w:szCs w:val="24"/>
              </w:rPr>
              <w:t>对比参考其他小城镇的综合污水进水水质、西北地区农村生活污水水质参考值、早胜镇污水处理厂项目进水水质以及</w:t>
            </w:r>
            <w:r>
              <w:rPr>
                <w:sz w:val="24"/>
                <w:szCs w:val="24"/>
              </w:rPr>
              <w:t>《污水排入</w:t>
            </w:r>
            <w:r>
              <w:rPr>
                <w:rFonts w:hint="eastAsia"/>
                <w:sz w:val="24"/>
                <w:szCs w:val="24"/>
              </w:rPr>
              <w:t>城镇下水道水质标准</w:t>
            </w:r>
            <w:r>
              <w:rPr>
                <w:sz w:val="24"/>
                <w:szCs w:val="24"/>
              </w:rPr>
              <w:t>》（</w:t>
            </w:r>
            <w:r>
              <w:rPr>
                <w:rFonts w:hint="eastAsia"/>
                <w:sz w:val="24"/>
                <w:szCs w:val="24"/>
              </w:rPr>
              <w:t>GB/T31962</w:t>
            </w:r>
            <w:r>
              <w:rPr>
                <w:sz w:val="24"/>
                <w:szCs w:val="24"/>
              </w:rPr>
              <w:t>-201</w:t>
            </w:r>
            <w:r>
              <w:rPr>
                <w:rFonts w:hint="eastAsia"/>
                <w:sz w:val="24"/>
                <w:szCs w:val="24"/>
              </w:rPr>
              <w:t>5</w:t>
            </w:r>
            <w:r>
              <w:rPr>
                <w:sz w:val="24"/>
                <w:szCs w:val="24"/>
              </w:rPr>
              <w:t>）</w:t>
            </w:r>
            <w:r>
              <w:rPr>
                <w:rFonts w:hint="eastAsia"/>
                <w:sz w:val="24"/>
                <w:szCs w:val="24"/>
              </w:rPr>
              <w:t>B级标准相关要求，最终确定污水处理站设计进水水质。</w:t>
            </w:r>
          </w:p>
          <w:p>
            <w:pPr>
              <w:spacing w:line="360" w:lineRule="auto"/>
              <w:ind w:firstLine="480" w:firstLineChars="200"/>
              <w:rPr>
                <w:sz w:val="24"/>
                <w:szCs w:val="24"/>
              </w:rPr>
            </w:pPr>
            <w:r>
              <w:rPr>
                <w:rFonts w:hint="eastAsia"/>
                <w:sz w:val="24"/>
                <w:szCs w:val="24"/>
              </w:rPr>
              <w:t>《庆阳市太昌镇污水处理工程建设项目可行性研究报告》最终确定本项目进水水质如表28-5所示。</w:t>
            </w:r>
          </w:p>
          <w:p>
            <w:pPr>
              <w:spacing w:line="360" w:lineRule="auto"/>
              <w:ind w:firstLine="422" w:firstLineChars="200"/>
              <w:jc w:val="center"/>
              <w:rPr>
                <w:b/>
                <w:szCs w:val="21"/>
              </w:rPr>
            </w:pPr>
            <w:r>
              <w:rPr>
                <w:rFonts w:hint="eastAsia"/>
                <w:b/>
                <w:szCs w:val="21"/>
              </w:rPr>
              <w:t>表28-5  本项目污水处理站设计进水水质  单位：mg/L</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10"/>
              <w:gridCol w:w="1348"/>
              <w:gridCol w:w="1310"/>
              <w:gridCol w:w="1454"/>
              <w:gridCol w:w="1246"/>
              <w:gridCol w:w="1015"/>
              <w:gridCol w:w="10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65" w:hRule="atLeast"/>
                <w:jc w:val="center"/>
              </w:trPr>
              <w:tc>
                <w:tcPr>
                  <w:tcW w:w="1510"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项目</w:t>
                  </w:r>
                </w:p>
              </w:tc>
              <w:tc>
                <w:tcPr>
                  <w:tcW w:w="1348"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COD</w:t>
                  </w:r>
                  <w:r>
                    <w:rPr>
                      <w:rFonts w:hAnsi="宋体" w:eastAsia="宋体" w:cs="Times New Roman"/>
                      <w:b/>
                      <w:bCs w:val="0"/>
                      <w:sz w:val="21"/>
                      <w:szCs w:val="21"/>
                      <w:vertAlign w:val="subscript"/>
                    </w:rPr>
                    <w:t>Cr</w:t>
                  </w:r>
                </w:p>
              </w:tc>
              <w:tc>
                <w:tcPr>
                  <w:tcW w:w="1310"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BOD</w:t>
                  </w:r>
                  <w:r>
                    <w:rPr>
                      <w:rFonts w:hAnsi="宋体" w:eastAsia="宋体" w:cs="Times New Roman"/>
                      <w:b/>
                      <w:bCs w:val="0"/>
                      <w:sz w:val="21"/>
                      <w:szCs w:val="21"/>
                      <w:vertAlign w:val="subscript"/>
                    </w:rPr>
                    <w:t>5</w:t>
                  </w:r>
                </w:p>
              </w:tc>
              <w:tc>
                <w:tcPr>
                  <w:tcW w:w="1454"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SS</w:t>
                  </w:r>
                </w:p>
              </w:tc>
              <w:tc>
                <w:tcPr>
                  <w:tcW w:w="1246"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NH</w:t>
                  </w:r>
                  <w:r>
                    <w:rPr>
                      <w:rFonts w:hAnsi="宋体" w:eastAsia="宋体" w:cs="Times New Roman"/>
                      <w:b/>
                      <w:bCs w:val="0"/>
                      <w:sz w:val="21"/>
                      <w:szCs w:val="21"/>
                      <w:vertAlign w:val="subscript"/>
                    </w:rPr>
                    <w:t>3</w:t>
                  </w:r>
                  <w:r>
                    <w:rPr>
                      <w:rFonts w:hAnsi="宋体" w:eastAsia="宋体" w:cs="Times New Roman"/>
                      <w:b/>
                      <w:bCs w:val="0"/>
                      <w:sz w:val="21"/>
                      <w:szCs w:val="21"/>
                    </w:rPr>
                    <w:t>-N</w:t>
                  </w:r>
                </w:p>
              </w:tc>
              <w:tc>
                <w:tcPr>
                  <w:tcW w:w="1015"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TP</w:t>
                  </w:r>
                </w:p>
              </w:tc>
              <w:tc>
                <w:tcPr>
                  <w:tcW w:w="1018" w:type="dxa"/>
                  <w:shd w:val="clear" w:color="auto" w:fill="auto"/>
                  <w:vAlign w:val="center"/>
                </w:tcPr>
                <w:p>
                  <w:pPr>
                    <w:pStyle w:val="209"/>
                    <w:spacing w:line="240" w:lineRule="auto"/>
                    <w:rPr>
                      <w:rFonts w:hAnsi="宋体" w:eastAsia="宋体" w:cs="Times New Roman"/>
                      <w:b/>
                      <w:bCs w:val="0"/>
                      <w:sz w:val="21"/>
                      <w:szCs w:val="21"/>
                    </w:rPr>
                  </w:pPr>
                  <w:r>
                    <w:rPr>
                      <w:rFonts w:hAnsi="宋体" w:eastAsia="宋体" w:cs="Times New Roman"/>
                      <w:b/>
                      <w:bCs w:val="0"/>
                      <w:sz w:val="21"/>
                      <w:szCs w:val="21"/>
                    </w:rPr>
                    <w:t>pH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1" w:hRule="atLeast"/>
                <w:jc w:val="center"/>
              </w:trPr>
              <w:tc>
                <w:tcPr>
                  <w:tcW w:w="1510" w:type="dxa"/>
                  <w:shd w:val="clear" w:color="auto" w:fill="auto"/>
                  <w:vAlign w:val="center"/>
                </w:tcPr>
                <w:p>
                  <w:pPr>
                    <w:pStyle w:val="209"/>
                    <w:spacing w:line="240" w:lineRule="auto"/>
                    <w:rPr>
                      <w:rFonts w:hAnsi="宋体" w:eastAsia="宋体" w:cs="Times New Roman"/>
                      <w:bCs w:val="0"/>
                      <w:sz w:val="21"/>
                      <w:szCs w:val="21"/>
                    </w:rPr>
                  </w:pPr>
                  <w:r>
                    <w:rPr>
                      <w:rFonts w:hint="eastAsia" w:hAnsi="宋体" w:eastAsia="宋体" w:cs="Times New Roman"/>
                      <w:bCs w:val="0"/>
                      <w:sz w:val="21"/>
                      <w:szCs w:val="21"/>
                    </w:rPr>
                    <w:t>进水水质</w:t>
                  </w:r>
                </w:p>
              </w:tc>
              <w:tc>
                <w:tcPr>
                  <w:tcW w:w="1348" w:type="dxa"/>
                  <w:shd w:val="clear" w:color="auto" w:fill="auto"/>
                  <w:vAlign w:val="center"/>
                </w:tcPr>
                <w:p>
                  <w:pPr>
                    <w:pStyle w:val="209"/>
                    <w:spacing w:line="240" w:lineRule="auto"/>
                    <w:rPr>
                      <w:rFonts w:hAnsi="宋体" w:eastAsia="宋体" w:cs="Times New Roman"/>
                      <w:bCs w:val="0"/>
                      <w:sz w:val="21"/>
                      <w:szCs w:val="21"/>
                    </w:rPr>
                  </w:pPr>
                  <w:r>
                    <w:rPr>
                      <w:rFonts w:hint="eastAsia" w:hAnsi="宋体" w:eastAsia="宋体" w:cs="Times New Roman"/>
                      <w:bCs w:val="0"/>
                      <w:sz w:val="21"/>
                      <w:szCs w:val="21"/>
                    </w:rPr>
                    <w:t>300</w:t>
                  </w:r>
                </w:p>
              </w:tc>
              <w:tc>
                <w:tcPr>
                  <w:tcW w:w="1310" w:type="dxa"/>
                  <w:shd w:val="clear" w:color="auto" w:fill="auto"/>
                  <w:vAlign w:val="center"/>
                </w:tcPr>
                <w:p>
                  <w:pPr>
                    <w:pStyle w:val="209"/>
                    <w:spacing w:line="240" w:lineRule="auto"/>
                    <w:rPr>
                      <w:rFonts w:hAnsi="宋体" w:eastAsia="宋体" w:cs="Times New Roman"/>
                      <w:bCs w:val="0"/>
                      <w:sz w:val="21"/>
                      <w:szCs w:val="21"/>
                    </w:rPr>
                  </w:pPr>
                  <w:r>
                    <w:rPr>
                      <w:rFonts w:hint="eastAsia" w:hAnsi="宋体" w:eastAsia="宋体" w:cs="Times New Roman"/>
                      <w:bCs w:val="0"/>
                      <w:sz w:val="21"/>
                      <w:szCs w:val="21"/>
                    </w:rPr>
                    <w:t>150</w:t>
                  </w:r>
                </w:p>
              </w:tc>
              <w:tc>
                <w:tcPr>
                  <w:tcW w:w="1454" w:type="dxa"/>
                  <w:shd w:val="clear" w:color="auto" w:fill="auto"/>
                  <w:vAlign w:val="center"/>
                </w:tcPr>
                <w:p>
                  <w:pPr>
                    <w:pStyle w:val="209"/>
                    <w:spacing w:line="240" w:lineRule="auto"/>
                    <w:rPr>
                      <w:rFonts w:hAnsi="宋体" w:eastAsia="宋体" w:cs="Times New Roman"/>
                      <w:bCs w:val="0"/>
                      <w:sz w:val="21"/>
                      <w:szCs w:val="21"/>
                    </w:rPr>
                  </w:pPr>
                  <w:r>
                    <w:rPr>
                      <w:rFonts w:hint="eastAsia" w:hAnsi="宋体" w:eastAsia="宋体" w:cs="Times New Roman"/>
                      <w:bCs w:val="0"/>
                      <w:sz w:val="21"/>
                      <w:szCs w:val="21"/>
                    </w:rPr>
                    <w:t>180</w:t>
                  </w:r>
                </w:p>
              </w:tc>
              <w:tc>
                <w:tcPr>
                  <w:tcW w:w="1246" w:type="dxa"/>
                  <w:shd w:val="clear" w:color="auto" w:fill="auto"/>
                  <w:vAlign w:val="center"/>
                </w:tcPr>
                <w:p>
                  <w:pPr>
                    <w:pStyle w:val="209"/>
                    <w:spacing w:line="240" w:lineRule="auto"/>
                    <w:rPr>
                      <w:rFonts w:hAnsi="宋体" w:eastAsia="宋体" w:cs="Times New Roman"/>
                      <w:bCs w:val="0"/>
                      <w:sz w:val="21"/>
                      <w:szCs w:val="21"/>
                    </w:rPr>
                  </w:pPr>
                  <w:r>
                    <w:rPr>
                      <w:rFonts w:hint="eastAsia" w:hAnsi="宋体" w:eastAsia="宋体" w:cs="Times New Roman"/>
                      <w:bCs w:val="0"/>
                      <w:sz w:val="21"/>
                      <w:szCs w:val="21"/>
                    </w:rPr>
                    <w:t>32</w:t>
                  </w:r>
                </w:p>
              </w:tc>
              <w:tc>
                <w:tcPr>
                  <w:tcW w:w="1015" w:type="dxa"/>
                  <w:shd w:val="clear" w:color="auto" w:fill="auto"/>
                  <w:vAlign w:val="center"/>
                </w:tcPr>
                <w:p>
                  <w:pPr>
                    <w:pStyle w:val="209"/>
                    <w:spacing w:line="240" w:lineRule="auto"/>
                    <w:rPr>
                      <w:rFonts w:hAnsi="宋体" w:eastAsia="宋体" w:cs="Times New Roman"/>
                      <w:bCs w:val="0"/>
                      <w:sz w:val="21"/>
                      <w:szCs w:val="21"/>
                    </w:rPr>
                  </w:pPr>
                  <w:r>
                    <w:rPr>
                      <w:rFonts w:hint="eastAsia" w:hAnsi="宋体" w:eastAsia="宋体" w:cs="Times New Roman"/>
                      <w:bCs w:val="0"/>
                      <w:sz w:val="21"/>
                      <w:szCs w:val="21"/>
                    </w:rPr>
                    <w:t>3</w:t>
                  </w:r>
                </w:p>
              </w:tc>
              <w:tc>
                <w:tcPr>
                  <w:tcW w:w="1018" w:type="dxa"/>
                  <w:shd w:val="clear" w:color="auto" w:fill="auto"/>
                  <w:vAlign w:val="center"/>
                </w:tcPr>
                <w:p>
                  <w:pPr>
                    <w:pStyle w:val="209"/>
                    <w:spacing w:line="240" w:lineRule="auto"/>
                    <w:rPr>
                      <w:rFonts w:hAnsi="宋体" w:eastAsia="宋体" w:cs="Times New Roman"/>
                      <w:bCs w:val="0"/>
                      <w:sz w:val="21"/>
                      <w:szCs w:val="21"/>
                    </w:rPr>
                  </w:pPr>
                  <w:r>
                    <w:rPr>
                      <w:rFonts w:hint="eastAsia" w:hAnsi="宋体" w:eastAsia="宋体" w:cs="Times New Roman"/>
                      <w:bCs w:val="0"/>
                      <w:sz w:val="21"/>
                      <w:szCs w:val="21"/>
                    </w:rPr>
                    <w:t>6</w:t>
                  </w:r>
                  <w:r>
                    <w:rPr>
                      <w:rFonts w:hAnsi="宋体" w:eastAsia="宋体" w:cs="Times New Roman"/>
                      <w:bCs w:val="0"/>
                      <w:sz w:val="21"/>
                      <w:szCs w:val="21"/>
                    </w:rPr>
                    <w:t>~</w:t>
                  </w:r>
                  <w:r>
                    <w:rPr>
                      <w:rFonts w:hint="eastAsia" w:hAnsi="宋体" w:eastAsia="宋体" w:cs="Times New Roman"/>
                      <w:bCs w:val="0"/>
                      <w:sz w:val="21"/>
                      <w:szCs w:val="21"/>
                    </w:rPr>
                    <w:t>9</w:t>
                  </w:r>
                </w:p>
              </w:tc>
            </w:tr>
          </w:tbl>
          <w:p>
            <w:pPr>
              <w:spacing w:line="360" w:lineRule="auto"/>
              <w:ind w:firstLine="480" w:firstLineChars="200"/>
              <w:rPr>
                <w:sz w:val="24"/>
                <w:szCs w:val="24"/>
              </w:rPr>
            </w:pPr>
            <w:r>
              <w:rPr>
                <w:rFonts w:hint="eastAsia"/>
                <w:sz w:val="24"/>
                <w:szCs w:val="24"/>
              </w:rPr>
              <w:t>（2）出水水质</w:t>
            </w:r>
          </w:p>
          <w:p>
            <w:pPr>
              <w:spacing w:line="360" w:lineRule="auto"/>
              <w:ind w:firstLine="480" w:firstLineChars="200"/>
              <w:rPr>
                <w:bCs/>
                <w:sz w:val="24"/>
                <w:szCs w:val="24"/>
              </w:rPr>
            </w:pPr>
            <w:r>
              <w:rPr>
                <w:rFonts w:hint="eastAsia"/>
                <w:sz w:val="24"/>
                <w:szCs w:val="24"/>
              </w:rPr>
              <w:t>污水处理站处理后的出水由管道引向附近老虎沟，最终进入马莲河。根据</w:t>
            </w:r>
            <w:r>
              <w:rPr>
                <w:bCs/>
                <w:sz w:val="24"/>
                <w:szCs w:val="24"/>
              </w:rPr>
              <w:t>《城镇污水处理厂污染物排放标准》（GB18918-2002）</w:t>
            </w:r>
            <w:r>
              <w:rPr>
                <w:rFonts w:hint="eastAsia"/>
                <w:bCs/>
                <w:sz w:val="24"/>
                <w:szCs w:val="24"/>
              </w:rPr>
              <w:t>“本项目规定了城镇污水处理厂出水、废气排放和污泥处置（控制）的污染物限值”，本项目处理出水排放执行</w:t>
            </w:r>
            <w:r>
              <w:rPr>
                <w:bCs/>
                <w:sz w:val="24"/>
                <w:szCs w:val="24"/>
              </w:rPr>
              <w:t>《城镇污水处理厂污染物排放标准》（GB18918-2002）</w:t>
            </w:r>
            <w:r>
              <w:rPr>
                <w:rFonts w:hint="eastAsia"/>
                <w:bCs/>
                <w:sz w:val="24"/>
                <w:szCs w:val="24"/>
              </w:rPr>
              <w:t>一级A标准。</w:t>
            </w:r>
          </w:p>
          <w:p>
            <w:pPr>
              <w:spacing w:line="360" w:lineRule="auto"/>
              <w:ind w:firstLine="422" w:firstLineChars="200"/>
              <w:jc w:val="center"/>
              <w:rPr>
                <w:b/>
                <w:bCs/>
                <w:szCs w:val="21"/>
              </w:rPr>
            </w:pPr>
            <w:r>
              <w:rPr>
                <w:rFonts w:hint="eastAsia"/>
                <w:b/>
                <w:bCs/>
                <w:szCs w:val="21"/>
              </w:rPr>
              <w:t>表28-6  设计污水处理站出水水质  单位：mg/L</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950"/>
              <w:gridCol w:w="847"/>
              <w:gridCol w:w="1122"/>
              <w:gridCol w:w="1122"/>
              <w:gridCol w:w="913"/>
              <w:gridCol w:w="1143"/>
              <w:gridCol w:w="846"/>
              <w:gridCol w:w="9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33" w:hRule="atLeast"/>
              </w:trPr>
              <w:tc>
                <w:tcPr>
                  <w:tcW w:w="1950" w:type="dxa"/>
                  <w:vAlign w:val="center"/>
                </w:tcPr>
                <w:p>
                  <w:pPr>
                    <w:jc w:val="center"/>
                    <w:rPr>
                      <w:b/>
                      <w:szCs w:val="21"/>
                    </w:rPr>
                  </w:pPr>
                  <w:r>
                    <w:rPr>
                      <w:b/>
                      <w:szCs w:val="21"/>
                    </w:rPr>
                    <w:t>项   目</w:t>
                  </w:r>
                </w:p>
              </w:tc>
              <w:tc>
                <w:tcPr>
                  <w:tcW w:w="847" w:type="dxa"/>
                  <w:vAlign w:val="center"/>
                </w:tcPr>
                <w:p>
                  <w:pPr>
                    <w:jc w:val="center"/>
                    <w:rPr>
                      <w:b/>
                      <w:szCs w:val="21"/>
                    </w:rPr>
                  </w:pPr>
                  <w:r>
                    <w:rPr>
                      <w:b/>
                      <w:szCs w:val="21"/>
                    </w:rPr>
                    <w:t>pH</w:t>
                  </w:r>
                </w:p>
              </w:tc>
              <w:tc>
                <w:tcPr>
                  <w:tcW w:w="1122" w:type="dxa"/>
                  <w:vAlign w:val="center"/>
                </w:tcPr>
                <w:p>
                  <w:pPr>
                    <w:jc w:val="center"/>
                    <w:rPr>
                      <w:b/>
                      <w:szCs w:val="21"/>
                    </w:rPr>
                  </w:pPr>
                  <w:r>
                    <w:rPr>
                      <w:b/>
                      <w:szCs w:val="21"/>
                    </w:rPr>
                    <w:t>COD</w:t>
                  </w:r>
                  <w:r>
                    <w:rPr>
                      <w:b/>
                      <w:szCs w:val="21"/>
                      <w:vertAlign w:val="subscript"/>
                    </w:rPr>
                    <w:t>cr</w:t>
                  </w:r>
                </w:p>
              </w:tc>
              <w:tc>
                <w:tcPr>
                  <w:tcW w:w="1122" w:type="dxa"/>
                  <w:vAlign w:val="center"/>
                </w:tcPr>
                <w:p>
                  <w:pPr>
                    <w:jc w:val="center"/>
                    <w:rPr>
                      <w:b/>
                      <w:szCs w:val="21"/>
                    </w:rPr>
                  </w:pPr>
                  <w:r>
                    <w:rPr>
                      <w:b/>
                      <w:szCs w:val="21"/>
                    </w:rPr>
                    <w:t>BOD</w:t>
                  </w:r>
                  <w:r>
                    <w:rPr>
                      <w:b/>
                      <w:szCs w:val="21"/>
                      <w:vertAlign w:val="subscript"/>
                    </w:rPr>
                    <w:t>5</w:t>
                  </w:r>
                </w:p>
              </w:tc>
              <w:tc>
                <w:tcPr>
                  <w:tcW w:w="913" w:type="dxa"/>
                  <w:vAlign w:val="center"/>
                </w:tcPr>
                <w:p>
                  <w:pPr>
                    <w:jc w:val="center"/>
                    <w:rPr>
                      <w:b/>
                      <w:szCs w:val="21"/>
                    </w:rPr>
                  </w:pPr>
                  <w:r>
                    <w:rPr>
                      <w:b/>
                      <w:szCs w:val="21"/>
                    </w:rPr>
                    <w:t>SS</w:t>
                  </w:r>
                </w:p>
              </w:tc>
              <w:tc>
                <w:tcPr>
                  <w:tcW w:w="1143" w:type="dxa"/>
                  <w:vAlign w:val="center"/>
                </w:tcPr>
                <w:p>
                  <w:pPr>
                    <w:jc w:val="center"/>
                    <w:rPr>
                      <w:b/>
                      <w:szCs w:val="21"/>
                    </w:rPr>
                  </w:pPr>
                  <w:r>
                    <w:rPr>
                      <w:b/>
                      <w:szCs w:val="21"/>
                    </w:rPr>
                    <w:t>NH</w:t>
                  </w:r>
                  <w:r>
                    <w:rPr>
                      <w:b/>
                      <w:szCs w:val="21"/>
                      <w:vertAlign w:val="subscript"/>
                    </w:rPr>
                    <w:t>3</w:t>
                  </w:r>
                  <w:r>
                    <w:rPr>
                      <w:b/>
                      <w:szCs w:val="21"/>
                    </w:rPr>
                    <w:t>-N</w:t>
                  </w:r>
                </w:p>
              </w:tc>
              <w:tc>
                <w:tcPr>
                  <w:tcW w:w="846" w:type="dxa"/>
                  <w:vAlign w:val="center"/>
                </w:tcPr>
                <w:p>
                  <w:pPr>
                    <w:jc w:val="center"/>
                    <w:rPr>
                      <w:b/>
                      <w:szCs w:val="21"/>
                    </w:rPr>
                  </w:pPr>
                  <w:r>
                    <w:rPr>
                      <w:b/>
                      <w:szCs w:val="21"/>
                    </w:rPr>
                    <w:t>总磷</w:t>
                  </w:r>
                </w:p>
              </w:tc>
              <w:tc>
                <w:tcPr>
                  <w:tcW w:w="958" w:type="dxa"/>
                  <w:vAlign w:val="center"/>
                </w:tcPr>
                <w:p>
                  <w:pPr>
                    <w:jc w:val="center"/>
                    <w:rPr>
                      <w:b/>
                      <w:szCs w:val="21"/>
                    </w:rPr>
                  </w:pPr>
                  <w:r>
                    <w:rPr>
                      <w:rFonts w:hint="eastAsia"/>
                      <w:b/>
                      <w:szCs w:val="21"/>
                    </w:rPr>
                    <w:t>总氮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c>
                <w:tcPr>
                  <w:tcW w:w="1950" w:type="dxa"/>
                  <w:vAlign w:val="center"/>
                </w:tcPr>
                <w:p>
                  <w:pPr>
                    <w:jc w:val="center"/>
                    <w:rPr>
                      <w:szCs w:val="21"/>
                    </w:rPr>
                  </w:pPr>
                  <w:r>
                    <w:rPr>
                      <w:szCs w:val="21"/>
                    </w:rPr>
                    <w:t>一级</w:t>
                  </w:r>
                  <w:r>
                    <w:rPr>
                      <w:rFonts w:hint="eastAsia"/>
                      <w:szCs w:val="21"/>
                    </w:rPr>
                    <w:t>A</w:t>
                  </w:r>
                  <w:r>
                    <w:rPr>
                      <w:szCs w:val="21"/>
                    </w:rPr>
                    <w:t>标准(mg/</w:t>
                  </w:r>
                  <w:r>
                    <w:rPr>
                      <w:rFonts w:hint="eastAsia"/>
                      <w:szCs w:val="21"/>
                    </w:rPr>
                    <w:t>L</w:t>
                  </w:r>
                  <w:r>
                    <w:rPr>
                      <w:szCs w:val="21"/>
                    </w:rPr>
                    <w:t>)</w:t>
                  </w:r>
                </w:p>
              </w:tc>
              <w:tc>
                <w:tcPr>
                  <w:tcW w:w="847" w:type="dxa"/>
                  <w:vAlign w:val="center"/>
                </w:tcPr>
                <w:p>
                  <w:pPr>
                    <w:jc w:val="center"/>
                    <w:rPr>
                      <w:szCs w:val="21"/>
                    </w:rPr>
                  </w:pPr>
                  <w:r>
                    <w:rPr>
                      <w:szCs w:val="21"/>
                    </w:rPr>
                    <w:t>6～9</w:t>
                  </w:r>
                </w:p>
              </w:tc>
              <w:tc>
                <w:tcPr>
                  <w:tcW w:w="1122" w:type="dxa"/>
                  <w:vAlign w:val="center"/>
                </w:tcPr>
                <w:p>
                  <w:pPr>
                    <w:jc w:val="center"/>
                    <w:rPr>
                      <w:szCs w:val="21"/>
                    </w:rPr>
                  </w:pPr>
                  <w:r>
                    <w:rPr>
                      <w:rFonts w:hint="eastAsia"/>
                      <w:szCs w:val="21"/>
                    </w:rPr>
                    <w:t>5</w:t>
                  </w:r>
                  <w:r>
                    <w:rPr>
                      <w:szCs w:val="21"/>
                    </w:rPr>
                    <w:t>0</w:t>
                  </w:r>
                </w:p>
              </w:tc>
              <w:tc>
                <w:tcPr>
                  <w:tcW w:w="1122" w:type="dxa"/>
                  <w:vAlign w:val="center"/>
                </w:tcPr>
                <w:p>
                  <w:pPr>
                    <w:jc w:val="center"/>
                    <w:rPr>
                      <w:szCs w:val="21"/>
                    </w:rPr>
                  </w:pPr>
                  <w:r>
                    <w:rPr>
                      <w:rFonts w:hint="eastAsia"/>
                      <w:szCs w:val="21"/>
                    </w:rPr>
                    <w:t>1</w:t>
                  </w:r>
                  <w:r>
                    <w:rPr>
                      <w:szCs w:val="21"/>
                    </w:rPr>
                    <w:t>0</w:t>
                  </w:r>
                </w:p>
              </w:tc>
              <w:tc>
                <w:tcPr>
                  <w:tcW w:w="913" w:type="dxa"/>
                  <w:vAlign w:val="center"/>
                </w:tcPr>
                <w:p>
                  <w:pPr>
                    <w:jc w:val="center"/>
                    <w:rPr>
                      <w:szCs w:val="21"/>
                    </w:rPr>
                  </w:pPr>
                  <w:r>
                    <w:rPr>
                      <w:rFonts w:hint="eastAsia"/>
                      <w:szCs w:val="21"/>
                    </w:rPr>
                    <w:t>10</w:t>
                  </w:r>
                </w:p>
              </w:tc>
              <w:tc>
                <w:tcPr>
                  <w:tcW w:w="1143" w:type="dxa"/>
                  <w:vAlign w:val="center"/>
                </w:tcPr>
                <w:p>
                  <w:pPr>
                    <w:jc w:val="center"/>
                    <w:rPr>
                      <w:szCs w:val="21"/>
                    </w:rPr>
                  </w:pPr>
                  <w:r>
                    <w:rPr>
                      <w:rFonts w:hint="eastAsia"/>
                      <w:szCs w:val="21"/>
                    </w:rPr>
                    <w:t>5</w:t>
                  </w:r>
                  <w:r>
                    <w:rPr>
                      <w:szCs w:val="21"/>
                    </w:rPr>
                    <w:t>(</w:t>
                  </w:r>
                  <w:r>
                    <w:rPr>
                      <w:rFonts w:hint="eastAsia"/>
                      <w:szCs w:val="21"/>
                    </w:rPr>
                    <w:t>8</w:t>
                  </w:r>
                  <w:r>
                    <w:rPr>
                      <w:szCs w:val="21"/>
                    </w:rPr>
                    <w:t>)</w:t>
                  </w:r>
                </w:p>
              </w:tc>
              <w:tc>
                <w:tcPr>
                  <w:tcW w:w="846" w:type="dxa"/>
                  <w:vAlign w:val="center"/>
                </w:tcPr>
                <w:p>
                  <w:pPr>
                    <w:jc w:val="center"/>
                    <w:rPr>
                      <w:szCs w:val="21"/>
                    </w:rPr>
                  </w:pPr>
                  <w:r>
                    <w:rPr>
                      <w:rFonts w:hint="eastAsia"/>
                      <w:szCs w:val="21"/>
                    </w:rPr>
                    <w:t>0.5</w:t>
                  </w:r>
                </w:p>
              </w:tc>
              <w:tc>
                <w:tcPr>
                  <w:tcW w:w="958" w:type="dxa"/>
                  <w:vAlign w:val="center"/>
                </w:tcPr>
                <w:p>
                  <w:pPr>
                    <w:jc w:val="center"/>
                    <w:rPr>
                      <w:szCs w:val="21"/>
                    </w:rPr>
                  </w:pPr>
                  <w:r>
                    <w:rPr>
                      <w:rFonts w:hint="eastAsia"/>
                      <w:szCs w:val="21"/>
                    </w:rPr>
                    <w:t>15</w:t>
                  </w:r>
                </w:p>
              </w:tc>
            </w:tr>
          </w:tbl>
          <w:p>
            <w:pPr>
              <w:spacing w:line="360" w:lineRule="auto"/>
              <w:ind w:firstLine="480" w:firstLineChars="200"/>
              <w:rPr>
                <w:sz w:val="24"/>
                <w:szCs w:val="24"/>
              </w:rPr>
            </w:pPr>
            <w:r>
              <w:rPr>
                <w:rFonts w:hint="eastAsia"/>
                <w:sz w:val="24"/>
                <w:szCs w:val="24"/>
              </w:rPr>
              <w:t>3、污水、污泥处理工艺</w:t>
            </w:r>
          </w:p>
          <w:p>
            <w:pPr>
              <w:spacing w:line="360" w:lineRule="auto"/>
              <w:ind w:firstLine="480" w:firstLineChars="200"/>
              <w:rPr>
                <w:sz w:val="24"/>
                <w:szCs w:val="24"/>
              </w:rPr>
            </w:pPr>
            <w:r>
              <w:rPr>
                <w:rFonts w:hint="eastAsia"/>
                <w:sz w:val="24"/>
                <w:szCs w:val="24"/>
              </w:rPr>
              <w:t>（1）工艺选择原则</w:t>
            </w:r>
          </w:p>
          <w:p>
            <w:pPr>
              <w:spacing w:line="360" w:lineRule="auto"/>
              <w:ind w:firstLine="480" w:firstLineChars="200"/>
              <w:rPr>
                <w:sz w:val="24"/>
                <w:szCs w:val="24"/>
              </w:rPr>
            </w:pPr>
            <w:r>
              <w:rPr>
                <w:rFonts w:hint="eastAsia"/>
                <w:sz w:val="24"/>
                <w:szCs w:val="24"/>
              </w:rPr>
              <w:t>污水处理工程是一项技术复杂、投资大、政策性强的基础设施项目，虽然无明显的经济效益，但环境效益和长远的社会效益却是无法估量的。处理工艺选择的目的是根据污水量、污水水质和环境容量，在考虑经济条件和管理水平的前提下，选用安全可靠、技术先进、节能、运行费用低、投资省、占地少、操作管理方便的成熟工艺。为了实现污水处理站运行的长期稳定高效，并尽量降低运行费用和工程投资，污水处理站的工艺选择宜遵从如下原则：</w:t>
            </w:r>
          </w:p>
          <w:p>
            <w:pPr>
              <w:spacing w:line="360" w:lineRule="auto"/>
              <w:ind w:firstLine="480" w:firstLineChars="200"/>
              <w:rPr>
                <w:sz w:val="24"/>
                <w:szCs w:val="24"/>
              </w:rPr>
            </w:pPr>
            <w:r>
              <w:rPr>
                <w:rFonts w:hint="eastAsia"/>
                <w:sz w:val="24"/>
                <w:szCs w:val="24"/>
              </w:rPr>
              <w:t>a、技术先进、安全、稳妥、可靠，在稳妥可靠的前提下，积极采用先进的工艺技术，选择适当的工艺处理路线。</w:t>
            </w:r>
          </w:p>
          <w:p>
            <w:pPr>
              <w:spacing w:line="360" w:lineRule="auto"/>
              <w:ind w:firstLine="480" w:firstLineChars="200"/>
              <w:rPr>
                <w:sz w:val="24"/>
                <w:szCs w:val="24"/>
              </w:rPr>
            </w:pPr>
            <w:r>
              <w:rPr>
                <w:rFonts w:hint="eastAsia"/>
                <w:sz w:val="24"/>
                <w:szCs w:val="24"/>
              </w:rPr>
              <w:t>b、占地少，尽可能少占土地，节省土地资源。</w:t>
            </w:r>
          </w:p>
          <w:p>
            <w:pPr>
              <w:spacing w:line="360" w:lineRule="auto"/>
              <w:ind w:firstLine="480" w:firstLineChars="200"/>
              <w:rPr>
                <w:sz w:val="24"/>
                <w:szCs w:val="24"/>
              </w:rPr>
            </w:pPr>
            <w:r>
              <w:rPr>
                <w:rFonts w:hint="eastAsia"/>
                <w:sz w:val="24"/>
                <w:szCs w:val="24"/>
              </w:rPr>
              <w:t>c、投资省，在能达到同样效果的情况下，必须选择最为经济的工艺技术方案。</w:t>
            </w:r>
          </w:p>
          <w:p>
            <w:pPr>
              <w:spacing w:line="360" w:lineRule="auto"/>
              <w:ind w:firstLine="480" w:firstLineChars="200"/>
              <w:rPr>
                <w:sz w:val="24"/>
                <w:szCs w:val="24"/>
              </w:rPr>
            </w:pPr>
            <w:r>
              <w:rPr>
                <w:rFonts w:hint="eastAsia"/>
                <w:sz w:val="24"/>
                <w:szCs w:val="24"/>
              </w:rPr>
              <w:t>d、管理方便、运行费用低，必须考虑当地的管理水平和投产后的常年运行费用。因此在选择工艺方案时，要选择管理方便、运行费用低的方案。</w:t>
            </w:r>
          </w:p>
          <w:p>
            <w:pPr>
              <w:spacing w:line="360" w:lineRule="auto"/>
              <w:ind w:firstLine="480" w:firstLineChars="200"/>
              <w:rPr>
                <w:sz w:val="24"/>
                <w:szCs w:val="24"/>
              </w:rPr>
            </w:pPr>
            <w:r>
              <w:rPr>
                <w:rFonts w:hint="eastAsia"/>
                <w:sz w:val="24"/>
                <w:szCs w:val="24"/>
              </w:rPr>
              <w:t>（2）污水处理工艺选择</w:t>
            </w:r>
          </w:p>
          <w:p>
            <w:pPr>
              <w:spacing w:line="360" w:lineRule="auto"/>
              <w:ind w:firstLine="480" w:firstLineChars="200"/>
              <w:rPr>
                <w:sz w:val="24"/>
                <w:szCs w:val="24"/>
              </w:rPr>
            </w:pPr>
            <w:r>
              <w:rPr>
                <w:rFonts w:hint="eastAsia"/>
                <w:sz w:val="24"/>
                <w:szCs w:val="24"/>
              </w:rPr>
              <w:t>a、污染物去除机理</w:t>
            </w:r>
          </w:p>
          <w:p>
            <w:pPr>
              <w:spacing w:line="360" w:lineRule="auto"/>
              <w:ind w:firstLine="480" w:firstLineChars="200"/>
              <w:rPr>
                <w:sz w:val="24"/>
                <w:szCs w:val="24"/>
              </w:rPr>
            </w:pPr>
            <w:r>
              <w:rPr>
                <w:rFonts w:hint="eastAsia"/>
                <w:sz w:val="24"/>
                <w:szCs w:val="24"/>
              </w:rPr>
              <w:t>SS的去除：</w:t>
            </w:r>
          </w:p>
          <w:p>
            <w:pPr>
              <w:spacing w:line="360" w:lineRule="auto"/>
              <w:ind w:firstLine="480" w:firstLineChars="200"/>
              <w:rPr>
                <w:sz w:val="24"/>
                <w:szCs w:val="24"/>
              </w:rPr>
            </w:pPr>
            <w:r>
              <w:rPr>
                <w:rFonts w:hint="eastAsia"/>
                <w:sz w:val="24"/>
                <w:szCs w:val="24"/>
              </w:rPr>
              <w:t>污水中SS的去除主要靠沉淀作用。污水中的无机颗粒和大直径的有机颗粒靠自然沉淀作用就可去除；小直径的有机颗粒靠微生物的降解作用去除，而小直径的无机颗粒（包括尺度大小在胶体和亚胶体范围内的无机颗粒）则要靠活性污泥絮体的吸附、网捕作用，与活性污泥絮体同时沉淀被去除。污水厂出水中悬浮物浓度不仅涉及到出水SS指标，出水中的BOD</w:t>
            </w:r>
            <w:r>
              <w:rPr>
                <w:rFonts w:hint="eastAsia"/>
                <w:sz w:val="24"/>
                <w:szCs w:val="24"/>
                <w:vertAlign w:val="subscript"/>
              </w:rPr>
              <w:t>5</w:t>
            </w:r>
            <w:r>
              <w:rPr>
                <w:rFonts w:hint="eastAsia"/>
                <w:sz w:val="24"/>
                <w:szCs w:val="24"/>
              </w:rPr>
              <w:t>、COD</w:t>
            </w:r>
            <w:r>
              <w:rPr>
                <w:rFonts w:hint="eastAsia"/>
                <w:sz w:val="24"/>
                <w:szCs w:val="24"/>
                <w:vertAlign w:val="subscript"/>
              </w:rPr>
              <w:t>Cr</w:t>
            </w:r>
            <w:r>
              <w:rPr>
                <w:rFonts w:hint="eastAsia"/>
                <w:sz w:val="24"/>
                <w:szCs w:val="24"/>
              </w:rPr>
              <w:t>、TP等指标也与之有关。因为组成出水悬浮物的主要成分是活性污泥絮体，其本身的有机成份就高，而有机物本身就含磷，因此较高的出水悬浮物含量会使得出水的BOD</w:t>
            </w:r>
            <w:r>
              <w:rPr>
                <w:rFonts w:hint="eastAsia"/>
                <w:sz w:val="24"/>
                <w:szCs w:val="24"/>
                <w:vertAlign w:val="subscript"/>
              </w:rPr>
              <w:t>5</w:t>
            </w:r>
            <w:r>
              <w:rPr>
                <w:rFonts w:hint="eastAsia"/>
                <w:sz w:val="24"/>
                <w:szCs w:val="24"/>
              </w:rPr>
              <w:t>、COD</w:t>
            </w:r>
            <w:r>
              <w:rPr>
                <w:rFonts w:hint="eastAsia"/>
                <w:sz w:val="24"/>
                <w:szCs w:val="24"/>
                <w:vertAlign w:val="subscript"/>
              </w:rPr>
              <w:t>Cr</w:t>
            </w:r>
            <w:r>
              <w:rPr>
                <w:rFonts w:hint="eastAsia"/>
                <w:sz w:val="24"/>
                <w:szCs w:val="24"/>
              </w:rPr>
              <w:t xml:space="preserve"> 和TP增加。因此，控制污水厂出水的SS指标是最基本的，也是很重要的。</w:t>
            </w:r>
          </w:p>
          <w:p>
            <w:pPr>
              <w:spacing w:line="360" w:lineRule="auto"/>
              <w:ind w:firstLine="480" w:firstLineChars="200"/>
              <w:rPr>
                <w:sz w:val="24"/>
                <w:szCs w:val="24"/>
              </w:rPr>
            </w:pPr>
            <w:r>
              <w:rPr>
                <w:rFonts w:hint="eastAsia"/>
                <w:sz w:val="24"/>
                <w:szCs w:val="24"/>
              </w:rPr>
              <w:t>BOD</w:t>
            </w:r>
            <w:r>
              <w:rPr>
                <w:rFonts w:hint="eastAsia"/>
                <w:sz w:val="24"/>
                <w:szCs w:val="24"/>
                <w:vertAlign w:val="subscript"/>
              </w:rPr>
              <w:t>5</w:t>
            </w:r>
            <w:r>
              <w:rPr>
                <w:rFonts w:hint="eastAsia"/>
                <w:sz w:val="24"/>
                <w:szCs w:val="24"/>
              </w:rPr>
              <w:t xml:space="preserve"> 的去除：</w:t>
            </w:r>
          </w:p>
          <w:p>
            <w:pPr>
              <w:spacing w:line="360" w:lineRule="auto"/>
              <w:ind w:firstLine="480" w:firstLineChars="200"/>
              <w:rPr>
                <w:sz w:val="24"/>
                <w:szCs w:val="24"/>
              </w:rPr>
            </w:pPr>
            <w:r>
              <w:rPr>
                <w:rFonts w:hint="eastAsia"/>
                <w:sz w:val="24"/>
                <w:szCs w:val="24"/>
              </w:rPr>
              <w:t>污水中BOD</w:t>
            </w:r>
            <w:r>
              <w:rPr>
                <w:rFonts w:hint="eastAsia"/>
                <w:sz w:val="24"/>
                <w:szCs w:val="24"/>
                <w:vertAlign w:val="subscript"/>
              </w:rPr>
              <w:t>5</w:t>
            </w:r>
            <w:r>
              <w:rPr>
                <w:rFonts w:hint="eastAsia"/>
                <w:sz w:val="24"/>
                <w:szCs w:val="24"/>
              </w:rPr>
              <w:t>的去除是靠微生物的吸附作用和代谢作用，然后通过泥水分离来完成的。</w:t>
            </w:r>
          </w:p>
          <w:p>
            <w:pPr>
              <w:spacing w:line="360" w:lineRule="auto"/>
              <w:ind w:firstLine="480" w:firstLineChars="200"/>
              <w:rPr>
                <w:sz w:val="24"/>
                <w:szCs w:val="24"/>
              </w:rPr>
            </w:pPr>
            <w:r>
              <w:rPr>
                <w:rFonts w:hint="eastAsia"/>
                <w:sz w:val="24"/>
                <w:szCs w:val="24"/>
              </w:rPr>
              <w:t>活性污泥中的微生物在有氧条件下将污水中的一部分有机物用于合成新的细胞，将另一部分有机物进行分解代谢以便获得细胞合成所需的能量，其最终产物是CO</w:t>
            </w:r>
            <w:r>
              <w:rPr>
                <w:rFonts w:hint="eastAsia"/>
                <w:sz w:val="24"/>
                <w:szCs w:val="24"/>
                <w:vertAlign w:val="subscript"/>
              </w:rPr>
              <w:t>2</w:t>
            </w:r>
            <w:r>
              <w:rPr>
                <w:rFonts w:hint="eastAsia"/>
                <w:sz w:val="24"/>
                <w:szCs w:val="24"/>
              </w:rPr>
              <w:t xml:space="preserve"> 和H</w:t>
            </w:r>
            <w:r>
              <w:rPr>
                <w:rFonts w:hint="eastAsia"/>
                <w:sz w:val="24"/>
                <w:szCs w:val="24"/>
                <w:vertAlign w:val="subscript"/>
              </w:rPr>
              <w:t>2</w:t>
            </w:r>
            <w:r>
              <w:rPr>
                <w:rFonts w:hint="eastAsia"/>
                <w:sz w:val="24"/>
                <w:szCs w:val="24"/>
              </w:rPr>
              <w:t>O等稳定物质，其实质是将液相的有机污染物质转化为固相物质，表现为活性污泥量的增长。</w:t>
            </w:r>
          </w:p>
          <w:p>
            <w:pPr>
              <w:spacing w:line="360" w:lineRule="auto"/>
              <w:ind w:firstLine="480" w:firstLineChars="200"/>
              <w:rPr>
                <w:sz w:val="24"/>
                <w:szCs w:val="24"/>
              </w:rPr>
            </w:pPr>
            <w:r>
              <w:rPr>
                <w:rFonts w:hint="eastAsia"/>
                <w:sz w:val="24"/>
                <w:szCs w:val="24"/>
              </w:rPr>
              <w:t>COD</w:t>
            </w:r>
            <w:r>
              <w:rPr>
                <w:rFonts w:hint="eastAsia"/>
                <w:sz w:val="24"/>
                <w:szCs w:val="24"/>
                <w:vertAlign w:val="subscript"/>
              </w:rPr>
              <w:t>Cr</w:t>
            </w:r>
            <w:r>
              <w:rPr>
                <w:rFonts w:hint="eastAsia"/>
                <w:sz w:val="24"/>
                <w:szCs w:val="24"/>
              </w:rPr>
              <w:t xml:space="preserve"> 的去除：</w:t>
            </w:r>
          </w:p>
          <w:p>
            <w:pPr>
              <w:spacing w:line="360" w:lineRule="auto"/>
              <w:ind w:firstLine="480" w:firstLineChars="200"/>
              <w:rPr>
                <w:sz w:val="24"/>
                <w:szCs w:val="24"/>
              </w:rPr>
            </w:pPr>
            <w:r>
              <w:rPr>
                <w:rFonts w:hint="eastAsia"/>
                <w:sz w:val="24"/>
                <w:szCs w:val="24"/>
              </w:rPr>
              <w:t>污水中COD去除的原理与BOD基本相同。</w:t>
            </w:r>
          </w:p>
          <w:p>
            <w:pPr>
              <w:spacing w:line="360" w:lineRule="auto"/>
              <w:ind w:firstLine="480" w:firstLineChars="200"/>
              <w:rPr>
                <w:sz w:val="24"/>
                <w:szCs w:val="24"/>
              </w:rPr>
            </w:pPr>
            <w:r>
              <w:rPr>
                <w:rFonts w:hint="eastAsia"/>
                <w:sz w:val="24"/>
                <w:szCs w:val="24"/>
              </w:rPr>
              <w:t>污水厂COD的去除率，取决于进水的可生化性，它与城市污水的组成有关。对于主要以生活污水及其成份与生活污水相近的工业废水组成的城市污水，其BOD/COD≥0.5，污水的可生化性较好，出水COD值可以控制在较低的水平，能够满足COD≤50mg/L的要求。</w:t>
            </w:r>
          </w:p>
          <w:p>
            <w:pPr>
              <w:spacing w:line="360" w:lineRule="auto"/>
              <w:ind w:firstLine="480" w:firstLineChars="200"/>
              <w:rPr>
                <w:sz w:val="24"/>
                <w:szCs w:val="24"/>
              </w:rPr>
            </w:pPr>
            <w:r>
              <w:rPr>
                <w:rFonts w:hint="eastAsia"/>
                <w:sz w:val="24"/>
                <w:szCs w:val="24"/>
              </w:rPr>
              <w:t>氮的去除：</w:t>
            </w:r>
          </w:p>
          <w:p>
            <w:pPr>
              <w:spacing w:line="360" w:lineRule="auto"/>
              <w:ind w:firstLine="480" w:firstLineChars="200"/>
              <w:rPr>
                <w:sz w:val="24"/>
                <w:szCs w:val="24"/>
              </w:rPr>
            </w:pPr>
            <w:r>
              <w:rPr>
                <w:rFonts w:hint="eastAsia"/>
                <w:sz w:val="24"/>
                <w:szCs w:val="24"/>
              </w:rPr>
              <w:t>污水除氮方法主要有物理化学法和生物法两大类，在市政污水处理行业中生物法除氮是主流，也是城市污水处理中经济和常用的方法。物理化学去除氮主要有折点氯化法、选择性离子交换法、空气吹脱法等；生物去除氮工艺较多，但原理大致是一样的。</w:t>
            </w:r>
          </w:p>
          <w:p>
            <w:pPr>
              <w:spacing w:line="360" w:lineRule="auto"/>
              <w:ind w:firstLine="480" w:firstLineChars="200"/>
              <w:rPr>
                <w:sz w:val="24"/>
                <w:szCs w:val="24"/>
              </w:rPr>
            </w:pPr>
            <w:r>
              <w:rPr>
                <w:rFonts w:hint="eastAsia"/>
                <w:sz w:val="24"/>
                <w:szCs w:val="24"/>
              </w:rPr>
              <w:t>生物脱氮是利用自然界氮的循环转化原理，采用人工生物方法来控制，从污水中去除氮，达到脱氮的目的。污水的生物脱氮包括三个过程。一是同化过程，污水中的一部分氨氮被同化为新细胞物质，以剩余污泥的形式去除；二是硝化过程，污水中的有机氮、蛋白质等在好氧条件下转化成氨氮，然后由硝化菌作用转变成硝酸盐氮；三是反硝化过程，反硝化菌在缺氧条件下，由外加碳源提供能量，将硝酸盐氮转化成氮气，然后氮气从污水中逸入大气，达到污水脱氮的目的。整个生物脱氮过程就是氮的分解氧化还原过程，反应能量从有机物中获取。在硝化与反硝化过程中，影响其脱氮效率的因素是温度、溶解氧、pH值以及碳氮比等。</w:t>
            </w:r>
          </w:p>
          <w:p>
            <w:pPr>
              <w:spacing w:line="360" w:lineRule="auto"/>
              <w:ind w:firstLine="480" w:firstLineChars="200"/>
              <w:rPr>
                <w:sz w:val="24"/>
                <w:szCs w:val="24"/>
              </w:rPr>
            </w:pPr>
            <w:r>
              <w:rPr>
                <w:rFonts w:hint="eastAsia"/>
                <w:sz w:val="24"/>
                <w:szCs w:val="24"/>
              </w:rPr>
              <w:t>生物脱氮系统中，硝化菌的生长速度较慢，世代周期较长，需要有足够的污泥龄。反硝化菌的生长主要在缺氧条件下进行，并且要有充足的碳源提供能量，才可促使反硝化作用顺利进行。</w:t>
            </w:r>
          </w:p>
          <w:p>
            <w:pPr>
              <w:spacing w:line="360" w:lineRule="auto"/>
              <w:ind w:firstLine="480" w:firstLineChars="200"/>
              <w:rPr>
                <w:sz w:val="24"/>
                <w:szCs w:val="24"/>
              </w:rPr>
            </w:pPr>
            <w:r>
              <w:rPr>
                <w:rFonts w:hint="eastAsia"/>
                <w:sz w:val="24"/>
                <w:szCs w:val="24"/>
              </w:rPr>
              <w:t>因此，生物脱氮系统中硝化与反硝化反应需具备如下条件：</w:t>
            </w:r>
          </w:p>
          <w:p>
            <w:pPr>
              <w:spacing w:line="360" w:lineRule="auto"/>
              <w:ind w:firstLine="480" w:firstLineChars="200"/>
              <w:rPr>
                <w:sz w:val="24"/>
                <w:szCs w:val="24"/>
              </w:rPr>
            </w:pPr>
            <w:r>
              <w:rPr>
                <w:rFonts w:hint="eastAsia"/>
                <w:sz w:val="24"/>
                <w:szCs w:val="24"/>
              </w:rPr>
              <w:t>硝化过程：足够的溶解氧以满足好氧条件（一般DO&gt;2mg/L)：适宜温度，一般20℃左右，低于10℃硝化作用难以进行；足够长的污泥龄；足够的碱度以满足合适的pH条件。</w:t>
            </w:r>
          </w:p>
          <w:p>
            <w:pPr>
              <w:spacing w:line="360" w:lineRule="auto"/>
              <w:ind w:firstLine="480" w:firstLineChars="200"/>
              <w:rPr>
                <w:sz w:val="24"/>
                <w:szCs w:val="24"/>
              </w:rPr>
            </w:pPr>
            <w:r>
              <w:rPr>
                <w:sz w:val="24"/>
                <w:szCs w:val="24"/>
              </w:rPr>
              <w:t xml:space="preserve"> </w:t>
            </w:r>
            <w:r>
              <w:rPr>
                <w:rFonts w:hint="eastAsia"/>
                <w:sz w:val="24"/>
                <w:szCs w:val="24"/>
              </w:rPr>
              <w:t>反硝化过程：硝酸盐的存在，缺氧条件（</w:t>
            </w:r>
            <w:r>
              <w:rPr>
                <w:sz w:val="24"/>
                <w:szCs w:val="24"/>
              </w:rPr>
              <w:t>DO</w:t>
            </w:r>
            <w:r>
              <w:rPr>
                <w:rFonts w:hint="eastAsia"/>
                <w:sz w:val="24"/>
                <w:szCs w:val="24"/>
              </w:rPr>
              <w:t>值应在</w:t>
            </w:r>
            <w:r>
              <w:rPr>
                <w:sz w:val="24"/>
                <w:szCs w:val="24"/>
              </w:rPr>
              <w:t>0.5mg/L</w:t>
            </w:r>
            <w:r>
              <w:rPr>
                <w:rFonts w:hint="eastAsia"/>
                <w:sz w:val="24"/>
                <w:szCs w:val="24"/>
              </w:rPr>
              <w:t>以下），充足的碳源，合适的pH条件等。</w:t>
            </w:r>
          </w:p>
          <w:p>
            <w:pPr>
              <w:spacing w:line="360" w:lineRule="auto"/>
              <w:ind w:firstLine="480" w:firstLineChars="200"/>
              <w:rPr>
                <w:sz w:val="24"/>
                <w:szCs w:val="24"/>
              </w:rPr>
            </w:pPr>
            <w:r>
              <w:rPr>
                <w:rFonts w:hint="eastAsia"/>
                <w:sz w:val="24"/>
                <w:szCs w:val="24"/>
              </w:rPr>
              <w:t>按照上述原理，可组成缺氧池和好氧池，即所谓的A/O系统。A/O系统设计中需要控制的主要参数为污泥龄、碳氮比等。</w:t>
            </w:r>
          </w:p>
          <w:p>
            <w:pPr>
              <w:spacing w:line="360" w:lineRule="auto"/>
              <w:ind w:firstLine="480" w:firstLineChars="200"/>
              <w:rPr>
                <w:sz w:val="24"/>
                <w:szCs w:val="24"/>
              </w:rPr>
            </w:pPr>
            <w:r>
              <w:rPr>
                <w:rFonts w:hint="eastAsia"/>
                <w:sz w:val="24"/>
                <w:szCs w:val="24"/>
              </w:rPr>
              <w:t>TP的去除：</w:t>
            </w:r>
          </w:p>
          <w:p>
            <w:pPr>
              <w:spacing w:line="360" w:lineRule="auto"/>
              <w:ind w:firstLine="480" w:firstLineChars="200"/>
              <w:rPr>
                <w:sz w:val="24"/>
                <w:szCs w:val="24"/>
              </w:rPr>
            </w:pPr>
            <w:r>
              <w:rPr>
                <w:rFonts w:hint="eastAsia"/>
                <w:sz w:val="24"/>
                <w:szCs w:val="24"/>
              </w:rPr>
              <w:t>污水除磷主要有生物除磷和化学除磷两大类。城市污水采用生物除磷为主，必要时辅以化学除磷作为补充，以确保出水磷浓度满足排放标准的要求，并尽可能地减少加药量，降低处理成本。</w:t>
            </w:r>
          </w:p>
          <w:p>
            <w:pPr>
              <w:spacing w:line="360" w:lineRule="auto"/>
              <w:ind w:firstLine="480" w:firstLineChars="200"/>
              <w:rPr>
                <w:sz w:val="24"/>
                <w:szCs w:val="24"/>
              </w:rPr>
            </w:pPr>
            <w:r>
              <w:rPr>
                <w:rFonts w:hint="eastAsia"/>
                <w:sz w:val="24"/>
                <w:szCs w:val="24"/>
              </w:rPr>
              <w:t>化学除磷—化学除磷主要是向污水中投加药剂，使药剂与水中溶解性磷酸盐形成不溶性磷酸盐沉淀物，然后通过固液分离使磷从污水中除去。固液分离可单独进行，也可在初沉池或和二沉池内进行。按工艺流程中化学药剂投加点的不同，磷酸盐沉淀工艺可分成前置沉淀、协同沉淀和后置沉淀三种类型。前置沉淀的药剂投加点在原污水进水处，形成的沉淀物与初沉污泥一起排除；协同沉淀的药剂投加点在曝气池进水或出水位置，形成的沉淀物与剩余污泥一起在二沉池排除；后置沉淀的药剂投加点是二级生物处理（二沉池）之后，形成的沉淀物通过另设的固液分离装置进行分离，包括澄清池或滤池。</w:t>
            </w:r>
          </w:p>
          <w:p>
            <w:pPr>
              <w:spacing w:line="360" w:lineRule="auto"/>
              <w:ind w:firstLine="480" w:firstLineChars="200"/>
              <w:rPr>
                <w:sz w:val="24"/>
                <w:szCs w:val="24"/>
              </w:rPr>
            </w:pPr>
            <w:r>
              <w:rPr>
                <w:rFonts w:hint="eastAsia"/>
                <w:sz w:val="24"/>
                <w:szCs w:val="24"/>
              </w:rPr>
              <w:t>化学除磷的主要药剂有石灰、铁盐和铝盐。</w:t>
            </w:r>
          </w:p>
          <w:p>
            <w:pPr>
              <w:spacing w:line="360" w:lineRule="auto"/>
              <w:ind w:firstLine="480" w:firstLineChars="200"/>
              <w:rPr>
                <w:sz w:val="24"/>
                <w:szCs w:val="24"/>
              </w:rPr>
            </w:pPr>
            <w:r>
              <w:rPr>
                <w:rFonts w:hint="eastAsia"/>
                <w:sz w:val="24"/>
                <w:szCs w:val="24"/>
              </w:rPr>
              <w:t>化学除磷的优点是工艺简单，除加药设备外不需要增加其它设施，因此特别适用于旧厂改造。其缺点是药剂消耗量大，剩余污泥量增加，浓度降低，体积增大，使污泥处理的难度增加，同时还要消耗水中碱度，影响氨氮硝化。因此，在二级生物处理工艺中，当生物除磷达不到要求时，才考虑以化学法辅助除磷。</w:t>
            </w:r>
          </w:p>
          <w:p>
            <w:pPr>
              <w:spacing w:line="360" w:lineRule="auto"/>
              <w:ind w:firstLine="480" w:firstLineChars="200"/>
              <w:rPr>
                <w:sz w:val="24"/>
                <w:szCs w:val="24"/>
              </w:rPr>
            </w:pPr>
            <w:r>
              <w:rPr>
                <w:rFonts w:hint="eastAsia"/>
                <w:sz w:val="24"/>
                <w:szCs w:val="24"/>
              </w:rPr>
              <w:t>生物除磷—生物除磷的原理是利用聚磷菌，在厌氧条件下释磷，吸收有机物，在好氧条件下超量吸收磷，通过排放剩余污泥，以去除污水中的磷。聚磷菌的特点是既能贮存磷酸盐，又能贮存碳源（以聚β羟丁酸形式贮存，即PHB形式贮存)。在厌氧条件下，进水中有机物与细菌体内磷酸盐作用，分解菌体贮存的磷酸盐，提供能量，合成ATP，并释放磷；在好氧条件下，利用体内的ATP，吸收液相中的磷，形成磷酸盐贮存于细胞内。所谓的生物除磷仅指液相中的磷酸盐转移到细胞中。剩余污泥的含磷量高，可达3%～7%，而一般活性污泥含磷量仅为1.5%左右。影响生物除磷的主要因素是溶解氧，及恰当的P/COD</w:t>
            </w:r>
            <w:r>
              <w:rPr>
                <w:rFonts w:hint="eastAsia"/>
                <w:sz w:val="24"/>
                <w:szCs w:val="24"/>
                <w:vertAlign w:val="subscript"/>
              </w:rPr>
              <w:t>Cr</w:t>
            </w:r>
            <w:r>
              <w:rPr>
                <w:rFonts w:hint="eastAsia"/>
                <w:sz w:val="24"/>
                <w:szCs w:val="24"/>
              </w:rPr>
              <w:t xml:space="preserve"> 比值；同时，希望含磷污泥尽快排出系统，即污泥泥龄要短，否则，污泥中的磷又将释放到液相中。要达到除磷要求，进水易快速生物降解的COD</w:t>
            </w:r>
            <w:r>
              <w:rPr>
                <w:rFonts w:hint="eastAsia"/>
                <w:sz w:val="24"/>
                <w:szCs w:val="24"/>
                <w:vertAlign w:val="subscript"/>
              </w:rPr>
              <w:t>Cr</w:t>
            </w:r>
            <w:r>
              <w:rPr>
                <w:rFonts w:hint="eastAsia"/>
                <w:sz w:val="24"/>
                <w:szCs w:val="24"/>
              </w:rPr>
              <w:t xml:space="preserve"> 浓度，一般不得小于50mg/L（此值一般为进水COD</w:t>
            </w:r>
            <w:r>
              <w:rPr>
                <w:rFonts w:hint="eastAsia"/>
                <w:sz w:val="24"/>
                <w:szCs w:val="24"/>
                <w:vertAlign w:val="subscript"/>
              </w:rPr>
              <w:t>Cr</w:t>
            </w:r>
            <w:r>
              <w:rPr>
                <w:rFonts w:hint="eastAsia"/>
                <w:sz w:val="24"/>
                <w:szCs w:val="24"/>
              </w:rPr>
              <w:t xml:space="preserve"> 的1/4～1/3），因此进水COD</w:t>
            </w:r>
            <w:r>
              <w:rPr>
                <w:rFonts w:hint="eastAsia"/>
                <w:sz w:val="24"/>
                <w:szCs w:val="24"/>
                <w:vertAlign w:val="subscript"/>
              </w:rPr>
              <w:t>Cr</w:t>
            </w:r>
            <w:r>
              <w:rPr>
                <w:rFonts w:hint="eastAsia"/>
                <w:sz w:val="24"/>
                <w:szCs w:val="24"/>
              </w:rPr>
              <w:t>低于150mg/L时，难以达到除磷要求；在厌氧区，聚磷菌分解细胞内的磷酸盐提供能量，吸收有机物合成PHB。因此厌氧释磷的前提条件是进水中要有充足的易快速降解的有机物。一般认为COD</w:t>
            </w:r>
            <w:r>
              <w:rPr>
                <w:rFonts w:hint="eastAsia"/>
                <w:sz w:val="24"/>
                <w:szCs w:val="24"/>
                <w:vertAlign w:val="subscript"/>
              </w:rPr>
              <w:t xml:space="preserve">Cr </w:t>
            </w:r>
            <w:r>
              <w:rPr>
                <w:rFonts w:hint="eastAsia"/>
                <w:sz w:val="24"/>
                <w:szCs w:val="24"/>
              </w:rPr>
              <w:t>/P的比值应大于40，方能达到生物除磷要求。</w:t>
            </w:r>
          </w:p>
          <w:p>
            <w:pPr>
              <w:spacing w:line="360" w:lineRule="auto"/>
              <w:ind w:firstLine="480" w:firstLineChars="200"/>
              <w:rPr>
                <w:sz w:val="24"/>
                <w:szCs w:val="24"/>
              </w:rPr>
            </w:pPr>
            <w:r>
              <w:rPr>
                <w:rFonts w:hint="eastAsia"/>
                <w:sz w:val="24"/>
                <w:szCs w:val="24"/>
              </w:rPr>
              <w:t>根据本项目进水含磷量和出水含磷量要求，出水含磷量小于0.5mg/L，单纯采用生物除磷工艺不能满足除磷要求时，可采用化学除磷作为生物除磷的补充，来保证出水含磷量达标。</w:t>
            </w:r>
          </w:p>
          <w:p>
            <w:pPr>
              <w:spacing w:line="360" w:lineRule="auto"/>
              <w:ind w:firstLine="480" w:firstLineChars="200"/>
              <w:rPr>
                <w:sz w:val="24"/>
                <w:szCs w:val="24"/>
              </w:rPr>
            </w:pPr>
            <w:r>
              <w:rPr>
                <w:rFonts w:hint="eastAsia"/>
                <w:sz w:val="24"/>
                <w:szCs w:val="24"/>
              </w:rPr>
              <w:t>b、污水站处理工艺比选</w:t>
            </w:r>
          </w:p>
          <w:p>
            <w:pPr>
              <w:spacing w:line="360" w:lineRule="auto"/>
              <w:ind w:firstLine="480" w:firstLineChars="200"/>
              <w:rPr>
                <w:sz w:val="24"/>
                <w:szCs w:val="24"/>
              </w:rPr>
            </w:pPr>
            <w:r>
              <w:rPr>
                <w:rFonts w:hint="eastAsia"/>
                <w:sz w:val="24"/>
                <w:szCs w:val="24"/>
              </w:rPr>
              <w:t>①</w:t>
            </w:r>
            <w:r>
              <w:rPr>
                <w:sz w:val="24"/>
                <w:szCs w:val="24"/>
              </w:rPr>
              <w:t>预处理工艺选择</w:t>
            </w:r>
          </w:p>
          <w:p>
            <w:pPr>
              <w:spacing w:line="360" w:lineRule="auto"/>
              <w:ind w:firstLine="480" w:firstLineChars="200"/>
              <w:rPr>
                <w:sz w:val="24"/>
                <w:szCs w:val="24"/>
              </w:rPr>
            </w:pPr>
            <w:r>
              <w:rPr>
                <w:sz w:val="24"/>
                <w:szCs w:val="24"/>
              </w:rPr>
              <w:t>污水处理工艺的最终确定应根据污水进出水水质、处理程度的要求、用地面积、工程规模、地区特殊特点（如冬季气温低等）等多因素综合考虑，适宜的污水处理工艺不仅可以降低工程投资，还有利于污水处理站的运行管理以及减少污水处理站的经营费用，保证最终出水水质。</w:t>
            </w:r>
          </w:p>
          <w:p>
            <w:pPr>
              <w:spacing w:line="360" w:lineRule="auto"/>
              <w:ind w:firstLine="480" w:firstLineChars="200"/>
              <w:rPr>
                <w:sz w:val="24"/>
                <w:szCs w:val="24"/>
              </w:rPr>
            </w:pPr>
            <w:r>
              <w:rPr>
                <w:sz w:val="24"/>
                <w:szCs w:val="24"/>
              </w:rPr>
              <w:t>本工程出水水质要求达到《城镇污水处理站污染物排放标准》（GB18918-2002）中的一级A排放标准，根据国内外成熟工艺</w:t>
            </w:r>
            <w:r>
              <w:rPr>
                <w:rFonts w:hint="eastAsia"/>
                <w:sz w:val="24"/>
                <w:szCs w:val="24"/>
              </w:rPr>
              <w:t>和</w:t>
            </w:r>
            <w:r>
              <w:rPr>
                <w:sz w:val="24"/>
                <w:szCs w:val="24"/>
              </w:rPr>
              <w:t>类似工程经验，确</w:t>
            </w:r>
            <w:r>
              <w:rPr>
                <w:rFonts w:hint="eastAsia"/>
                <w:sz w:val="24"/>
                <w:szCs w:val="24"/>
              </w:rPr>
              <w:t>定污水处理站的污水处理工艺流程为预处理段、二级生物处理段、三级处理段，预处理拟采用“格栅、提升+ 调节池”。</w:t>
            </w:r>
          </w:p>
          <w:p>
            <w:pPr>
              <w:spacing w:line="360" w:lineRule="auto"/>
              <w:ind w:firstLine="480" w:firstLineChars="200"/>
              <w:rPr>
                <w:sz w:val="24"/>
                <w:szCs w:val="24"/>
              </w:rPr>
            </w:pPr>
            <w:r>
              <w:rPr>
                <w:rFonts w:hint="eastAsia"/>
                <w:sz w:val="24"/>
                <w:szCs w:val="24"/>
              </w:rPr>
              <w:t>②生化处理工艺选择</w:t>
            </w:r>
          </w:p>
          <w:p>
            <w:pPr>
              <w:spacing w:line="360" w:lineRule="auto"/>
              <w:ind w:firstLine="480" w:firstLineChars="200"/>
              <w:rPr>
                <w:sz w:val="24"/>
                <w:szCs w:val="24"/>
              </w:rPr>
            </w:pPr>
            <w:r>
              <w:rPr>
                <w:rFonts w:hint="eastAsia"/>
                <w:sz w:val="24"/>
                <w:szCs w:val="24"/>
              </w:rPr>
              <w:t>下面主要对本工程污水处理站的生物处理工艺进行比选。</w:t>
            </w:r>
          </w:p>
          <w:p>
            <w:pPr>
              <w:spacing w:line="360" w:lineRule="auto"/>
              <w:ind w:firstLine="480" w:firstLineChars="200"/>
              <w:rPr>
                <w:sz w:val="24"/>
                <w:szCs w:val="24"/>
              </w:rPr>
            </w:pPr>
            <w:r>
              <w:rPr>
                <w:rFonts w:hint="eastAsia"/>
                <w:sz w:val="24"/>
                <w:szCs w:val="24"/>
              </w:rPr>
              <w:t>目前村镇污水处理站常用的污水生物处理工艺有：A</w:t>
            </w:r>
            <w:r>
              <w:rPr>
                <w:rFonts w:hint="eastAsia"/>
                <w:sz w:val="24"/>
                <w:szCs w:val="24"/>
                <w:vertAlign w:val="superscript"/>
              </w:rPr>
              <w:t>2</w:t>
            </w:r>
            <w:r>
              <w:rPr>
                <w:rFonts w:hint="eastAsia"/>
                <w:sz w:val="24"/>
                <w:szCs w:val="24"/>
              </w:rPr>
              <w:t>O、SBR及其改良工艺（CASS 等）、多级生物接触氧化法等技术。这几种工艺均有其适用性及优缺点。</w:t>
            </w:r>
          </w:p>
          <w:p>
            <w:pPr>
              <w:spacing w:line="360" w:lineRule="auto"/>
              <w:ind w:firstLine="480" w:firstLineChars="200"/>
              <w:rPr>
                <w:sz w:val="24"/>
                <w:szCs w:val="24"/>
              </w:rPr>
            </w:pPr>
            <w:r>
              <w:rPr>
                <w:rFonts w:hint="eastAsia"/>
                <w:sz w:val="24"/>
                <w:szCs w:val="24"/>
              </w:rPr>
              <w:t>A</w:t>
            </w:r>
            <w:r>
              <w:rPr>
                <w:rFonts w:hint="eastAsia"/>
                <w:sz w:val="24"/>
                <w:szCs w:val="24"/>
                <w:vertAlign w:val="superscript"/>
              </w:rPr>
              <w:t>2</w:t>
            </w:r>
            <w:r>
              <w:rPr>
                <w:rFonts w:hint="eastAsia"/>
                <w:sz w:val="24"/>
                <w:szCs w:val="24"/>
              </w:rPr>
              <w:t>O 工艺：</w:t>
            </w:r>
          </w:p>
          <w:p>
            <w:pPr>
              <w:spacing w:line="360" w:lineRule="auto"/>
              <w:ind w:firstLine="480" w:firstLineChars="200"/>
              <w:rPr>
                <w:sz w:val="24"/>
                <w:szCs w:val="24"/>
              </w:rPr>
            </w:pPr>
            <w:r>
              <w:rPr>
                <w:rFonts w:hint="eastAsia"/>
                <w:sz w:val="24"/>
                <w:szCs w:val="24"/>
              </w:rPr>
              <w:t>A</w:t>
            </w:r>
            <w:r>
              <w:rPr>
                <w:rFonts w:hint="eastAsia"/>
                <w:sz w:val="24"/>
                <w:szCs w:val="24"/>
                <w:vertAlign w:val="superscript"/>
              </w:rPr>
              <w:t>2</w:t>
            </w:r>
            <w:r>
              <w:rPr>
                <w:rFonts w:hint="eastAsia"/>
                <w:sz w:val="24"/>
                <w:szCs w:val="24"/>
              </w:rPr>
              <w:t>O 工艺，是英文 Anaerobic-Anoxic-Oxic 第一个字母的简称。按实际意义来说，本工艺称为厌氧-缺氧-好氧法更为确切。</w:t>
            </w:r>
          </w:p>
          <w:p>
            <w:pPr>
              <w:spacing w:line="360" w:lineRule="auto"/>
              <w:ind w:firstLine="480" w:firstLineChars="200"/>
              <w:rPr>
                <w:sz w:val="24"/>
                <w:szCs w:val="24"/>
              </w:rPr>
            </w:pPr>
            <w:r>
              <w:rPr>
                <w:rFonts w:hint="eastAsia"/>
                <w:sz w:val="24"/>
                <w:szCs w:val="24"/>
              </w:rPr>
              <w:t>A</w:t>
            </w:r>
            <w:r>
              <w:rPr>
                <w:rFonts w:hint="eastAsia"/>
                <w:sz w:val="24"/>
                <w:szCs w:val="24"/>
                <w:vertAlign w:val="superscript"/>
              </w:rPr>
              <w:t>2</w:t>
            </w:r>
            <w:r>
              <w:rPr>
                <w:rFonts w:hint="eastAsia"/>
                <w:sz w:val="24"/>
                <w:szCs w:val="24"/>
              </w:rPr>
              <w:t>O法的脱氮除磷机制由两部分组成：一是除磷，污水中的磷在厌氧状态下(DO&lt;0.3mg/L)，释放出聚磷菌，在好氧状况下又将其更多吸收，以剩余污泥的形式排出系统。二是脱氮，缺氧段要控制 DO&lt;0.5 mg/L，由于兼氧脱氮菌的作用，利用水中 BOD 作为氢供给体(有机碳源)，将来自好氧池混合液中的硝酸盐及亚硝酸盐还原成氮气逸入大气，达到脱氮的目的。</w:t>
            </w:r>
          </w:p>
          <w:p>
            <w:pPr>
              <w:spacing w:line="360" w:lineRule="auto"/>
              <w:ind w:firstLine="480" w:firstLineChars="200"/>
              <w:rPr>
                <w:sz w:val="24"/>
                <w:szCs w:val="24"/>
              </w:rPr>
            </w:pPr>
            <w:r>
              <w:rPr>
                <w:rFonts w:hint="eastAsia"/>
                <w:sz w:val="24"/>
                <w:szCs w:val="24"/>
              </w:rPr>
              <w:t>A</w:t>
            </w:r>
            <w:r>
              <w:rPr>
                <w:rFonts w:hint="eastAsia"/>
                <w:sz w:val="24"/>
                <w:szCs w:val="24"/>
                <w:vertAlign w:val="superscript"/>
              </w:rPr>
              <w:t>2</w:t>
            </w:r>
            <w:r>
              <w:rPr>
                <w:rFonts w:hint="eastAsia"/>
                <w:sz w:val="24"/>
                <w:szCs w:val="24"/>
              </w:rPr>
              <w:t>O工艺的优点：</w:t>
            </w:r>
          </w:p>
          <w:p>
            <w:pPr>
              <w:spacing w:line="360" w:lineRule="auto"/>
              <w:ind w:firstLine="480" w:firstLineChars="200"/>
              <w:rPr>
                <w:sz w:val="24"/>
                <w:szCs w:val="24"/>
              </w:rPr>
            </w:pPr>
            <w:r>
              <w:rPr>
                <w:rFonts w:hint="eastAsia"/>
                <w:sz w:val="24"/>
                <w:szCs w:val="24"/>
              </w:rPr>
              <w:t>本工艺污染物去除效率高，运行稳定，有较好的耐冲击负荷；在厌氧（缺氧）、好氧交替运行条件下，丝状菌不能大量增殖，不易发生污泥丝状膨胀，SVI值一般小于 100；污泥含磷高，具有较高肥效。</w:t>
            </w:r>
          </w:p>
          <w:p>
            <w:pPr>
              <w:spacing w:line="360" w:lineRule="auto"/>
              <w:ind w:firstLine="480" w:firstLineChars="200"/>
              <w:rPr>
                <w:sz w:val="24"/>
                <w:szCs w:val="24"/>
              </w:rPr>
            </w:pPr>
            <w:r>
              <w:rPr>
                <w:rFonts w:hint="eastAsia"/>
                <w:sz w:val="24"/>
                <w:szCs w:val="24"/>
              </w:rPr>
              <w:t xml:space="preserve">A </w:t>
            </w:r>
            <w:r>
              <w:rPr>
                <w:rFonts w:hint="eastAsia"/>
                <w:sz w:val="24"/>
                <w:szCs w:val="24"/>
                <w:vertAlign w:val="superscript"/>
              </w:rPr>
              <w:t xml:space="preserve">2 </w:t>
            </w:r>
            <w:r>
              <w:rPr>
                <w:rFonts w:hint="eastAsia"/>
                <w:sz w:val="24"/>
                <w:szCs w:val="24"/>
              </w:rPr>
              <w:t>O 工艺的缺点：</w:t>
            </w:r>
          </w:p>
          <w:p>
            <w:pPr>
              <w:spacing w:line="360" w:lineRule="auto"/>
              <w:ind w:firstLine="480" w:firstLineChars="200"/>
              <w:rPr>
                <w:sz w:val="24"/>
                <w:szCs w:val="24"/>
              </w:rPr>
            </w:pPr>
            <w:r>
              <w:rPr>
                <w:rFonts w:hint="eastAsia"/>
                <w:sz w:val="24"/>
                <w:szCs w:val="24"/>
              </w:rPr>
              <w:t>由于工艺中有曝气与污泥内回流过程，能耗较高，用于中小型污水厂费用偏高；除磷效果难再提高，污泥增长有一定限度，不易提高，特别是P/BOD值高时更是如此；脱氮效果受混合液回流比大小的影响，除磷效果则受回流污泥中夹带DO和硝酸态氧的影响，因而脱氮除磷效率不可能很高；</w:t>
            </w:r>
          </w:p>
          <w:p>
            <w:pPr>
              <w:spacing w:line="360" w:lineRule="auto"/>
              <w:ind w:firstLine="480" w:firstLineChars="200"/>
              <w:rPr>
                <w:sz w:val="24"/>
                <w:szCs w:val="24"/>
              </w:rPr>
            </w:pPr>
            <w:r>
              <w:rPr>
                <w:rFonts w:hint="eastAsia"/>
                <w:sz w:val="24"/>
                <w:szCs w:val="24"/>
              </w:rPr>
              <w:t>A</w:t>
            </w:r>
            <w:r>
              <w:rPr>
                <w:rFonts w:hint="eastAsia"/>
                <w:sz w:val="24"/>
                <w:szCs w:val="24"/>
                <w:vertAlign w:val="superscript"/>
              </w:rPr>
              <w:t xml:space="preserve">2 </w:t>
            </w:r>
            <w:r>
              <w:rPr>
                <w:rFonts w:hint="eastAsia"/>
                <w:sz w:val="24"/>
                <w:szCs w:val="24"/>
              </w:rPr>
              <w:t>O工艺适用范围：</w:t>
            </w:r>
          </w:p>
          <w:p>
            <w:pPr>
              <w:spacing w:line="360" w:lineRule="auto"/>
              <w:ind w:firstLine="480" w:firstLineChars="200"/>
              <w:rPr>
                <w:sz w:val="24"/>
                <w:szCs w:val="24"/>
              </w:rPr>
            </w:pPr>
            <w:r>
              <w:rPr>
                <w:rFonts w:hint="eastAsia"/>
                <w:sz w:val="24"/>
                <w:szCs w:val="24"/>
              </w:rPr>
              <w:t>适用于大型污水处理厂，小规模的乡镇污水处理应用不多。</w:t>
            </w:r>
          </w:p>
          <w:p>
            <w:pPr>
              <w:spacing w:line="360" w:lineRule="auto"/>
              <w:ind w:firstLine="480" w:firstLineChars="200"/>
              <w:rPr>
                <w:sz w:val="24"/>
                <w:szCs w:val="24"/>
              </w:rPr>
            </w:pPr>
            <w:r>
              <w:rPr>
                <w:rFonts w:hint="eastAsia"/>
                <w:sz w:val="24"/>
                <w:szCs w:val="24"/>
              </w:rPr>
              <w:t>SBR工艺：</w:t>
            </w:r>
          </w:p>
          <w:p>
            <w:pPr>
              <w:spacing w:line="360" w:lineRule="auto"/>
              <w:ind w:firstLine="480" w:firstLineChars="200"/>
              <w:rPr>
                <w:sz w:val="24"/>
                <w:szCs w:val="24"/>
              </w:rPr>
            </w:pPr>
            <w:r>
              <w:rPr>
                <w:rFonts w:hint="eastAsia"/>
                <w:sz w:val="24"/>
                <w:szCs w:val="24"/>
              </w:rPr>
              <w:t>SBR工艺也叫序批式活性污泥法，它最根本的特点是处理工序不是连续的，而是间歇的、周期性的，污水一批一批地顺序经过进水、曝气、沉淀、排水，然后又周而复始。最初的 SBR 工艺进水、曝气、沉淀、排水、排泥都是间歇的，后来出现各种改型，有的将进水改为连续，有的将部分曝气改为连续。有的将出水改为连续，但只要还保留着序批处理周期运行的特点，就应属于SBR工艺的范围。</w:t>
            </w:r>
          </w:p>
          <w:p>
            <w:pPr>
              <w:spacing w:line="360" w:lineRule="auto"/>
              <w:ind w:firstLine="480" w:firstLineChars="200"/>
              <w:rPr>
                <w:sz w:val="24"/>
                <w:szCs w:val="24"/>
              </w:rPr>
            </w:pPr>
            <w:r>
              <w:rPr>
                <w:rFonts w:hint="eastAsia"/>
                <w:sz w:val="24"/>
                <w:szCs w:val="24"/>
              </w:rPr>
              <w:t>一般说来，间歇处理不如连续处理简单、方便，SBR工艺以这种牺牲换来更大的好处；只需用一个反应池就能完成全部反应、沉淀工序，省去了连续工艺中的二沉池和回流污泥设施，使处理构筑物大大简化，从而节省占地，降低基建投资。正是由于这一优点，SBR 工艺得以迅速推广，目前已在欧、美、澳、日等国得到大力发展，成为传统活性污泥法的革新工艺，在国内也日益受到业内人士的青睐。</w:t>
            </w:r>
          </w:p>
          <w:p>
            <w:pPr>
              <w:spacing w:line="360" w:lineRule="auto"/>
              <w:ind w:firstLine="480" w:firstLineChars="200"/>
              <w:rPr>
                <w:sz w:val="24"/>
                <w:szCs w:val="24"/>
              </w:rPr>
            </w:pPr>
            <w:r>
              <w:rPr>
                <w:rFonts w:hint="eastAsia"/>
                <w:sz w:val="24"/>
                <w:szCs w:val="24"/>
              </w:rPr>
              <w:t>SBR工艺运行图：</w:t>
            </w:r>
          </w:p>
          <w:p>
            <w:pPr>
              <w:spacing w:line="360" w:lineRule="auto"/>
              <w:ind w:firstLine="480" w:firstLineChars="200"/>
              <w:jc w:val="center"/>
              <w:rPr>
                <w:b/>
                <w:szCs w:val="21"/>
              </w:rPr>
            </w:pPr>
            <w:r>
              <w:rPr>
                <w:rFonts w:hint="eastAsia"/>
                <w:sz w:val="24"/>
                <w:szCs w:val="24"/>
              </w:rPr>
              <w:drawing>
                <wp:anchor distT="0" distB="0" distL="114300" distR="114300" simplePos="0" relativeHeight="251683840" behindDoc="0" locked="0" layoutInCell="1" allowOverlap="1">
                  <wp:simplePos x="0" y="0"/>
                  <wp:positionH relativeFrom="column">
                    <wp:posOffset>593725</wp:posOffset>
                  </wp:positionH>
                  <wp:positionV relativeFrom="paragraph">
                    <wp:posOffset>35560</wp:posOffset>
                  </wp:positionV>
                  <wp:extent cx="3979545" cy="2757805"/>
                  <wp:effectExtent l="19050" t="0" r="1905" b="0"/>
                  <wp:wrapTopAndBottom/>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noChangeArrowheads="1"/>
                          </pic:cNvPicPr>
                        </pic:nvPicPr>
                        <pic:blipFill>
                          <a:blip r:embed="rId20" cstate="print"/>
                          <a:srcRect/>
                          <a:stretch>
                            <a:fillRect/>
                          </a:stretch>
                        </pic:blipFill>
                        <pic:spPr>
                          <a:xfrm>
                            <a:off x="0" y="0"/>
                            <a:ext cx="3979545" cy="2757805"/>
                          </a:xfrm>
                          <a:prstGeom prst="rect">
                            <a:avLst/>
                          </a:prstGeom>
                          <a:noFill/>
                          <a:ln w="9525">
                            <a:noFill/>
                            <a:miter lim="800000"/>
                            <a:headEnd/>
                            <a:tailEnd/>
                          </a:ln>
                        </pic:spPr>
                      </pic:pic>
                    </a:graphicData>
                  </a:graphic>
                </wp:anchor>
              </w:drawing>
            </w:r>
            <w:r>
              <w:rPr>
                <w:rFonts w:hint="eastAsia"/>
                <w:b/>
                <w:szCs w:val="21"/>
              </w:rPr>
              <w:t>图15   传统SBR工艺原理图</w:t>
            </w:r>
          </w:p>
          <w:p>
            <w:pPr>
              <w:spacing w:line="360" w:lineRule="auto"/>
              <w:ind w:firstLine="480" w:firstLineChars="200"/>
              <w:rPr>
                <w:sz w:val="24"/>
                <w:szCs w:val="24"/>
              </w:rPr>
            </w:pPr>
            <w:r>
              <w:rPr>
                <w:rFonts w:hint="eastAsia"/>
                <w:sz w:val="24"/>
                <w:szCs w:val="24"/>
              </w:rPr>
              <w:t>SBR工艺的主要优点：</w:t>
            </w:r>
          </w:p>
          <w:p>
            <w:pPr>
              <w:spacing w:line="360" w:lineRule="auto"/>
              <w:ind w:firstLine="480" w:firstLineChars="200"/>
              <w:rPr>
                <w:sz w:val="24"/>
                <w:szCs w:val="24"/>
              </w:rPr>
            </w:pPr>
            <w:r>
              <w:rPr>
                <w:rFonts w:hint="eastAsia"/>
                <w:sz w:val="24"/>
                <w:szCs w:val="24"/>
              </w:rPr>
              <w:t>1）理想的推流过程使生化反应推动力增大，效率提高，池内厌氧、好氧处于交替状态，净化效果好；</w:t>
            </w:r>
          </w:p>
          <w:p>
            <w:pPr>
              <w:spacing w:line="360" w:lineRule="auto"/>
              <w:ind w:firstLine="480" w:firstLineChars="200"/>
              <w:rPr>
                <w:sz w:val="24"/>
                <w:szCs w:val="24"/>
              </w:rPr>
            </w:pPr>
            <w:r>
              <w:rPr>
                <w:rFonts w:hint="eastAsia"/>
                <w:sz w:val="24"/>
                <w:szCs w:val="24"/>
              </w:rPr>
              <w:t>2）耐冲击负荷，池内有滞留的处理水，对污水有稀释、缓冲作用，有效抵抗水量和有机污物的冲击；</w:t>
            </w:r>
          </w:p>
          <w:p>
            <w:pPr>
              <w:spacing w:line="360" w:lineRule="auto"/>
              <w:ind w:firstLine="480" w:firstLineChars="200"/>
              <w:rPr>
                <w:sz w:val="24"/>
                <w:szCs w:val="24"/>
              </w:rPr>
            </w:pPr>
            <w:r>
              <w:rPr>
                <w:rFonts w:hint="eastAsia"/>
                <w:sz w:val="24"/>
                <w:szCs w:val="24"/>
              </w:rPr>
              <w:t>3）工艺过程中的各工序可根据水质、水量进行调整，运行灵活；</w:t>
            </w:r>
          </w:p>
          <w:p>
            <w:pPr>
              <w:spacing w:line="360" w:lineRule="auto"/>
              <w:ind w:firstLine="480" w:firstLineChars="200"/>
              <w:rPr>
                <w:sz w:val="24"/>
                <w:szCs w:val="24"/>
              </w:rPr>
            </w:pPr>
            <w:r>
              <w:rPr>
                <w:rFonts w:hint="eastAsia"/>
                <w:sz w:val="24"/>
                <w:szCs w:val="24"/>
              </w:rPr>
              <w:t>4）处理设备少，构造简单，便于操作和维护管理；</w:t>
            </w:r>
          </w:p>
          <w:p>
            <w:pPr>
              <w:spacing w:line="360" w:lineRule="auto"/>
              <w:ind w:firstLine="480" w:firstLineChars="200"/>
              <w:rPr>
                <w:sz w:val="24"/>
                <w:szCs w:val="24"/>
              </w:rPr>
            </w:pPr>
            <w:r>
              <w:rPr>
                <w:rFonts w:hint="eastAsia"/>
                <w:sz w:val="24"/>
                <w:szCs w:val="24"/>
              </w:rPr>
              <w:t>5）反应池内存在DO、BOD</w:t>
            </w:r>
            <w:r>
              <w:rPr>
                <w:rFonts w:hint="eastAsia"/>
                <w:sz w:val="24"/>
                <w:szCs w:val="24"/>
                <w:vertAlign w:val="subscript"/>
              </w:rPr>
              <w:t>5</w:t>
            </w:r>
            <w:r>
              <w:rPr>
                <w:rFonts w:hint="eastAsia"/>
                <w:sz w:val="24"/>
                <w:szCs w:val="24"/>
              </w:rPr>
              <w:t xml:space="preserve"> 浓度梯度，有效控制活性污泥膨胀；</w:t>
            </w:r>
          </w:p>
          <w:p>
            <w:pPr>
              <w:spacing w:line="360" w:lineRule="auto"/>
              <w:ind w:firstLine="480" w:firstLineChars="200"/>
              <w:rPr>
                <w:sz w:val="24"/>
                <w:szCs w:val="24"/>
              </w:rPr>
            </w:pPr>
            <w:r>
              <w:rPr>
                <w:rFonts w:hint="eastAsia"/>
                <w:sz w:val="24"/>
                <w:szCs w:val="24"/>
              </w:rPr>
              <w:t>6）SBR系统本身也适合于组合式构造方法，利于污水处理厂的扩建和改造；</w:t>
            </w:r>
          </w:p>
          <w:p>
            <w:pPr>
              <w:spacing w:line="360" w:lineRule="auto"/>
              <w:ind w:firstLine="480" w:firstLineChars="200"/>
              <w:rPr>
                <w:sz w:val="24"/>
                <w:szCs w:val="24"/>
              </w:rPr>
            </w:pPr>
            <w:r>
              <w:rPr>
                <w:rFonts w:hint="eastAsia"/>
                <w:sz w:val="24"/>
                <w:szCs w:val="24"/>
              </w:rPr>
              <w:t>7）适当控制运行方式，实现好氧、缺氧、厌氧状态交替，具有良好的脱氮除磷效果；</w:t>
            </w:r>
          </w:p>
          <w:p>
            <w:pPr>
              <w:spacing w:line="360" w:lineRule="auto"/>
              <w:ind w:firstLine="480" w:firstLineChars="200"/>
              <w:rPr>
                <w:sz w:val="24"/>
                <w:szCs w:val="24"/>
              </w:rPr>
            </w:pPr>
            <w:r>
              <w:rPr>
                <w:rFonts w:hint="eastAsia"/>
                <w:sz w:val="24"/>
                <w:szCs w:val="24"/>
              </w:rPr>
              <w:t>8）工艺流程简单、造价低。主体设备只有一个序批式间歇反应器，无二沉池、污泥回流系统，布置紧凑、占地面积省。</w:t>
            </w:r>
          </w:p>
          <w:p>
            <w:pPr>
              <w:spacing w:line="360" w:lineRule="auto"/>
              <w:ind w:firstLine="480" w:firstLineChars="200"/>
              <w:rPr>
                <w:sz w:val="24"/>
                <w:szCs w:val="24"/>
              </w:rPr>
            </w:pPr>
            <w:r>
              <w:rPr>
                <w:sz w:val="24"/>
                <w:szCs w:val="24"/>
              </w:rPr>
              <w:t>SBR 工艺的主要缺点：</w:t>
            </w:r>
          </w:p>
          <w:p>
            <w:pPr>
              <w:spacing w:line="360" w:lineRule="auto"/>
              <w:ind w:firstLine="480" w:firstLineChars="200"/>
              <w:rPr>
                <w:sz w:val="24"/>
                <w:szCs w:val="24"/>
              </w:rPr>
            </w:pPr>
            <w:r>
              <w:rPr>
                <w:sz w:val="24"/>
                <w:szCs w:val="24"/>
              </w:rPr>
              <w:t>1）自动化控制要求高；</w:t>
            </w:r>
          </w:p>
          <w:p>
            <w:pPr>
              <w:spacing w:line="360" w:lineRule="auto"/>
              <w:ind w:firstLine="480" w:firstLineChars="200"/>
              <w:rPr>
                <w:sz w:val="24"/>
                <w:szCs w:val="24"/>
              </w:rPr>
            </w:pPr>
            <w:r>
              <w:rPr>
                <w:sz w:val="24"/>
                <w:szCs w:val="24"/>
              </w:rPr>
              <w:t>2）排水时间短（间歇排水时），并且排水时要求不搅动沉淀污泥层，因而需要专门的排水设备（滗水器），且对滗水器的要求很高；</w:t>
            </w:r>
          </w:p>
          <w:p>
            <w:pPr>
              <w:spacing w:line="360" w:lineRule="auto"/>
              <w:ind w:firstLine="480" w:firstLineChars="200"/>
              <w:rPr>
                <w:sz w:val="24"/>
                <w:szCs w:val="24"/>
              </w:rPr>
            </w:pPr>
            <w:r>
              <w:rPr>
                <w:sz w:val="24"/>
                <w:szCs w:val="24"/>
              </w:rPr>
              <w:t>3）后处理设备要求大：如消毒设备很大，接触池容积也很大，排水设施如排水管道也很大；</w:t>
            </w:r>
          </w:p>
          <w:p>
            <w:pPr>
              <w:spacing w:line="360" w:lineRule="auto"/>
              <w:ind w:firstLine="480" w:firstLineChars="200"/>
              <w:rPr>
                <w:sz w:val="24"/>
                <w:szCs w:val="24"/>
              </w:rPr>
            </w:pPr>
            <w:r>
              <w:rPr>
                <w:sz w:val="24"/>
                <w:szCs w:val="24"/>
              </w:rPr>
              <w:t>4）滗水深度一般为 1~2m，这部分水头损失被白白浪费，增加了总扬程；</w:t>
            </w:r>
          </w:p>
          <w:p>
            <w:pPr>
              <w:spacing w:line="360" w:lineRule="auto"/>
              <w:ind w:firstLine="480" w:firstLineChars="200"/>
              <w:rPr>
                <w:sz w:val="24"/>
                <w:szCs w:val="24"/>
              </w:rPr>
            </w:pPr>
            <w:r>
              <w:rPr>
                <w:sz w:val="24"/>
                <w:szCs w:val="24"/>
              </w:rPr>
              <w:t>5）由于不设初沉池，易产生浮渣，浮渣问题尚未妥善解决。</w:t>
            </w:r>
          </w:p>
          <w:p>
            <w:pPr>
              <w:spacing w:line="360" w:lineRule="auto"/>
              <w:ind w:firstLine="480" w:firstLineChars="200"/>
              <w:rPr>
                <w:sz w:val="24"/>
                <w:szCs w:val="24"/>
              </w:rPr>
            </w:pPr>
            <w:r>
              <w:rPr>
                <w:rFonts w:hint="eastAsia"/>
                <w:sz w:val="24"/>
                <w:szCs w:val="24"/>
              </w:rPr>
              <w:t>多级接触生物氧化工艺：</w:t>
            </w:r>
          </w:p>
          <w:p>
            <w:pPr>
              <w:spacing w:line="360" w:lineRule="auto"/>
              <w:ind w:firstLine="480" w:firstLineChars="200"/>
              <w:rPr>
                <w:sz w:val="24"/>
                <w:szCs w:val="24"/>
              </w:rPr>
            </w:pPr>
            <w:r>
              <w:rPr>
                <w:rFonts w:hint="eastAsia"/>
                <w:sz w:val="24"/>
                <w:szCs w:val="24"/>
              </w:rPr>
              <w:t>生物接触氧化工艺（Biological Contact Oxidation）是当今世界普遍使用的一种高效生物膜法污水处理技术，即在生物接触氧化池内装填一定数量的填料，污水与生物膜广泛接触，利用栖附在填料上的生物膜相和充分供应的氧气，通过微生物新陈代谢作用，将废水中的有机污染物氧化分解，达到净化目的。生物接触氧化法兼有活性污泥法和生物膜法的特点，池内的生物固体浓度（10-20g/L）高于活性污泥法和生物滤池，具有较高的容积负荷（可达2-3kgBOD</w:t>
            </w:r>
            <w:r>
              <w:rPr>
                <w:rFonts w:hint="eastAsia"/>
                <w:sz w:val="24"/>
                <w:szCs w:val="24"/>
                <w:vertAlign w:val="subscript"/>
              </w:rPr>
              <w:t xml:space="preserve">5 </w:t>
            </w:r>
            <w:r>
              <w:rPr>
                <w:rFonts w:hint="eastAsia"/>
                <w:sz w:val="24"/>
                <w:szCs w:val="24"/>
              </w:rPr>
              <w:t>/m</w:t>
            </w:r>
            <w:r>
              <w:rPr>
                <w:rFonts w:hint="eastAsia"/>
                <w:sz w:val="24"/>
                <w:szCs w:val="24"/>
                <w:vertAlign w:val="superscript"/>
              </w:rPr>
              <w:t>3</w:t>
            </w:r>
            <w:r>
              <w:rPr>
                <w:rFonts w:hint="eastAsia"/>
                <w:sz w:val="24"/>
                <w:szCs w:val="24"/>
              </w:rPr>
              <w:t>·d），因生物接触氧化工艺运行管理较活性污泥法简单，无污泥膨胀问题，对水量水质的波动有较强的适应能力，从而在中小型工业污水或生活污水处理方面得到了广泛应用。</w:t>
            </w:r>
          </w:p>
          <w:p>
            <w:pPr>
              <w:spacing w:line="360" w:lineRule="auto"/>
              <w:ind w:firstLine="480" w:firstLineChars="200"/>
              <w:rPr>
                <w:sz w:val="24"/>
                <w:szCs w:val="24"/>
              </w:rPr>
            </w:pPr>
            <w:r>
              <w:rPr>
                <w:rFonts w:hint="eastAsia"/>
                <w:sz w:val="24"/>
                <w:szCs w:val="24"/>
              </w:rPr>
              <w:t>地埋式多级生物接触氧化反应器是基于该工艺而生产的。本次介绍的“地理式一体化污水处理设备”，在充分发挥生物接触氧化法优点的情况下，从优化设备结构、优选悬浮型仿水草生物填料、添加优势菌种以强化微生物代谢功能、提高活性污泥凝聚沉淀性能入手，创新研制出“多级生物接触氧化反应器”，因其具有同步硝化反硝化功能，在降解有机污染物的同时实现了良好的脱氮除磷。每台“多级生物接触氧化反应器”采用3个（或3个以上）罐体串联而成，分为第1处理单元、第2处理单元（或第N处单元）和深度澄清单元。</w:t>
            </w:r>
          </w:p>
          <w:p>
            <w:pPr>
              <w:spacing w:line="360" w:lineRule="auto"/>
              <w:ind w:firstLine="480" w:firstLineChars="200"/>
              <w:rPr>
                <w:sz w:val="24"/>
                <w:szCs w:val="24"/>
              </w:rPr>
            </w:pPr>
            <w:r>
              <w:rPr>
                <w:rFonts w:hint="eastAsia"/>
                <w:sz w:val="24"/>
                <w:szCs w:val="24"/>
              </w:rPr>
              <w:t>第1处理单元由外罐体和内罐体构成，内罐体为生物接触氧化区（缺氧区），仿水草悬浮填料一端固定在罐体底部填料支架上面，另一端不固定，像水草一样悬浮在水中。第2处理单元由外罐体和内罐体构成，内罐体为生物接触氧化区（曝气区），仿水草悬浮填料一端固定在罐体底部填料支架上面，另一端不固定，像水草一样悬浮在水中罐体顶部风雨帽的下部安装旋涡式气泵，通过曝气主管将空气输送到底部曝气器，通过曝气给悬浮填料上的微生物供氧。内外罐之间的夹层为沉淀区，泥水分离后，沉淀下来的污泥自动回到曝气区参与生物氧化反应，经过第1处理单元沉淀区之后的水进入第2处理单元的曝气区，然后重复第1处理单元的净化过程。</w:t>
            </w:r>
          </w:p>
          <w:p>
            <w:pPr>
              <w:spacing w:line="360" w:lineRule="auto"/>
              <w:ind w:firstLine="480" w:firstLineChars="200"/>
              <w:rPr>
                <w:sz w:val="24"/>
                <w:szCs w:val="24"/>
              </w:rPr>
            </w:pPr>
            <w:r>
              <w:rPr>
                <w:rFonts w:hint="eastAsia"/>
                <w:sz w:val="24"/>
                <w:szCs w:val="24"/>
              </w:rPr>
              <w:t>经过第2处理单元（或第N处理单元）沉淀区之后的水进入深度澄清/消毒单元中心部的竖向导流管，竖向导流管兼作消毒剂投加槽，净水经过斜管沉淀器的进一步沉淀澄清，上清液再经过过滤和消毒处理，最终达标排放或者回用。图4为多级生物接触氧化工艺流程图。</w:t>
            </w:r>
          </w:p>
          <w:p>
            <w:pPr>
              <w:widowControl/>
              <w:jc w:val="center"/>
              <w:rPr>
                <w:rFonts w:ascii="宋体" w:hAnsi="宋体" w:cs="宋体"/>
                <w:kern w:val="0"/>
                <w:sz w:val="24"/>
                <w:szCs w:val="24"/>
              </w:rPr>
            </w:pPr>
            <w:r>
              <w:rPr>
                <w:rFonts w:ascii="宋体" w:hAnsi="宋体" w:cs="宋体"/>
                <w:kern w:val="0"/>
                <w:sz w:val="24"/>
                <w:szCs w:val="24"/>
              </w:rPr>
              <w:drawing>
                <wp:inline distT="0" distB="0" distL="0" distR="0">
                  <wp:extent cx="4102100" cy="2701925"/>
                  <wp:effectExtent l="19050" t="0" r="0" b="0"/>
                  <wp:docPr id="33" name="图片 33" descr="C:\Users\Administrator\AppData\Roaming\Tencent\Users\927667154\QQ\WinTemp\RichOle\9O)YU0US14D{I~TSO@R{J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AppData\Roaming\Tencent\Users\927667154\QQ\WinTemp\RichOle\9O)YU0US14D{I~TSO@R{J3X.png"/>
                          <pic:cNvPicPr>
                            <a:picLocks noChangeAspect="1" noChangeArrowheads="1"/>
                          </pic:cNvPicPr>
                        </pic:nvPicPr>
                        <pic:blipFill>
                          <a:blip r:embed="rId21"/>
                          <a:srcRect/>
                          <a:stretch>
                            <a:fillRect/>
                          </a:stretch>
                        </pic:blipFill>
                        <pic:spPr>
                          <a:xfrm>
                            <a:off x="0" y="0"/>
                            <a:ext cx="4102342" cy="2702267"/>
                          </a:xfrm>
                          <a:prstGeom prst="rect">
                            <a:avLst/>
                          </a:prstGeom>
                          <a:noFill/>
                          <a:ln w="9525">
                            <a:noFill/>
                            <a:miter lim="800000"/>
                            <a:headEnd/>
                            <a:tailEnd/>
                          </a:ln>
                        </pic:spPr>
                      </pic:pic>
                    </a:graphicData>
                  </a:graphic>
                </wp:inline>
              </w:drawing>
            </w:r>
          </w:p>
          <w:p>
            <w:pPr>
              <w:spacing w:line="360" w:lineRule="auto"/>
              <w:ind w:firstLine="422" w:firstLineChars="200"/>
              <w:jc w:val="center"/>
              <w:rPr>
                <w:b/>
                <w:szCs w:val="21"/>
              </w:rPr>
            </w:pPr>
            <w:r>
              <w:rPr>
                <w:rFonts w:hint="eastAsia"/>
                <w:b/>
                <w:szCs w:val="21"/>
              </w:rPr>
              <w:t>图16     SMART-PFBP多级生物接触氧化工艺流程图</w:t>
            </w:r>
          </w:p>
          <w:p>
            <w:pPr>
              <w:spacing w:line="360" w:lineRule="auto"/>
              <w:ind w:firstLine="480" w:firstLineChars="200"/>
              <w:rPr>
                <w:bCs/>
                <w:sz w:val="24"/>
                <w:szCs w:val="24"/>
              </w:rPr>
            </w:pPr>
            <w:r>
              <w:rPr>
                <w:rFonts w:hint="eastAsia"/>
                <w:bCs/>
                <w:sz w:val="24"/>
                <w:szCs w:val="24"/>
              </w:rPr>
              <w:t>地埋式多级生物接触氧化反应器优点：</w:t>
            </w:r>
          </w:p>
          <w:p>
            <w:pPr>
              <w:spacing w:line="360" w:lineRule="auto"/>
              <w:ind w:firstLine="480" w:firstLineChars="200"/>
              <w:rPr>
                <w:bCs/>
                <w:sz w:val="24"/>
                <w:szCs w:val="24"/>
              </w:rPr>
            </w:pPr>
            <w:r>
              <w:rPr>
                <w:rFonts w:hint="eastAsia"/>
                <w:bCs/>
                <w:sz w:val="24"/>
                <w:szCs w:val="24"/>
              </w:rPr>
              <w:t>1）</w:t>
            </w:r>
            <w:r>
              <w:rPr>
                <w:bCs/>
                <w:sz w:val="24"/>
                <w:szCs w:val="24"/>
              </w:rPr>
              <w:t xml:space="preserve"> </w:t>
            </w:r>
            <w:r>
              <w:rPr>
                <w:rFonts w:hint="eastAsia"/>
                <w:bCs/>
                <w:sz w:val="24"/>
                <w:szCs w:val="24"/>
              </w:rPr>
              <w:t>玻璃钢材质，永不腐蚀，寿命长；</w:t>
            </w:r>
          </w:p>
          <w:p>
            <w:pPr>
              <w:spacing w:line="360" w:lineRule="auto"/>
              <w:ind w:firstLine="480" w:firstLineChars="200"/>
              <w:rPr>
                <w:bCs/>
                <w:sz w:val="24"/>
                <w:szCs w:val="24"/>
              </w:rPr>
            </w:pPr>
            <w:r>
              <w:rPr>
                <w:rFonts w:hint="eastAsia"/>
                <w:bCs/>
                <w:sz w:val="24"/>
                <w:szCs w:val="24"/>
              </w:rPr>
              <w:t>2）仿水草生物填料性能优越，比表面积大，挂膜快，生物活性高，传质效率高；</w:t>
            </w:r>
          </w:p>
          <w:p>
            <w:pPr>
              <w:spacing w:line="360" w:lineRule="auto"/>
              <w:ind w:firstLine="480" w:firstLineChars="200"/>
              <w:rPr>
                <w:bCs/>
                <w:sz w:val="24"/>
                <w:szCs w:val="24"/>
              </w:rPr>
            </w:pPr>
            <w:r>
              <w:rPr>
                <w:rFonts w:hint="eastAsia"/>
                <w:bCs/>
                <w:sz w:val="24"/>
                <w:szCs w:val="24"/>
              </w:rPr>
              <w:t>3）设备结构简单，维护容易，性能稳定可靠；</w:t>
            </w:r>
          </w:p>
          <w:p>
            <w:pPr>
              <w:spacing w:line="360" w:lineRule="auto"/>
              <w:ind w:firstLine="480" w:firstLineChars="200"/>
              <w:rPr>
                <w:bCs/>
                <w:sz w:val="24"/>
                <w:szCs w:val="24"/>
              </w:rPr>
            </w:pPr>
            <w:r>
              <w:rPr>
                <w:rFonts w:hint="eastAsia"/>
                <w:bCs/>
                <w:sz w:val="24"/>
                <w:szCs w:val="24"/>
              </w:rPr>
              <w:t>4）运行费用低；</w:t>
            </w:r>
          </w:p>
          <w:p>
            <w:pPr>
              <w:spacing w:line="360" w:lineRule="auto"/>
              <w:ind w:firstLine="480" w:firstLineChars="200"/>
              <w:rPr>
                <w:bCs/>
                <w:sz w:val="24"/>
                <w:szCs w:val="24"/>
              </w:rPr>
            </w:pPr>
            <w:r>
              <w:rPr>
                <w:rFonts w:hint="eastAsia"/>
                <w:bCs/>
                <w:sz w:val="24"/>
                <w:szCs w:val="24"/>
              </w:rPr>
              <w:t>5）全自动控制；</w:t>
            </w:r>
          </w:p>
          <w:p>
            <w:pPr>
              <w:spacing w:line="360" w:lineRule="auto"/>
              <w:ind w:firstLine="480" w:firstLineChars="200"/>
              <w:rPr>
                <w:bCs/>
                <w:sz w:val="24"/>
                <w:szCs w:val="24"/>
              </w:rPr>
            </w:pPr>
            <w:r>
              <w:rPr>
                <w:rFonts w:hint="eastAsia"/>
                <w:bCs/>
                <w:sz w:val="24"/>
                <w:szCs w:val="24"/>
              </w:rPr>
              <w:t>6）生产及安装时间短，基建费用低；</w:t>
            </w:r>
          </w:p>
          <w:p>
            <w:pPr>
              <w:spacing w:line="360" w:lineRule="auto"/>
              <w:ind w:firstLine="480" w:firstLineChars="200"/>
              <w:rPr>
                <w:bCs/>
                <w:sz w:val="24"/>
                <w:szCs w:val="24"/>
              </w:rPr>
            </w:pPr>
            <w:r>
              <w:rPr>
                <w:rFonts w:hint="eastAsia"/>
                <w:bCs/>
                <w:sz w:val="24"/>
                <w:szCs w:val="24"/>
              </w:rPr>
              <w:t>7）多级处理，处理效果好；</w:t>
            </w:r>
          </w:p>
          <w:p>
            <w:pPr>
              <w:spacing w:line="360" w:lineRule="auto"/>
              <w:ind w:firstLine="480" w:firstLineChars="200"/>
              <w:rPr>
                <w:bCs/>
                <w:sz w:val="24"/>
                <w:szCs w:val="24"/>
              </w:rPr>
            </w:pPr>
            <w:r>
              <w:rPr>
                <w:rFonts w:hint="eastAsia"/>
                <w:bCs/>
                <w:sz w:val="24"/>
                <w:szCs w:val="24"/>
              </w:rPr>
              <w:t>8）污泥产量低，无污泥膨胀，运行稳定。</w:t>
            </w:r>
          </w:p>
          <w:p>
            <w:pPr>
              <w:spacing w:line="360" w:lineRule="auto"/>
              <w:ind w:firstLine="482" w:firstLineChars="200"/>
              <w:rPr>
                <w:b/>
                <w:bCs/>
                <w:sz w:val="24"/>
                <w:szCs w:val="24"/>
              </w:rPr>
            </w:pPr>
            <w:r>
              <w:rPr>
                <w:rFonts w:hint="eastAsia"/>
                <w:b/>
                <w:bCs/>
                <w:sz w:val="24"/>
                <w:szCs w:val="24"/>
              </w:rPr>
              <w:t>生物处理工艺综合比较：</w:t>
            </w:r>
          </w:p>
          <w:p>
            <w:pPr>
              <w:spacing w:line="360" w:lineRule="auto"/>
              <w:ind w:firstLine="480" w:firstLineChars="200"/>
              <w:rPr>
                <w:bCs/>
                <w:sz w:val="24"/>
                <w:szCs w:val="24"/>
              </w:rPr>
            </w:pPr>
            <w:r>
              <w:rPr>
                <w:rFonts w:hint="eastAsia"/>
                <w:bCs/>
                <w:sz w:val="24"/>
                <w:szCs w:val="24"/>
              </w:rPr>
              <w:t>A</w:t>
            </w:r>
            <w:r>
              <w:rPr>
                <w:rFonts w:hint="eastAsia"/>
                <w:bCs/>
                <w:sz w:val="24"/>
                <w:szCs w:val="24"/>
                <w:vertAlign w:val="superscript"/>
              </w:rPr>
              <w:t>2</w:t>
            </w:r>
            <w:r>
              <w:rPr>
                <w:rFonts w:hint="eastAsia"/>
                <w:bCs/>
                <w:sz w:val="24"/>
                <w:szCs w:val="24"/>
              </w:rPr>
              <w:t>/O工艺、多级接触生物氧化工艺、SBR工艺的处理效果均能达到处理出水排放标准要求，其基建投资、运行费用、电耗等指标在通常情况下有所区别，选择工艺要视具体情况确定。此三种工艺的综合对比如下表：</w:t>
            </w:r>
          </w:p>
          <w:p>
            <w:pPr>
              <w:autoSpaceDE w:val="0"/>
              <w:autoSpaceDN w:val="0"/>
              <w:adjustRightInd w:val="0"/>
              <w:spacing w:line="460" w:lineRule="exact"/>
              <w:ind w:firstLine="527" w:firstLineChars="250"/>
              <w:jc w:val="center"/>
              <w:rPr>
                <w:b/>
                <w:szCs w:val="21"/>
              </w:rPr>
            </w:pPr>
            <w:r>
              <w:rPr>
                <w:rFonts w:hint="eastAsia"/>
                <w:b/>
                <w:szCs w:val="21"/>
              </w:rPr>
              <w:t>表29    A</w:t>
            </w:r>
            <w:r>
              <w:rPr>
                <w:rFonts w:hint="eastAsia"/>
                <w:b/>
                <w:szCs w:val="21"/>
                <w:vertAlign w:val="superscript"/>
              </w:rPr>
              <w:t>2</w:t>
            </w:r>
            <w:r>
              <w:rPr>
                <w:rFonts w:hint="eastAsia"/>
                <w:b/>
                <w:szCs w:val="21"/>
              </w:rPr>
              <w:t>/O工艺、多级接触生物氧化工艺和SBR工艺综合对比表</w:t>
            </w:r>
          </w:p>
          <w:tbl>
            <w:tblPr>
              <w:tblStyle w:val="36"/>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4"/>
              <w:gridCol w:w="1515"/>
              <w:gridCol w:w="2337"/>
              <w:gridCol w:w="2063"/>
              <w:gridCol w:w="233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169" w:type="dxa"/>
                  <w:gridSpan w:val="2"/>
                  <w:vAlign w:val="center"/>
                </w:tcPr>
                <w:p>
                  <w:pPr>
                    <w:jc w:val="center"/>
                    <w:rPr>
                      <w:b/>
                      <w:szCs w:val="21"/>
                    </w:rPr>
                  </w:pPr>
                  <w:r>
                    <w:rPr>
                      <w:b/>
                      <w:szCs w:val="21"/>
                    </w:rPr>
                    <w:t>对比项目</w:t>
                  </w:r>
                </w:p>
              </w:tc>
              <w:tc>
                <w:tcPr>
                  <w:tcW w:w="2337" w:type="dxa"/>
                  <w:vAlign w:val="center"/>
                </w:tcPr>
                <w:p>
                  <w:pPr>
                    <w:jc w:val="center"/>
                    <w:rPr>
                      <w:b/>
                      <w:szCs w:val="21"/>
                    </w:rPr>
                  </w:pPr>
                  <w:r>
                    <w:rPr>
                      <w:rFonts w:hint="eastAsia"/>
                      <w:b/>
                      <w:szCs w:val="21"/>
                    </w:rPr>
                    <w:t>A</w:t>
                  </w:r>
                  <w:r>
                    <w:rPr>
                      <w:rFonts w:hint="eastAsia"/>
                      <w:b/>
                      <w:szCs w:val="21"/>
                      <w:vertAlign w:val="superscript"/>
                    </w:rPr>
                    <w:t>2</w:t>
                  </w:r>
                  <w:r>
                    <w:rPr>
                      <w:rFonts w:hint="eastAsia"/>
                      <w:b/>
                      <w:szCs w:val="21"/>
                    </w:rPr>
                    <w:t>/O工艺</w:t>
                  </w:r>
                </w:p>
              </w:tc>
              <w:tc>
                <w:tcPr>
                  <w:tcW w:w="2063" w:type="dxa"/>
                  <w:vAlign w:val="center"/>
                </w:tcPr>
                <w:p>
                  <w:pPr>
                    <w:jc w:val="center"/>
                    <w:rPr>
                      <w:b/>
                      <w:szCs w:val="21"/>
                    </w:rPr>
                  </w:pPr>
                  <w:r>
                    <w:rPr>
                      <w:rFonts w:hint="eastAsia"/>
                      <w:b/>
                      <w:szCs w:val="21"/>
                    </w:rPr>
                    <w:t>多级生物接触氧化</w:t>
                  </w:r>
                </w:p>
              </w:tc>
              <w:tc>
                <w:tcPr>
                  <w:tcW w:w="2332" w:type="dxa"/>
                  <w:vAlign w:val="center"/>
                </w:tcPr>
                <w:p>
                  <w:pPr>
                    <w:jc w:val="center"/>
                    <w:rPr>
                      <w:b/>
                      <w:szCs w:val="21"/>
                    </w:rPr>
                  </w:pPr>
                  <w:r>
                    <w:rPr>
                      <w:rFonts w:hint="eastAsia"/>
                      <w:b/>
                      <w:szCs w:val="21"/>
                    </w:rPr>
                    <w:t>SBR工艺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4" w:type="dxa"/>
                  <w:vAlign w:val="center"/>
                </w:tcPr>
                <w:p>
                  <w:pPr>
                    <w:jc w:val="center"/>
                    <w:rPr>
                      <w:szCs w:val="21"/>
                    </w:rPr>
                  </w:pPr>
                  <w:r>
                    <w:rPr>
                      <w:rFonts w:hint="eastAsia"/>
                      <w:szCs w:val="21"/>
                    </w:rPr>
                    <w:t>建设</w:t>
                  </w:r>
                </w:p>
              </w:tc>
              <w:tc>
                <w:tcPr>
                  <w:tcW w:w="1515" w:type="dxa"/>
                  <w:vAlign w:val="center"/>
                </w:tcPr>
                <w:p>
                  <w:pPr>
                    <w:jc w:val="center"/>
                    <w:rPr>
                      <w:szCs w:val="21"/>
                    </w:rPr>
                  </w:pPr>
                  <w:r>
                    <w:rPr>
                      <w:rFonts w:hint="eastAsia"/>
                      <w:szCs w:val="21"/>
                    </w:rPr>
                    <w:t>总投资</w:t>
                  </w:r>
                </w:p>
              </w:tc>
              <w:tc>
                <w:tcPr>
                  <w:tcW w:w="2337" w:type="dxa"/>
                  <w:vAlign w:val="center"/>
                </w:tcPr>
                <w:p>
                  <w:pPr>
                    <w:jc w:val="center"/>
                    <w:rPr>
                      <w:szCs w:val="21"/>
                    </w:rPr>
                  </w:pPr>
                  <w:r>
                    <w:rPr>
                      <w:rFonts w:hint="eastAsia"/>
                      <w:szCs w:val="21"/>
                    </w:rPr>
                    <w:t>高</w:t>
                  </w:r>
                </w:p>
              </w:tc>
              <w:tc>
                <w:tcPr>
                  <w:tcW w:w="2063" w:type="dxa"/>
                  <w:vAlign w:val="center"/>
                </w:tcPr>
                <w:p>
                  <w:pPr>
                    <w:jc w:val="center"/>
                    <w:rPr>
                      <w:szCs w:val="21"/>
                    </w:rPr>
                  </w:pPr>
                  <w:r>
                    <w:rPr>
                      <w:rFonts w:hint="eastAsia"/>
                      <w:szCs w:val="21"/>
                    </w:rPr>
                    <w:t>较低</w:t>
                  </w:r>
                </w:p>
              </w:tc>
              <w:tc>
                <w:tcPr>
                  <w:tcW w:w="2332" w:type="dxa"/>
                  <w:vAlign w:val="center"/>
                </w:tcPr>
                <w:p>
                  <w:pPr>
                    <w:jc w:val="center"/>
                    <w:rPr>
                      <w:szCs w:val="21"/>
                    </w:rPr>
                  </w:pPr>
                  <w:r>
                    <w:rPr>
                      <w:rFonts w:hint="eastAsia"/>
                      <w:szCs w:val="21"/>
                    </w:rPr>
                    <w:t>较高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4" w:type="dxa"/>
                  <w:vAlign w:val="center"/>
                </w:tcPr>
                <w:p>
                  <w:pPr>
                    <w:jc w:val="center"/>
                    <w:rPr>
                      <w:szCs w:val="21"/>
                    </w:rPr>
                  </w:pPr>
                  <w:r>
                    <w:rPr>
                      <w:rFonts w:hint="eastAsia"/>
                      <w:szCs w:val="21"/>
                    </w:rPr>
                    <w:t>运行费用</w:t>
                  </w:r>
                </w:p>
              </w:tc>
              <w:tc>
                <w:tcPr>
                  <w:tcW w:w="1515" w:type="dxa"/>
                  <w:vAlign w:val="center"/>
                </w:tcPr>
                <w:p>
                  <w:pPr>
                    <w:jc w:val="center"/>
                    <w:rPr>
                      <w:szCs w:val="21"/>
                    </w:rPr>
                  </w:pPr>
                  <w:r>
                    <w:rPr>
                      <w:rFonts w:hint="eastAsia"/>
                      <w:szCs w:val="21"/>
                    </w:rPr>
                    <w:t>直接运行成本（电费、水费、药剂费、兼职人员费）</w:t>
                  </w:r>
                </w:p>
              </w:tc>
              <w:tc>
                <w:tcPr>
                  <w:tcW w:w="2337" w:type="dxa"/>
                  <w:vAlign w:val="center"/>
                </w:tcPr>
                <w:p>
                  <w:pPr>
                    <w:jc w:val="center"/>
                    <w:rPr>
                      <w:szCs w:val="21"/>
                    </w:rPr>
                  </w:pPr>
                  <w:r>
                    <w:rPr>
                      <w:rFonts w:hint="eastAsia"/>
                      <w:szCs w:val="21"/>
                    </w:rPr>
                    <w:t>高</w:t>
                  </w:r>
                </w:p>
              </w:tc>
              <w:tc>
                <w:tcPr>
                  <w:tcW w:w="2063" w:type="dxa"/>
                  <w:vAlign w:val="center"/>
                </w:tcPr>
                <w:p>
                  <w:pPr>
                    <w:jc w:val="center"/>
                    <w:rPr>
                      <w:szCs w:val="21"/>
                    </w:rPr>
                  </w:pPr>
                  <w:r>
                    <w:rPr>
                      <w:rFonts w:hint="eastAsia"/>
                      <w:szCs w:val="21"/>
                    </w:rPr>
                    <w:t>较低</w:t>
                  </w:r>
                </w:p>
              </w:tc>
              <w:tc>
                <w:tcPr>
                  <w:tcW w:w="2332" w:type="dxa"/>
                  <w:vAlign w:val="center"/>
                </w:tcPr>
                <w:p>
                  <w:pPr>
                    <w:jc w:val="center"/>
                    <w:rPr>
                      <w:szCs w:val="21"/>
                    </w:rPr>
                  </w:pPr>
                  <w:r>
                    <w:rPr>
                      <w:rFonts w:hint="eastAsia"/>
                      <w:szCs w:val="21"/>
                    </w:rPr>
                    <w:t>较高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4" w:type="dxa"/>
                  <w:vMerge w:val="restart"/>
                  <w:vAlign w:val="center"/>
                </w:tcPr>
                <w:p>
                  <w:pPr>
                    <w:jc w:val="center"/>
                    <w:rPr>
                      <w:szCs w:val="21"/>
                    </w:rPr>
                  </w:pPr>
                  <w:r>
                    <w:rPr>
                      <w:rFonts w:hint="eastAsia"/>
                      <w:szCs w:val="21"/>
                    </w:rPr>
                    <w:t>工艺效果</w:t>
                  </w:r>
                </w:p>
              </w:tc>
              <w:tc>
                <w:tcPr>
                  <w:tcW w:w="1515" w:type="dxa"/>
                  <w:vAlign w:val="center"/>
                </w:tcPr>
                <w:p>
                  <w:pPr>
                    <w:jc w:val="center"/>
                    <w:rPr>
                      <w:szCs w:val="21"/>
                    </w:rPr>
                  </w:pPr>
                  <w:r>
                    <w:rPr>
                      <w:rFonts w:hint="eastAsia"/>
                      <w:szCs w:val="21"/>
                    </w:rPr>
                    <w:t>出水水质</w:t>
                  </w:r>
                </w:p>
              </w:tc>
              <w:tc>
                <w:tcPr>
                  <w:tcW w:w="2337" w:type="dxa"/>
                  <w:vAlign w:val="center"/>
                </w:tcPr>
                <w:p>
                  <w:pPr>
                    <w:jc w:val="center"/>
                    <w:rPr>
                      <w:szCs w:val="21"/>
                    </w:rPr>
                  </w:pPr>
                  <w:r>
                    <w:rPr>
                      <w:rFonts w:hint="eastAsia"/>
                      <w:szCs w:val="21"/>
                    </w:rPr>
                    <w:t>较稳定</w:t>
                  </w:r>
                </w:p>
              </w:tc>
              <w:tc>
                <w:tcPr>
                  <w:tcW w:w="2063" w:type="dxa"/>
                  <w:vAlign w:val="center"/>
                </w:tcPr>
                <w:p>
                  <w:pPr>
                    <w:jc w:val="center"/>
                    <w:rPr>
                      <w:szCs w:val="21"/>
                    </w:rPr>
                  </w:pPr>
                  <w:r>
                    <w:rPr>
                      <w:rFonts w:hint="eastAsia"/>
                      <w:szCs w:val="21"/>
                    </w:rPr>
                    <w:t>稳定</w:t>
                  </w:r>
                </w:p>
              </w:tc>
              <w:tc>
                <w:tcPr>
                  <w:tcW w:w="2332" w:type="dxa"/>
                  <w:vAlign w:val="center"/>
                </w:tcPr>
                <w:p>
                  <w:pPr>
                    <w:jc w:val="center"/>
                    <w:rPr>
                      <w:szCs w:val="21"/>
                    </w:rPr>
                  </w:pPr>
                  <w:r>
                    <w:rPr>
                      <w:rFonts w:hint="eastAsia"/>
                      <w:szCs w:val="21"/>
                    </w:rPr>
                    <w:t>较稳定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4" w:type="dxa"/>
                  <w:vMerge w:val="continue"/>
                  <w:vAlign w:val="center"/>
                </w:tcPr>
                <w:p>
                  <w:pPr>
                    <w:jc w:val="center"/>
                    <w:rPr>
                      <w:szCs w:val="21"/>
                    </w:rPr>
                  </w:pPr>
                </w:p>
              </w:tc>
              <w:tc>
                <w:tcPr>
                  <w:tcW w:w="1515" w:type="dxa"/>
                  <w:vAlign w:val="center"/>
                </w:tcPr>
                <w:p>
                  <w:pPr>
                    <w:jc w:val="center"/>
                    <w:rPr>
                      <w:szCs w:val="21"/>
                    </w:rPr>
                  </w:pPr>
                  <w:r>
                    <w:rPr>
                      <w:rFonts w:hint="eastAsia"/>
                      <w:szCs w:val="21"/>
                    </w:rPr>
                    <w:t>产泥量</w:t>
                  </w:r>
                </w:p>
              </w:tc>
              <w:tc>
                <w:tcPr>
                  <w:tcW w:w="2337" w:type="dxa"/>
                  <w:vAlign w:val="center"/>
                </w:tcPr>
                <w:p>
                  <w:pPr>
                    <w:jc w:val="center"/>
                    <w:rPr>
                      <w:szCs w:val="21"/>
                    </w:rPr>
                  </w:pPr>
                  <w:r>
                    <w:rPr>
                      <w:rFonts w:hint="eastAsia"/>
                      <w:szCs w:val="21"/>
                    </w:rPr>
                    <w:t>产泥量一般</w:t>
                  </w:r>
                </w:p>
              </w:tc>
              <w:tc>
                <w:tcPr>
                  <w:tcW w:w="2063" w:type="dxa"/>
                  <w:vAlign w:val="center"/>
                </w:tcPr>
                <w:p>
                  <w:pPr>
                    <w:jc w:val="center"/>
                    <w:rPr>
                      <w:szCs w:val="21"/>
                    </w:rPr>
                  </w:pPr>
                  <w:r>
                    <w:rPr>
                      <w:rFonts w:hint="eastAsia"/>
                      <w:szCs w:val="21"/>
                    </w:rPr>
                    <w:t>产泥量一般</w:t>
                  </w:r>
                </w:p>
              </w:tc>
              <w:tc>
                <w:tcPr>
                  <w:tcW w:w="2332" w:type="dxa"/>
                  <w:vAlign w:val="center"/>
                </w:tcPr>
                <w:p>
                  <w:pPr>
                    <w:jc w:val="center"/>
                    <w:rPr>
                      <w:szCs w:val="21"/>
                    </w:rPr>
                  </w:pPr>
                  <w:r>
                    <w:rPr>
                      <w:rFonts w:hint="eastAsia"/>
                      <w:szCs w:val="21"/>
                    </w:rPr>
                    <w:t>产泥量一般</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4" w:type="dxa"/>
                  <w:vMerge w:val="continue"/>
                  <w:vAlign w:val="center"/>
                </w:tcPr>
                <w:p>
                  <w:pPr>
                    <w:jc w:val="center"/>
                    <w:rPr>
                      <w:szCs w:val="21"/>
                    </w:rPr>
                  </w:pPr>
                </w:p>
              </w:tc>
              <w:tc>
                <w:tcPr>
                  <w:tcW w:w="1515" w:type="dxa"/>
                  <w:vAlign w:val="center"/>
                </w:tcPr>
                <w:p>
                  <w:pPr>
                    <w:jc w:val="center"/>
                    <w:rPr>
                      <w:szCs w:val="21"/>
                    </w:rPr>
                  </w:pPr>
                  <w:r>
                    <w:rPr>
                      <w:rFonts w:hint="eastAsia"/>
                      <w:szCs w:val="21"/>
                    </w:rPr>
                    <w:t>污泥膨胀</w:t>
                  </w:r>
                </w:p>
              </w:tc>
              <w:tc>
                <w:tcPr>
                  <w:tcW w:w="2337" w:type="dxa"/>
                  <w:vAlign w:val="center"/>
                </w:tcPr>
                <w:p>
                  <w:pPr>
                    <w:jc w:val="center"/>
                    <w:rPr>
                      <w:szCs w:val="21"/>
                    </w:rPr>
                  </w:pPr>
                  <w:r>
                    <w:rPr>
                      <w:rFonts w:hint="eastAsia"/>
                      <w:szCs w:val="21"/>
                    </w:rPr>
                    <w:t>容易发生</w:t>
                  </w:r>
                </w:p>
              </w:tc>
              <w:tc>
                <w:tcPr>
                  <w:tcW w:w="2063" w:type="dxa"/>
                  <w:vAlign w:val="center"/>
                </w:tcPr>
                <w:p>
                  <w:pPr>
                    <w:jc w:val="center"/>
                    <w:rPr>
                      <w:szCs w:val="21"/>
                    </w:rPr>
                  </w:pPr>
                  <w:r>
                    <w:rPr>
                      <w:rFonts w:hint="eastAsia"/>
                      <w:szCs w:val="21"/>
                    </w:rPr>
                    <w:t>不容易发生</w:t>
                  </w:r>
                </w:p>
              </w:tc>
              <w:tc>
                <w:tcPr>
                  <w:tcW w:w="2332" w:type="dxa"/>
                  <w:vAlign w:val="center"/>
                </w:tcPr>
                <w:p>
                  <w:pPr>
                    <w:jc w:val="center"/>
                    <w:rPr>
                      <w:szCs w:val="21"/>
                    </w:rPr>
                  </w:pPr>
                  <w:r>
                    <w:rPr>
                      <w:rFonts w:hint="eastAsia"/>
                      <w:szCs w:val="21"/>
                    </w:rPr>
                    <w:t>不容易发生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4" w:type="dxa"/>
                  <w:vMerge w:val="continue"/>
                  <w:vAlign w:val="center"/>
                </w:tcPr>
                <w:p>
                  <w:pPr>
                    <w:jc w:val="center"/>
                    <w:rPr>
                      <w:szCs w:val="21"/>
                    </w:rPr>
                  </w:pPr>
                </w:p>
              </w:tc>
              <w:tc>
                <w:tcPr>
                  <w:tcW w:w="1515" w:type="dxa"/>
                  <w:vAlign w:val="center"/>
                </w:tcPr>
                <w:p>
                  <w:pPr>
                    <w:jc w:val="center"/>
                    <w:rPr>
                      <w:szCs w:val="21"/>
                    </w:rPr>
                  </w:pPr>
                  <w:r>
                    <w:rPr>
                      <w:rFonts w:hint="eastAsia"/>
                      <w:szCs w:val="21"/>
                    </w:rPr>
                    <w:t>冲击负荷影响</w:t>
                  </w:r>
                </w:p>
              </w:tc>
              <w:tc>
                <w:tcPr>
                  <w:tcW w:w="2337" w:type="dxa"/>
                  <w:vAlign w:val="center"/>
                </w:tcPr>
                <w:p>
                  <w:pPr>
                    <w:jc w:val="center"/>
                    <w:rPr>
                      <w:szCs w:val="21"/>
                    </w:rPr>
                  </w:pPr>
                  <w:r>
                    <w:rPr>
                      <w:rFonts w:hint="eastAsia"/>
                      <w:szCs w:val="21"/>
                    </w:rPr>
                    <w:t>承受冲击负荷能力一般</w:t>
                  </w:r>
                </w:p>
              </w:tc>
              <w:tc>
                <w:tcPr>
                  <w:tcW w:w="2063" w:type="dxa"/>
                  <w:vAlign w:val="center"/>
                </w:tcPr>
                <w:p>
                  <w:pPr>
                    <w:jc w:val="center"/>
                    <w:rPr>
                      <w:szCs w:val="21"/>
                    </w:rPr>
                  </w:pPr>
                  <w:r>
                    <w:rPr>
                      <w:rFonts w:hint="eastAsia"/>
                      <w:szCs w:val="21"/>
                    </w:rPr>
                    <w:t>承受冲击负荷能力强</w:t>
                  </w:r>
                </w:p>
              </w:tc>
              <w:tc>
                <w:tcPr>
                  <w:tcW w:w="2332" w:type="dxa"/>
                  <w:vAlign w:val="center"/>
                </w:tcPr>
                <w:p>
                  <w:pPr>
                    <w:jc w:val="center"/>
                    <w:rPr>
                      <w:szCs w:val="21"/>
                    </w:rPr>
                  </w:pPr>
                  <w:r>
                    <w:rPr>
                      <w:rFonts w:hint="eastAsia"/>
                      <w:szCs w:val="21"/>
                    </w:rPr>
                    <w:t>承受冲击负荷能力较强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4" w:type="dxa"/>
                  <w:vMerge w:val="restart"/>
                  <w:vAlign w:val="center"/>
                </w:tcPr>
                <w:p>
                  <w:pPr>
                    <w:jc w:val="center"/>
                    <w:rPr>
                      <w:szCs w:val="21"/>
                    </w:rPr>
                  </w:pPr>
                  <w:r>
                    <w:rPr>
                      <w:rFonts w:hint="eastAsia"/>
                      <w:szCs w:val="21"/>
                    </w:rPr>
                    <w:t>运行管理</w:t>
                  </w:r>
                </w:p>
              </w:tc>
              <w:tc>
                <w:tcPr>
                  <w:tcW w:w="1515" w:type="dxa"/>
                  <w:vAlign w:val="center"/>
                </w:tcPr>
                <w:p>
                  <w:pPr>
                    <w:jc w:val="center"/>
                    <w:rPr>
                      <w:szCs w:val="21"/>
                    </w:rPr>
                  </w:pPr>
                  <w:r>
                    <w:rPr>
                      <w:rFonts w:hint="eastAsia"/>
                      <w:szCs w:val="21"/>
                    </w:rPr>
                    <w:t>自动化程度</w:t>
                  </w:r>
                </w:p>
              </w:tc>
              <w:tc>
                <w:tcPr>
                  <w:tcW w:w="2337" w:type="dxa"/>
                  <w:vAlign w:val="center"/>
                </w:tcPr>
                <w:p>
                  <w:pPr>
                    <w:jc w:val="center"/>
                    <w:rPr>
                      <w:szCs w:val="21"/>
                    </w:rPr>
                  </w:pPr>
                  <w:r>
                    <w:rPr>
                      <w:rFonts w:hint="eastAsia"/>
                      <w:szCs w:val="21"/>
                    </w:rPr>
                    <w:t>可以实现自动控制，但工艺设备多，控制复杂</w:t>
                  </w:r>
                </w:p>
              </w:tc>
              <w:tc>
                <w:tcPr>
                  <w:tcW w:w="2063" w:type="dxa"/>
                  <w:vAlign w:val="center"/>
                </w:tcPr>
                <w:p>
                  <w:pPr>
                    <w:jc w:val="center"/>
                    <w:rPr>
                      <w:szCs w:val="21"/>
                    </w:rPr>
                  </w:pPr>
                  <w:r>
                    <w:rPr>
                      <w:rFonts w:hint="eastAsia"/>
                      <w:szCs w:val="21"/>
                    </w:rPr>
                    <w:t>可实现自动控制</w:t>
                  </w:r>
                </w:p>
              </w:tc>
              <w:tc>
                <w:tcPr>
                  <w:tcW w:w="2332" w:type="dxa"/>
                  <w:vAlign w:val="center"/>
                </w:tcPr>
                <w:p>
                  <w:pPr>
                    <w:jc w:val="center"/>
                    <w:rPr>
                      <w:szCs w:val="21"/>
                    </w:rPr>
                  </w:pPr>
                  <w:r>
                    <w:rPr>
                      <w:rFonts w:hint="eastAsia"/>
                      <w:szCs w:val="21"/>
                    </w:rPr>
                    <w:t>可以实现自动控制，但控制复杂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4" w:type="dxa"/>
                  <w:vMerge w:val="continue"/>
                  <w:vAlign w:val="center"/>
                </w:tcPr>
                <w:p>
                  <w:pPr>
                    <w:jc w:val="center"/>
                    <w:rPr>
                      <w:szCs w:val="21"/>
                    </w:rPr>
                  </w:pPr>
                </w:p>
              </w:tc>
              <w:tc>
                <w:tcPr>
                  <w:tcW w:w="1515" w:type="dxa"/>
                  <w:vAlign w:val="center"/>
                </w:tcPr>
                <w:p>
                  <w:pPr>
                    <w:jc w:val="center"/>
                    <w:rPr>
                      <w:szCs w:val="21"/>
                    </w:rPr>
                  </w:pPr>
                  <w:r>
                    <w:rPr>
                      <w:rFonts w:hint="eastAsia"/>
                      <w:szCs w:val="21"/>
                    </w:rPr>
                    <w:t>日常维护</w:t>
                  </w:r>
                </w:p>
              </w:tc>
              <w:tc>
                <w:tcPr>
                  <w:tcW w:w="2337" w:type="dxa"/>
                  <w:vAlign w:val="center"/>
                </w:tcPr>
                <w:p>
                  <w:pPr>
                    <w:jc w:val="center"/>
                    <w:rPr>
                      <w:szCs w:val="21"/>
                    </w:rPr>
                  </w:pPr>
                  <w:r>
                    <w:rPr>
                      <w:rFonts w:hint="eastAsia"/>
                      <w:szCs w:val="21"/>
                    </w:rPr>
                    <w:t>曝气头、搅拌机、鼓风机等设备较大，维护量大</w:t>
                  </w:r>
                </w:p>
              </w:tc>
              <w:tc>
                <w:tcPr>
                  <w:tcW w:w="2063" w:type="dxa"/>
                  <w:vAlign w:val="center"/>
                </w:tcPr>
                <w:p>
                  <w:pPr>
                    <w:jc w:val="center"/>
                    <w:rPr>
                      <w:szCs w:val="21"/>
                    </w:rPr>
                  </w:pPr>
                  <w:r>
                    <w:rPr>
                      <w:rFonts w:hint="eastAsia"/>
                      <w:szCs w:val="21"/>
                    </w:rPr>
                    <w:t>曝气头、鼓风机、斜管等设备维护量一般</w:t>
                  </w:r>
                </w:p>
              </w:tc>
              <w:tc>
                <w:tcPr>
                  <w:tcW w:w="2332" w:type="dxa"/>
                  <w:vAlign w:val="center"/>
                </w:tcPr>
                <w:p>
                  <w:pPr>
                    <w:jc w:val="center"/>
                    <w:rPr>
                      <w:szCs w:val="21"/>
                    </w:rPr>
                  </w:pPr>
                  <w:r>
                    <w:rPr>
                      <w:rFonts w:hint="eastAsia"/>
                      <w:szCs w:val="21"/>
                    </w:rPr>
                    <w:t>曝气头、搅拌机、鼓风机等设备较大，维护量大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4" w:type="dxa"/>
                  <w:vMerge w:val="continue"/>
                  <w:vAlign w:val="center"/>
                </w:tcPr>
                <w:p>
                  <w:pPr>
                    <w:jc w:val="center"/>
                    <w:rPr>
                      <w:szCs w:val="21"/>
                    </w:rPr>
                  </w:pPr>
                </w:p>
              </w:tc>
              <w:tc>
                <w:tcPr>
                  <w:tcW w:w="1515" w:type="dxa"/>
                  <w:vAlign w:val="center"/>
                </w:tcPr>
                <w:p>
                  <w:pPr>
                    <w:jc w:val="center"/>
                    <w:rPr>
                      <w:szCs w:val="21"/>
                    </w:rPr>
                  </w:pPr>
                  <w:r>
                    <w:rPr>
                      <w:rFonts w:hint="eastAsia"/>
                      <w:szCs w:val="21"/>
                    </w:rPr>
                    <w:t>维护费用</w:t>
                  </w:r>
                </w:p>
              </w:tc>
              <w:tc>
                <w:tcPr>
                  <w:tcW w:w="2337" w:type="dxa"/>
                  <w:vAlign w:val="center"/>
                </w:tcPr>
                <w:p>
                  <w:pPr>
                    <w:jc w:val="center"/>
                    <w:rPr>
                      <w:szCs w:val="21"/>
                    </w:rPr>
                  </w:pPr>
                  <w:r>
                    <w:rPr>
                      <w:rFonts w:hint="eastAsia"/>
                      <w:szCs w:val="21"/>
                    </w:rPr>
                    <w:t>较高</w:t>
                  </w:r>
                </w:p>
              </w:tc>
              <w:tc>
                <w:tcPr>
                  <w:tcW w:w="2063" w:type="dxa"/>
                  <w:vAlign w:val="center"/>
                </w:tcPr>
                <w:p>
                  <w:pPr>
                    <w:jc w:val="center"/>
                    <w:rPr>
                      <w:szCs w:val="21"/>
                    </w:rPr>
                  </w:pPr>
                  <w:r>
                    <w:rPr>
                      <w:rFonts w:hint="eastAsia"/>
                      <w:szCs w:val="21"/>
                    </w:rPr>
                    <w:t>一般</w:t>
                  </w:r>
                </w:p>
              </w:tc>
              <w:tc>
                <w:tcPr>
                  <w:tcW w:w="2332" w:type="dxa"/>
                  <w:vAlign w:val="center"/>
                </w:tcPr>
                <w:p>
                  <w:pPr>
                    <w:jc w:val="center"/>
                    <w:rPr>
                      <w:szCs w:val="21"/>
                    </w:rPr>
                  </w:pPr>
                  <w:r>
                    <w:rPr>
                      <w:rFonts w:hint="eastAsia"/>
                      <w:szCs w:val="21"/>
                    </w:rPr>
                    <w:t>中等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4" w:type="dxa"/>
                  <w:vMerge w:val="continue"/>
                  <w:vAlign w:val="center"/>
                </w:tcPr>
                <w:p>
                  <w:pPr>
                    <w:jc w:val="center"/>
                    <w:rPr>
                      <w:szCs w:val="21"/>
                    </w:rPr>
                  </w:pPr>
                </w:p>
              </w:tc>
              <w:tc>
                <w:tcPr>
                  <w:tcW w:w="1515" w:type="dxa"/>
                  <w:vAlign w:val="center"/>
                </w:tcPr>
                <w:p>
                  <w:pPr>
                    <w:jc w:val="center"/>
                    <w:rPr>
                      <w:szCs w:val="21"/>
                    </w:rPr>
                  </w:pPr>
                  <w:r>
                    <w:rPr>
                      <w:rFonts w:hint="eastAsia"/>
                      <w:szCs w:val="21"/>
                    </w:rPr>
                    <w:t>设备使用寿命</w:t>
                  </w:r>
                </w:p>
              </w:tc>
              <w:tc>
                <w:tcPr>
                  <w:tcW w:w="2337" w:type="dxa"/>
                  <w:vAlign w:val="center"/>
                </w:tcPr>
                <w:p>
                  <w:pPr>
                    <w:jc w:val="center"/>
                    <w:rPr>
                      <w:szCs w:val="21"/>
                    </w:rPr>
                  </w:pPr>
                  <w:r>
                    <w:rPr>
                      <w:rFonts w:hint="eastAsia"/>
                      <w:szCs w:val="21"/>
                    </w:rPr>
                    <w:t>5~10年</w:t>
                  </w:r>
                </w:p>
              </w:tc>
              <w:tc>
                <w:tcPr>
                  <w:tcW w:w="2063" w:type="dxa"/>
                  <w:vAlign w:val="center"/>
                </w:tcPr>
                <w:p>
                  <w:pPr>
                    <w:jc w:val="center"/>
                    <w:rPr>
                      <w:szCs w:val="21"/>
                    </w:rPr>
                  </w:pPr>
                  <w:r>
                    <w:rPr>
                      <w:rFonts w:hint="eastAsia"/>
                      <w:szCs w:val="21"/>
                    </w:rPr>
                    <w:t>5~10年</w:t>
                  </w:r>
                </w:p>
              </w:tc>
              <w:tc>
                <w:tcPr>
                  <w:tcW w:w="2332" w:type="dxa"/>
                  <w:vAlign w:val="center"/>
                </w:tcPr>
                <w:p>
                  <w:pPr>
                    <w:jc w:val="center"/>
                    <w:rPr>
                      <w:szCs w:val="21"/>
                    </w:rPr>
                  </w:pPr>
                  <w:r>
                    <w:rPr>
                      <w:rFonts w:hint="eastAsia"/>
                      <w:szCs w:val="21"/>
                    </w:rPr>
                    <w:t>5~10年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4" w:type="dxa"/>
                  <w:vMerge w:val="continue"/>
                  <w:vAlign w:val="center"/>
                </w:tcPr>
                <w:p>
                  <w:pPr>
                    <w:jc w:val="center"/>
                    <w:rPr>
                      <w:szCs w:val="21"/>
                    </w:rPr>
                  </w:pPr>
                </w:p>
              </w:tc>
              <w:tc>
                <w:tcPr>
                  <w:tcW w:w="1515" w:type="dxa"/>
                  <w:vAlign w:val="center"/>
                </w:tcPr>
                <w:p>
                  <w:pPr>
                    <w:jc w:val="center"/>
                    <w:rPr>
                      <w:szCs w:val="21"/>
                    </w:rPr>
                  </w:pPr>
                  <w:r>
                    <w:rPr>
                      <w:rFonts w:hint="eastAsia"/>
                      <w:szCs w:val="21"/>
                    </w:rPr>
                    <w:t>管理操作人员</w:t>
                  </w:r>
                </w:p>
              </w:tc>
              <w:tc>
                <w:tcPr>
                  <w:tcW w:w="2337" w:type="dxa"/>
                  <w:vAlign w:val="center"/>
                </w:tcPr>
                <w:p>
                  <w:pPr>
                    <w:jc w:val="center"/>
                    <w:rPr>
                      <w:szCs w:val="21"/>
                    </w:rPr>
                  </w:pPr>
                  <w:r>
                    <w:rPr>
                      <w:rFonts w:hint="eastAsia"/>
                      <w:szCs w:val="21"/>
                    </w:rPr>
                    <w:t>人员较多，技术水平要求高</w:t>
                  </w:r>
                </w:p>
              </w:tc>
              <w:tc>
                <w:tcPr>
                  <w:tcW w:w="2063" w:type="dxa"/>
                  <w:vAlign w:val="center"/>
                </w:tcPr>
                <w:p>
                  <w:pPr>
                    <w:jc w:val="center"/>
                    <w:rPr>
                      <w:szCs w:val="21"/>
                    </w:rPr>
                  </w:pPr>
                  <w:r>
                    <w:rPr>
                      <w:rFonts w:hint="eastAsia"/>
                      <w:szCs w:val="21"/>
                    </w:rPr>
                    <w:t>人员较少，技术水平要求一般</w:t>
                  </w:r>
                </w:p>
              </w:tc>
              <w:tc>
                <w:tcPr>
                  <w:tcW w:w="2332" w:type="dxa"/>
                  <w:vAlign w:val="center"/>
                </w:tcPr>
                <w:p>
                  <w:pPr>
                    <w:jc w:val="center"/>
                    <w:rPr>
                      <w:szCs w:val="21"/>
                    </w:rPr>
                  </w:pPr>
                  <w:r>
                    <w:rPr>
                      <w:rFonts w:hint="eastAsia"/>
                      <w:szCs w:val="21"/>
                    </w:rPr>
                    <w:t>人员较多，技术水平要求高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4" w:type="dxa"/>
                  <w:vAlign w:val="center"/>
                </w:tcPr>
                <w:p>
                  <w:pPr>
                    <w:jc w:val="center"/>
                    <w:rPr>
                      <w:szCs w:val="21"/>
                    </w:rPr>
                  </w:pPr>
                  <w:r>
                    <w:rPr>
                      <w:rFonts w:hint="eastAsia"/>
                      <w:szCs w:val="21"/>
                    </w:rPr>
                    <w:t>未来扩建</w:t>
                  </w:r>
                </w:p>
              </w:tc>
              <w:tc>
                <w:tcPr>
                  <w:tcW w:w="1515" w:type="dxa"/>
                  <w:vAlign w:val="center"/>
                </w:tcPr>
                <w:p>
                  <w:pPr>
                    <w:jc w:val="center"/>
                    <w:rPr>
                      <w:szCs w:val="21"/>
                    </w:rPr>
                  </w:pPr>
                  <w:r>
                    <w:rPr>
                      <w:rFonts w:hint="eastAsia"/>
                      <w:szCs w:val="21"/>
                    </w:rPr>
                    <w:t>增加处理量</w:t>
                  </w:r>
                </w:p>
              </w:tc>
              <w:tc>
                <w:tcPr>
                  <w:tcW w:w="2337" w:type="dxa"/>
                  <w:vAlign w:val="center"/>
                </w:tcPr>
                <w:p>
                  <w:pPr>
                    <w:jc w:val="center"/>
                    <w:rPr>
                      <w:szCs w:val="21"/>
                    </w:rPr>
                  </w:pPr>
                  <w:r>
                    <w:rPr>
                      <w:rFonts w:hint="eastAsia"/>
                      <w:szCs w:val="21"/>
                    </w:rPr>
                    <w:t>需增加构筑物和设备，占地、工程量大，工期长</w:t>
                  </w:r>
                </w:p>
              </w:tc>
              <w:tc>
                <w:tcPr>
                  <w:tcW w:w="2063" w:type="dxa"/>
                  <w:vAlign w:val="center"/>
                </w:tcPr>
                <w:p>
                  <w:pPr>
                    <w:jc w:val="center"/>
                    <w:rPr>
                      <w:szCs w:val="21"/>
                    </w:rPr>
                  </w:pPr>
                  <w:r>
                    <w:rPr>
                      <w:rFonts w:hint="eastAsia"/>
                      <w:szCs w:val="21"/>
                    </w:rPr>
                    <w:t>占地紧凑，工期一般</w:t>
                  </w:r>
                </w:p>
              </w:tc>
              <w:tc>
                <w:tcPr>
                  <w:tcW w:w="2332" w:type="dxa"/>
                  <w:vAlign w:val="center"/>
                </w:tcPr>
                <w:p>
                  <w:pPr>
                    <w:jc w:val="center"/>
                    <w:rPr>
                      <w:szCs w:val="21"/>
                    </w:rPr>
                  </w:pPr>
                  <w:r>
                    <w:rPr>
                      <w:rFonts w:hint="eastAsia"/>
                      <w:szCs w:val="21"/>
                    </w:rPr>
                    <w:t>需增加构筑物和设备，占地、工程量大，工期长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4" w:type="dxa"/>
                  <w:vMerge w:val="restart"/>
                  <w:vAlign w:val="center"/>
                </w:tcPr>
                <w:p>
                  <w:pPr>
                    <w:jc w:val="center"/>
                    <w:rPr>
                      <w:szCs w:val="21"/>
                    </w:rPr>
                  </w:pPr>
                  <w:r>
                    <w:rPr>
                      <w:rFonts w:hint="eastAsia"/>
                      <w:szCs w:val="21"/>
                    </w:rPr>
                    <w:t>环境影响</w:t>
                  </w:r>
                </w:p>
              </w:tc>
              <w:tc>
                <w:tcPr>
                  <w:tcW w:w="1515" w:type="dxa"/>
                  <w:vAlign w:val="center"/>
                </w:tcPr>
                <w:p>
                  <w:pPr>
                    <w:jc w:val="center"/>
                    <w:rPr>
                      <w:szCs w:val="21"/>
                    </w:rPr>
                  </w:pPr>
                  <w:r>
                    <w:rPr>
                      <w:rFonts w:hint="eastAsia"/>
                      <w:szCs w:val="21"/>
                    </w:rPr>
                    <w:t>臭气问题</w:t>
                  </w:r>
                </w:p>
              </w:tc>
              <w:tc>
                <w:tcPr>
                  <w:tcW w:w="2337" w:type="dxa"/>
                  <w:vAlign w:val="center"/>
                </w:tcPr>
                <w:p>
                  <w:pPr>
                    <w:jc w:val="center"/>
                    <w:rPr>
                      <w:szCs w:val="21"/>
                    </w:rPr>
                  </w:pPr>
                  <w:r>
                    <w:rPr>
                      <w:rFonts w:hint="eastAsia"/>
                      <w:szCs w:val="21"/>
                    </w:rPr>
                    <w:t>敞开式，对周围环境影响较大</w:t>
                  </w:r>
                </w:p>
              </w:tc>
              <w:tc>
                <w:tcPr>
                  <w:tcW w:w="2063" w:type="dxa"/>
                  <w:vAlign w:val="center"/>
                </w:tcPr>
                <w:p>
                  <w:pPr>
                    <w:jc w:val="center"/>
                    <w:rPr>
                      <w:szCs w:val="21"/>
                    </w:rPr>
                  </w:pPr>
                  <w:r>
                    <w:rPr>
                      <w:rFonts w:hint="eastAsia"/>
                      <w:szCs w:val="21"/>
                    </w:rPr>
                    <w:t>封闭式罐体，对环境影响小</w:t>
                  </w:r>
                </w:p>
              </w:tc>
              <w:tc>
                <w:tcPr>
                  <w:tcW w:w="2332" w:type="dxa"/>
                  <w:vAlign w:val="center"/>
                </w:tcPr>
                <w:p>
                  <w:pPr>
                    <w:jc w:val="center"/>
                    <w:rPr>
                      <w:szCs w:val="21"/>
                    </w:rPr>
                  </w:pPr>
                  <w:r>
                    <w:rPr>
                      <w:rFonts w:hint="eastAsia"/>
                      <w:szCs w:val="21"/>
                    </w:rPr>
                    <w:t>敞开式，对周围环境影响较大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4" w:type="dxa"/>
                  <w:vMerge w:val="continue"/>
                  <w:vAlign w:val="center"/>
                </w:tcPr>
                <w:p>
                  <w:pPr>
                    <w:jc w:val="center"/>
                    <w:rPr>
                      <w:szCs w:val="21"/>
                    </w:rPr>
                  </w:pPr>
                </w:p>
              </w:tc>
              <w:tc>
                <w:tcPr>
                  <w:tcW w:w="1515" w:type="dxa"/>
                  <w:vAlign w:val="center"/>
                </w:tcPr>
                <w:p>
                  <w:pPr>
                    <w:jc w:val="center"/>
                    <w:rPr>
                      <w:szCs w:val="21"/>
                    </w:rPr>
                  </w:pPr>
                  <w:r>
                    <w:rPr>
                      <w:rFonts w:hint="eastAsia"/>
                      <w:szCs w:val="21"/>
                    </w:rPr>
                    <w:t>噪音问题</w:t>
                  </w:r>
                </w:p>
              </w:tc>
              <w:tc>
                <w:tcPr>
                  <w:tcW w:w="2337" w:type="dxa"/>
                  <w:vAlign w:val="center"/>
                </w:tcPr>
                <w:p>
                  <w:pPr>
                    <w:jc w:val="center"/>
                    <w:rPr>
                      <w:szCs w:val="21"/>
                    </w:rPr>
                  </w:pPr>
                  <w:r>
                    <w:rPr>
                      <w:rFonts w:hint="eastAsia"/>
                      <w:szCs w:val="21"/>
                    </w:rPr>
                    <w:t>有鼓风机，噪音一般</w:t>
                  </w:r>
                </w:p>
              </w:tc>
              <w:tc>
                <w:tcPr>
                  <w:tcW w:w="2063" w:type="dxa"/>
                  <w:vAlign w:val="center"/>
                </w:tcPr>
                <w:p>
                  <w:pPr>
                    <w:jc w:val="center"/>
                    <w:rPr>
                      <w:szCs w:val="21"/>
                    </w:rPr>
                  </w:pPr>
                  <w:r>
                    <w:rPr>
                      <w:rFonts w:hint="eastAsia"/>
                      <w:szCs w:val="21"/>
                    </w:rPr>
                    <w:t>有鼓风机，噪音一般</w:t>
                  </w:r>
                </w:p>
              </w:tc>
              <w:tc>
                <w:tcPr>
                  <w:tcW w:w="2332" w:type="dxa"/>
                  <w:vAlign w:val="center"/>
                </w:tcPr>
                <w:p>
                  <w:pPr>
                    <w:jc w:val="center"/>
                    <w:rPr>
                      <w:szCs w:val="21"/>
                    </w:rPr>
                  </w:pPr>
                  <w:r>
                    <w:rPr>
                      <w:rFonts w:hint="eastAsia"/>
                      <w:szCs w:val="21"/>
                    </w:rPr>
                    <w:t>噪音一般</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4" w:type="dxa"/>
                  <w:vMerge w:val="continue"/>
                  <w:vAlign w:val="center"/>
                </w:tcPr>
                <w:p>
                  <w:pPr>
                    <w:jc w:val="center"/>
                    <w:rPr>
                      <w:szCs w:val="21"/>
                    </w:rPr>
                  </w:pPr>
                </w:p>
              </w:tc>
              <w:tc>
                <w:tcPr>
                  <w:tcW w:w="1515" w:type="dxa"/>
                  <w:vAlign w:val="center"/>
                </w:tcPr>
                <w:p>
                  <w:pPr>
                    <w:jc w:val="center"/>
                    <w:rPr>
                      <w:szCs w:val="21"/>
                    </w:rPr>
                  </w:pPr>
                  <w:r>
                    <w:rPr>
                      <w:rFonts w:hint="eastAsia"/>
                      <w:szCs w:val="21"/>
                    </w:rPr>
                    <w:t>占地及外观</w:t>
                  </w:r>
                </w:p>
              </w:tc>
              <w:tc>
                <w:tcPr>
                  <w:tcW w:w="2337" w:type="dxa"/>
                  <w:vAlign w:val="center"/>
                </w:tcPr>
                <w:p>
                  <w:pPr>
                    <w:jc w:val="center"/>
                    <w:rPr>
                      <w:szCs w:val="21"/>
                    </w:rPr>
                  </w:pPr>
                  <w:r>
                    <w:rPr>
                      <w:rFonts w:hint="eastAsia"/>
                      <w:szCs w:val="21"/>
                    </w:rPr>
                    <w:t>占地大，覆盖困难，视觉和景观效果一般</w:t>
                  </w:r>
                </w:p>
              </w:tc>
              <w:tc>
                <w:tcPr>
                  <w:tcW w:w="2063" w:type="dxa"/>
                  <w:vAlign w:val="center"/>
                </w:tcPr>
                <w:p>
                  <w:pPr>
                    <w:jc w:val="center"/>
                    <w:rPr>
                      <w:szCs w:val="21"/>
                    </w:rPr>
                  </w:pPr>
                  <w:r>
                    <w:rPr>
                      <w:rFonts w:hint="eastAsia"/>
                      <w:szCs w:val="21"/>
                    </w:rPr>
                    <w:t>占地小，全地埋，对景观影响小</w:t>
                  </w:r>
                </w:p>
              </w:tc>
              <w:tc>
                <w:tcPr>
                  <w:tcW w:w="2332" w:type="dxa"/>
                  <w:vAlign w:val="center"/>
                </w:tcPr>
                <w:p>
                  <w:pPr>
                    <w:jc w:val="center"/>
                    <w:rPr>
                      <w:szCs w:val="21"/>
                    </w:rPr>
                  </w:pPr>
                  <w:r>
                    <w:rPr>
                      <w:rFonts w:hint="eastAsia"/>
                      <w:szCs w:val="21"/>
                    </w:rPr>
                    <w:t>由于高密度集成，省去多种构筑物，占地一般</w:t>
                  </w:r>
                </w:p>
              </w:tc>
            </w:tr>
          </w:tbl>
          <w:p>
            <w:pPr>
              <w:spacing w:line="360" w:lineRule="auto"/>
              <w:ind w:firstLine="480" w:firstLineChars="200"/>
              <w:rPr>
                <w:bCs/>
                <w:sz w:val="24"/>
                <w:szCs w:val="24"/>
              </w:rPr>
            </w:pPr>
            <w:r>
              <w:rPr>
                <w:bCs/>
                <w:sz w:val="24"/>
                <w:szCs w:val="24"/>
              </w:rPr>
              <w:t>综上所述：生物段处理宜采用多级生物接触氧化工艺，具有日常维护简单，运行费用节省，环境影响小等优点。多级接触生物氧化工艺可以将池体与其它单体进行组合，形成一体化，适用于500m</w:t>
            </w:r>
            <w:r>
              <w:rPr>
                <w:bCs/>
                <w:sz w:val="24"/>
                <w:szCs w:val="24"/>
                <w:vertAlign w:val="superscript"/>
              </w:rPr>
              <w:t>3</w:t>
            </w:r>
            <w:r>
              <w:rPr>
                <w:bCs/>
                <w:sz w:val="24"/>
                <w:szCs w:val="24"/>
              </w:rPr>
              <w:t>/d及以下的设计处理规模，尤其对于小规模，其性价比尤为合适，具有处理效果稳定，运行灵活操作简单，节省占地，减少回流水泵扬程，从而减少耗能。另外工艺维护简单，耐冲击负荷，稳定性强。</w:t>
            </w:r>
          </w:p>
          <w:p>
            <w:pPr>
              <w:spacing w:line="360" w:lineRule="auto"/>
              <w:ind w:firstLine="480" w:firstLineChars="200"/>
              <w:rPr>
                <w:bCs/>
                <w:sz w:val="24"/>
                <w:szCs w:val="24"/>
              </w:rPr>
            </w:pPr>
            <w:r>
              <w:rPr>
                <w:bCs/>
                <w:sz w:val="24"/>
                <w:szCs w:val="24"/>
              </w:rPr>
              <w:t>本工程生化反应工艺采用多级生物接触氧化一体化设备，设备包括格栅池、调节池、一体化多级生物接触氧化反应器、沉淀池、出水池、污泥池等。</w:t>
            </w:r>
          </w:p>
          <w:p>
            <w:pPr>
              <w:spacing w:line="360" w:lineRule="auto"/>
              <w:ind w:firstLine="480" w:firstLineChars="200"/>
              <w:rPr>
                <w:bCs/>
                <w:sz w:val="24"/>
                <w:szCs w:val="24"/>
              </w:rPr>
            </w:pPr>
            <w:r>
              <w:rPr>
                <w:rFonts w:hint="eastAsia"/>
                <w:bCs/>
                <w:sz w:val="24"/>
                <w:szCs w:val="24"/>
              </w:rPr>
              <w:t>③三级处理工艺的选择</w:t>
            </w:r>
          </w:p>
          <w:p>
            <w:pPr>
              <w:spacing w:line="360" w:lineRule="auto"/>
              <w:ind w:firstLine="480" w:firstLineChars="200"/>
              <w:rPr>
                <w:bCs/>
                <w:sz w:val="24"/>
                <w:szCs w:val="24"/>
              </w:rPr>
            </w:pPr>
            <w:r>
              <w:rPr>
                <w:rFonts w:hint="eastAsia"/>
                <w:bCs/>
                <w:sz w:val="24"/>
                <w:szCs w:val="24"/>
              </w:rPr>
              <w:t>生物处理工艺中所形成的生物污泥，比重较大，沉降性能良好，易于固液分离，但是，沉淀后的处理水中仍然含有大量的非活性的细小悬浮物分散于水中，影响出水水质。通常过滤、混凝沉淀是去除悬浮物的主要技术手段，采取的流程有直接过滤，微絮凝过滤及混凝沉淀后过滤等工艺，本工程采用沉淀后处理水直接过滤的工艺流程。</w:t>
            </w:r>
          </w:p>
          <w:p>
            <w:pPr>
              <w:spacing w:line="360" w:lineRule="auto"/>
              <w:ind w:firstLine="480" w:firstLineChars="200"/>
              <w:rPr>
                <w:bCs/>
                <w:sz w:val="24"/>
                <w:szCs w:val="24"/>
              </w:rPr>
            </w:pPr>
            <w:r>
              <w:rPr>
                <w:rFonts w:hint="eastAsia"/>
                <w:bCs/>
                <w:sz w:val="24"/>
                <w:szCs w:val="24"/>
              </w:rPr>
              <w:t>常见的滤池在规模很小的情况下会存在设备投资高，经济性差的情况，而石英砂滤池在小规模水厂可以以设备的形式做成砂缸过滤器，应用灵活、方便，无需土建成本，投资费用低。</w:t>
            </w:r>
          </w:p>
          <w:p>
            <w:pPr>
              <w:spacing w:line="360" w:lineRule="auto"/>
              <w:ind w:firstLine="480" w:firstLineChars="200"/>
              <w:rPr>
                <w:bCs/>
                <w:sz w:val="24"/>
                <w:szCs w:val="24"/>
              </w:rPr>
            </w:pPr>
            <w:r>
              <w:rPr>
                <w:rFonts w:hint="eastAsia"/>
                <w:bCs/>
                <w:sz w:val="24"/>
                <w:szCs w:val="24"/>
              </w:rPr>
              <w:t>因此，本项目选择石英砂滤池作为其三级深度处理工艺，经三级处理后的污水可保障出水达标排放。</w:t>
            </w:r>
          </w:p>
          <w:p>
            <w:pPr>
              <w:spacing w:line="360" w:lineRule="auto"/>
              <w:ind w:firstLine="480" w:firstLineChars="200"/>
              <w:rPr>
                <w:bCs/>
                <w:sz w:val="24"/>
                <w:szCs w:val="24"/>
              </w:rPr>
            </w:pPr>
            <w:r>
              <w:rPr>
                <w:rFonts w:hint="eastAsia"/>
                <w:bCs/>
                <w:sz w:val="24"/>
                <w:szCs w:val="24"/>
              </w:rPr>
              <w:t>④出水消毒工艺选择</w:t>
            </w:r>
          </w:p>
          <w:p>
            <w:pPr>
              <w:spacing w:line="360" w:lineRule="auto"/>
              <w:ind w:firstLine="480" w:firstLineChars="200"/>
              <w:rPr>
                <w:bCs/>
                <w:sz w:val="24"/>
                <w:szCs w:val="24"/>
              </w:rPr>
            </w:pPr>
            <w:r>
              <w:rPr>
                <w:rFonts w:hint="eastAsia"/>
                <w:bCs/>
                <w:sz w:val="24"/>
                <w:szCs w:val="24"/>
              </w:rPr>
              <w:t>根据《城镇污水处理站污染物排放标准》（GB18918-2002）的规定，污水处理站出水必须进行消毒处理。</w:t>
            </w:r>
          </w:p>
          <w:p>
            <w:pPr>
              <w:spacing w:line="360" w:lineRule="auto"/>
              <w:ind w:firstLine="480" w:firstLineChars="200"/>
              <w:rPr>
                <w:bCs/>
                <w:sz w:val="24"/>
                <w:szCs w:val="24"/>
              </w:rPr>
            </w:pPr>
            <w:r>
              <w:rPr>
                <w:rFonts w:hint="eastAsia"/>
                <w:bCs/>
                <w:sz w:val="24"/>
                <w:szCs w:val="24"/>
              </w:rPr>
              <w:t>常用的消毒方法有加氯消毒、ClO</w:t>
            </w:r>
            <w:r>
              <w:rPr>
                <w:rFonts w:hint="eastAsia"/>
                <w:bCs/>
                <w:sz w:val="24"/>
                <w:szCs w:val="24"/>
                <w:vertAlign w:val="subscript"/>
              </w:rPr>
              <w:t>2</w:t>
            </w:r>
            <w:r>
              <w:rPr>
                <w:rFonts w:hint="eastAsia"/>
                <w:bCs/>
                <w:sz w:val="24"/>
                <w:szCs w:val="24"/>
              </w:rPr>
              <w:t>消毒、臭氧消毒、紫外线消毒等。</w:t>
            </w:r>
          </w:p>
          <w:p>
            <w:pPr>
              <w:spacing w:line="360" w:lineRule="auto"/>
              <w:ind w:firstLine="480" w:firstLineChars="200"/>
              <w:rPr>
                <w:bCs/>
                <w:sz w:val="24"/>
                <w:szCs w:val="24"/>
              </w:rPr>
            </w:pPr>
            <w:r>
              <w:rPr>
                <w:rFonts w:hint="eastAsia"/>
                <w:bCs/>
                <w:sz w:val="24"/>
                <w:szCs w:val="24"/>
              </w:rPr>
              <w:t>目前，我国污水处理站出水消毒仍以加氯消毒为主，国外有较多污水处理站采用了紫外线消毒，国内也有一些污水处理站已采用该法消毒。污水处理站出水消毒备选方案进行综合比较情况，见下表：</w:t>
            </w:r>
          </w:p>
          <w:p>
            <w:pPr>
              <w:autoSpaceDE w:val="0"/>
              <w:autoSpaceDN w:val="0"/>
              <w:adjustRightInd w:val="0"/>
              <w:spacing w:line="460" w:lineRule="exact"/>
              <w:ind w:firstLine="527" w:firstLineChars="250"/>
              <w:jc w:val="center"/>
              <w:rPr>
                <w:b/>
                <w:szCs w:val="21"/>
              </w:rPr>
            </w:pPr>
            <w:r>
              <w:rPr>
                <w:rFonts w:hint="eastAsia"/>
                <w:b/>
                <w:szCs w:val="21"/>
              </w:rPr>
              <w:t>表30    出水消毒方案比较一览表</w:t>
            </w:r>
          </w:p>
          <w:tbl>
            <w:tblPr>
              <w:tblStyle w:val="36"/>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81"/>
              <w:gridCol w:w="1780"/>
              <w:gridCol w:w="1780"/>
              <w:gridCol w:w="1780"/>
              <w:gridCol w:w="17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81" w:type="dxa"/>
                  <w:vAlign w:val="center"/>
                </w:tcPr>
                <w:p>
                  <w:pPr>
                    <w:jc w:val="center"/>
                    <w:rPr>
                      <w:b/>
                      <w:szCs w:val="21"/>
                    </w:rPr>
                  </w:pPr>
                  <w:r>
                    <w:rPr>
                      <w:b/>
                      <w:szCs w:val="21"/>
                    </w:rPr>
                    <w:t>项目</w:t>
                  </w:r>
                </w:p>
              </w:tc>
              <w:tc>
                <w:tcPr>
                  <w:tcW w:w="1780" w:type="dxa"/>
                  <w:vAlign w:val="center"/>
                </w:tcPr>
                <w:p>
                  <w:pPr>
                    <w:jc w:val="center"/>
                    <w:rPr>
                      <w:b/>
                      <w:szCs w:val="21"/>
                    </w:rPr>
                  </w:pPr>
                  <w:r>
                    <w:rPr>
                      <w:b/>
                      <w:szCs w:val="21"/>
                    </w:rPr>
                    <w:t>液氯</w:t>
                  </w:r>
                </w:p>
              </w:tc>
              <w:tc>
                <w:tcPr>
                  <w:tcW w:w="1780" w:type="dxa"/>
                  <w:vAlign w:val="center"/>
                </w:tcPr>
                <w:p>
                  <w:pPr>
                    <w:jc w:val="center"/>
                    <w:rPr>
                      <w:b/>
                      <w:szCs w:val="21"/>
                    </w:rPr>
                  </w:pPr>
                  <w:r>
                    <w:rPr>
                      <w:b/>
                      <w:szCs w:val="21"/>
                    </w:rPr>
                    <w:t>二氧化氯</w:t>
                  </w:r>
                </w:p>
              </w:tc>
              <w:tc>
                <w:tcPr>
                  <w:tcW w:w="1780" w:type="dxa"/>
                  <w:vAlign w:val="center"/>
                </w:tcPr>
                <w:p>
                  <w:pPr>
                    <w:jc w:val="center"/>
                    <w:rPr>
                      <w:b/>
                      <w:szCs w:val="21"/>
                    </w:rPr>
                  </w:pPr>
                  <w:r>
                    <w:rPr>
                      <w:b/>
                      <w:szCs w:val="21"/>
                    </w:rPr>
                    <w:t>紫外线</w:t>
                  </w:r>
                </w:p>
              </w:tc>
              <w:tc>
                <w:tcPr>
                  <w:tcW w:w="1780" w:type="dxa"/>
                  <w:vAlign w:val="center"/>
                </w:tcPr>
                <w:p>
                  <w:pPr>
                    <w:jc w:val="center"/>
                    <w:rPr>
                      <w:b/>
                      <w:szCs w:val="21"/>
                    </w:rPr>
                  </w:pPr>
                  <w:r>
                    <w:rPr>
                      <w:b/>
                      <w:szCs w:val="21"/>
                    </w:rPr>
                    <w:t>臭氧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81" w:type="dxa"/>
                  <w:vAlign w:val="center"/>
                </w:tcPr>
                <w:p>
                  <w:pPr>
                    <w:jc w:val="center"/>
                    <w:rPr>
                      <w:szCs w:val="21"/>
                    </w:rPr>
                  </w:pPr>
                  <w:r>
                    <w:rPr>
                      <w:rFonts w:hint="eastAsia"/>
                      <w:szCs w:val="21"/>
                    </w:rPr>
                    <w:t>需要处理时间</w:t>
                  </w:r>
                </w:p>
              </w:tc>
              <w:tc>
                <w:tcPr>
                  <w:tcW w:w="1780" w:type="dxa"/>
                  <w:vAlign w:val="center"/>
                </w:tcPr>
                <w:p>
                  <w:pPr>
                    <w:jc w:val="center"/>
                    <w:rPr>
                      <w:szCs w:val="21"/>
                    </w:rPr>
                  </w:pPr>
                  <w:r>
                    <w:rPr>
                      <w:rFonts w:hint="eastAsia"/>
                      <w:szCs w:val="21"/>
                    </w:rPr>
                    <w:t>10~30分钟</w:t>
                  </w:r>
                </w:p>
              </w:tc>
              <w:tc>
                <w:tcPr>
                  <w:tcW w:w="1780" w:type="dxa"/>
                  <w:vAlign w:val="center"/>
                </w:tcPr>
                <w:p>
                  <w:pPr>
                    <w:jc w:val="center"/>
                    <w:rPr>
                      <w:szCs w:val="21"/>
                    </w:rPr>
                  </w:pPr>
                  <w:r>
                    <w:rPr>
                      <w:rFonts w:hint="eastAsia"/>
                      <w:szCs w:val="21"/>
                    </w:rPr>
                    <w:t>比液氯稍快</w:t>
                  </w:r>
                </w:p>
              </w:tc>
              <w:tc>
                <w:tcPr>
                  <w:tcW w:w="1780" w:type="dxa"/>
                  <w:vAlign w:val="center"/>
                </w:tcPr>
                <w:p>
                  <w:pPr>
                    <w:jc w:val="center"/>
                    <w:rPr>
                      <w:szCs w:val="21"/>
                    </w:rPr>
                  </w:pPr>
                  <w:r>
                    <w:rPr>
                      <w:rFonts w:hint="eastAsia"/>
                      <w:szCs w:val="21"/>
                    </w:rPr>
                    <w:t>时间最快</w:t>
                  </w:r>
                </w:p>
              </w:tc>
              <w:tc>
                <w:tcPr>
                  <w:tcW w:w="1780" w:type="dxa"/>
                  <w:vAlign w:val="center"/>
                </w:tcPr>
                <w:p>
                  <w:pPr>
                    <w:jc w:val="center"/>
                    <w:rPr>
                      <w:szCs w:val="21"/>
                    </w:rPr>
                  </w:pPr>
                  <w:r>
                    <w:rPr>
                      <w:rFonts w:hint="eastAsia"/>
                      <w:szCs w:val="21"/>
                    </w:rPr>
                    <w:t>5~10分钟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81" w:type="dxa"/>
                  <w:vAlign w:val="center"/>
                </w:tcPr>
                <w:p>
                  <w:pPr>
                    <w:jc w:val="center"/>
                    <w:rPr>
                      <w:szCs w:val="21"/>
                    </w:rPr>
                  </w:pPr>
                  <w:r>
                    <w:rPr>
                      <w:rFonts w:hint="eastAsia"/>
                      <w:szCs w:val="21"/>
                    </w:rPr>
                    <w:t>对细菌的有效性</w:t>
                  </w:r>
                </w:p>
              </w:tc>
              <w:tc>
                <w:tcPr>
                  <w:tcW w:w="1780" w:type="dxa"/>
                  <w:vAlign w:val="center"/>
                </w:tcPr>
                <w:p>
                  <w:pPr>
                    <w:jc w:val="center"/>
                    <w:rPr>
                      <w:szCs w:val="21"/>
                    </w:rPr>
                  </w:pPr>
                  <w:r>
                    <w:rPr>
                      <w:rFonts w:hint="eastAsia"/>
                      <w:szCs w:val="21"/>
                    </w:rPr>
                    <w:t>有</w:t>
                  </w:r>
                </w:p>
              </w:tc>
              <w:tc>
                <w:tcPr>
                  <w:tcW w:w="1780" w:type="dxa"/>
                  <w:vAlign w:val="center"/>
                </w:tcPr>
                <w:p>
                  <w:pPr>
                    <w:jc w:val="center"/>
                    <w:rPr>
                      <w:szCs w:val="21"/>
                    </w:rPr>
                  </w:pPr>
                  <w:r>
                    <w:rPr>
                      <w:rFonts w:hint="eastAsia"/>
                      <w:szCs w:val="21"/>
                    </w:rPr>
                    <w:t>有</w:t>
                  </w:r>
                </w:p>
              </w:tc>
              <w:tc>
                <w:tcPr>
                  <w:tcW w:w="1780" w:type="dxa"/>
                  <w:vAlign w:val="center"/>
                </w:tcPr>
                <w:p>
                  <w:pPr>
                    <w:jc w:val="center"/>
                    <w:rPr>
                      <w:szCs w:val="21"/>
                    </w:rPr>
                  </w:pPr>
                  <w:r>
                    <w:rPr>
                      <w:rFonts w:hint="eastAsia"/>
                      <w:szCs w:val="21"/>
                    </w:rPr>
                    <w:t>有</w:t>
                  </w:r>
                </w:p>
              </w:tc>
              <w:tc>
                <w:tcPr>
                  <w:tcW w:w="1780" w:type="dxa"/>
                  <w:vAlign w:val="center"/>
                </w:tcPr>
                <w:p>
                  <w:pPr>
                    <w:jc w:val="center"/>
                    <w:rPr>
                      <w:szCs w:val="21"/>
                    </w:rPr>
                  </w:pPr>
                  <w:r>
                    <w:rPr>
                      <w:rFonts w:hint="eastAsia"/>
                      <w:szCs w:val="21"/>
                    </w:rPr>
                    <w:t>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81" w:type="dxa"/>
                  <w:vAlign w:val="center"/>
                </w:tcPr>
                <w:p>
                  <w:pPr>
                    <w:jc w:val="center"/>
                    <w:rPr>
                      <w:szCs w:val="21"/>
                    </w:rPr>
                  </w:pPr>
                  <w:r>
                    <w:rPr>
                      <w:rFonts w:hint="eastAsia"/>
                      <w:szCs w:val="21"/>
                    </w:rPr>
                    <w:t>对病毒的有效性</w:t>
                  </w:r>
                </w:p>
              </w:tc>
              <w:tc>
                <w:tcPr>
                  <w:tcW w:w="1780" w:type="dxa"/>
                  <w:vAlign w:val="center"/>
                </w:tcPr>
                <w:p>
                  <w:pPr>
                    <w:jc w:val="center"/>
                    <w:rPr>
                      <w:szCs w:val="21"/>
                    </w:rPr>
                  </w:pPr>
                  <w:r>
                    <w:rPr>
                      <w:rFonts w:hint="eastAsia"/>
                      <w:szCs w:val="21"/>
                    </w:rPr>
                    <w:t>有一些</w:t>
                  </w:r>
                </w:p>
              </w:tc>
              <w:tc>
                <w:tcPr>
                  <w:tcW w:w="1780" w:type="dxa"/>
                  <w:vAlign w:val="center"/>
                </w:tcPr>
                <w:p>
                  <w:pPr>
                    <w:jc w:val="center"/>
                    <w:rPr>
                      <w:szCs w:val="21"/>
                    </w:rPr>
                  </w:pPr>
                  <w:r>
                    <w:rPr>
                      <w:rFonts w:hint="eastAsia"/>
                      <w:szCs w:val="21"/>
                    </w:rPr>
                    <w:t>有一些</w:t>
                  </w:r>
                </w:p>
              </w:tc>
              <w:tc>
                <w:tcPr>
                  <w:tcW w:w="1780" w:type="dxa"/>
                  <w:vAlign w:val="center"/>
                </w:tcPr>
                <w:p>
                  <w:pPr>
                    <w:jc w:val="center"/>
                    <w:rPr>
                      <w:szCs w:val="21"/>
                    </w:rPr>
                  </w:pPr>
                  <w:r>
                    <w:rPr>
                      <w:rFonts w:hint="eastAsia"/>
                      <w:szCs w:val="21"/>
                    </w:rPr>
                    <w:t>有一些</w:t>
                  </w:r>
                </w:p>
              </w:tc>
              <w:tc>
                <w:tcPr>
                  <w:tcW w:w="1780" w:type="dxa"/>
                  <w:vAlign w:val="center"/>
                </w:tcPr>
                <w:p>
                  <w:pPr>
                    <w:jc w:val="center"/>
                    <w:rPr>
                      <w:szCs w:val="21"/>
                    </w:rPr>
                  </w:pPr>
                  <w:r>
                    <w:rPr>
                      <w:rFonts w:hint="eastAsia"/>
                      <w:szCs w:val="21"/>
                    </w:rPr>
                    <w:t>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81" w:type="dxa"/>
                  <w:vAlign w:val="center"/>
                </w:tcPr>
                <w:p>
                  <w:pPr>
                    <w:jc w:val="center"/>
                    <w:rPr>
                      <w:szCs w:val="21"/>
                    </w:rPr>
                  </w:pPr>
                  <w:r>
                    <w:rPr>
                      <w:rFonts w:hint="eastAsia"/>
                      <w:szCs w:val="21"/>
                    </w:rPr>
                    <w:t>设备投资</w:t>
                  </w:r>
                </w:p>
              </w:tc>
              <w:tc>
                <w:tcPr>
                  <w:tcW w:w="1780" w:type="dxa"/>
                  <w:vAlign w:val="center"/>
                </w:tcPr>
                <w:p>
                  <w:pPr>
                    <w:jc w:val="center"/>
                    <w:rPr>
                      <w:szCs w:val="21"/>
                    </w:rPr>
                  </w:pPr>
                  <w:r>
                    <w:rPr>
                      <w:rFonts w:hint="eastAsia"/>
                      <w:szCs w:val="21"/>
                    </w:rPr>
                    <w:t>最低</w:t>
                  </w:r>
                </w:p>
              </w:tc>
              <w:tc>
                <w:tcPr>
                  <w:tcW w:w="1780" w:type="dxa"/>
                  <w:vAlign w:val="center"/>
                </w:tcPr>
                <w:p>
                  <w:pPr>
                    <w:jc w:val="center"/>
                    <w:rPr>
                      <w:szCs w:val="21"/>
                    </w:rPr>
                  </w:pPr>
                  <w:r>
                    <w:rPr>
                      <w:rFonts w:hint="eastAsia"/>
                      <w:szCs w:val="21"/>
                    </w:rPr>
                    <w:t>比液氯高，比其他方法低许多</w:t>
                  </w:r>
                </w:p>
              </w:tc>
              <w:tc>
                <w:tcPr>
                  <w:tcW w:w="1780" w:type="dxa"/>
                  <w:vAlign w:val="center"/>
                </w:tcPr>
                <w:p>
                  <w:pPr>
                    <w:jc w:val="center"/>
                    <w:rPr>
                      <w:szCs w:val="21"/>
                    </w:rPr>
                  </w:pPr>
                  <w:r>
                    <w:rPr>
                      <w:rFonts w:hint="eastAsia"/>
                      <w:szCs w:val="21"/>
                    </w:rPr>
                    <w:t>高</w:t>
                  </w:r>
                </w:p>
              </w:tc>
              <w:tc>
                <w:tcPr>
                  <w:tcW w:w="1780" w:type="dxa"/>
                  <w:vAlign w:val="center"/>
                </w:tcPr>
                <w:p>
                  <w:pPr>
                    <w:jc w:val="center"/>
                    <w:rPr>
                      <w:szCs w:val="21"/>
                    </w:rPr>
                  </w:pPr>
                  <w:r>
                    <w:rPr>
                      <w:rFonts w:hint="eastAsia"/>
                      <w:szCs w:val="21"/>
                    </w:rPr>
                    <w:t>液氯的5倍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81" w:type="dxa"/>
                  <w:vAlign w:val="center"/>
                </w:tcPr>
                <w:p>
                  <w:pPr>
                    <w:jc w:val="center"/>
                    <w:rPr>
                      <w:szCs w:val="21"/>
                    </w:rPr>
                  </w:pPr>
                  <w:r>
                    <w:rPr>
                      <w:rFonts w:hint="eastAsia"/>
                      <w:szCs w:val="21"/>
                    </w:rPr>
                    <w:t>运行费用</w:t>
                  </w:r>
                </w:p>
              </w:tc>
              <w:tc>
                <w:tcPr>
                  <w:tcW w:w="1780" w:type="dxa"/>
                  <w:vAlign w:val="center"/>
                </w:tcPr>
                <w:p>
                  <w:pPr>
                    <w:jc w:val="center"/>
                    <w:rPr>
                      <w:szCs w:val="21"/>
                    </w:rPr>
                  </w:pPr>
                  <w:r>
                    <w:rPr>
                      <w:rFonts w:hint="eastAsia"/>
                      <w:szCs w:val="21"/>
                    </w:rPr>
                    <w:t>较高</w:t>
                  </w:r>
                </w:p>
              </w:tc>
              <w:tc>
                <w:tcPr>
                  <w:tcW w:w="1780" w:type="dxa"/>
                  <w:vAlign w:val="center"/>
                </w:tcPr>
                <w:p>
                  <w:pPr>
                    <w:jc w:val="center"/>
                    <w:rPr>
                      <w:szCs w:val="21"/>
                    </w:rPr>
                  </w:pPr>
                  <w:r>
                    <w:rPr>
                      <w:rFonts w:hint="eastAsia"/>
                      <w:szCs w:val="21"/>
                    </w:rPr>
                    <w:t>比液氯高</w:t>
                  </w:r>
                </w:p>
              </w:tc>
              <w:tc>
                <w:tcPr>
                  <w:tcW w:w="1780" w:type="dxa"/>
                  <w:vAlign w:val="center"/>
                </w:tcPr>
                <w:p>
                  <w:pPr>
                    <w:jc w:val="center"/>
                    <w:rPr>
                      <w:szCs w:val="21"/>
                    </w:rPr>
                  </w:pPr>
                  <w:r>
                    <w:rPr>
                      <w:rFonts w:hint="eastAsia"/>
                      <w:szCs w:val="21"/>
                    </w:rPr>
                    <w:t>低</w:t>
                  </w:r>
                </w:p>
              </w:tc>
              <w:tc>
                <w:tcPr>
                  <w:tcW w:w="1780" w:type="dxa"/>
                  <w:vAlign w:val="center"/>
                </w:tcPr>
                <w:p>
                  <w:pPr>
                    <w:jc w:val="center"/>
                    <w:rPr>
                      <w:szCs w:val="21"/>
                    </w:rPr>
                  </w:pPr>
                  <w:r>
                    <w:rPr>
                      <w:rFonts w:hint="eastAsia"/>
                      <w:szCs w:val="21"/>
                    </w:rPr>
                    <w:t>比液氯高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81" w:type="dxa"/>
                  <w:vAlign w:val="center"/>
                </w:tcPr>
                <w:p>
                  <w:pPr>
                    <w:jc w:val="center"/>
                    <w:rPr>
                      <w:szCs w:val="21"/>
                    </w:rPr>
                  </w:pPr>
                  <w:r>
                    <w:rPr>
                      <w:rFonts w:hint="eastAsia"/>
                      <w:szCs w:val="21"/>
                    </w:rPr>
                    <w:t>优点</w:t>
                  </w:r>
                </w:p>
              </w:tc>
              <w:tc>
                <w:tcPr>
                  <w:tcW w:w="1780" w:type="dxa"/>
                  <w:vAlign w:val="center"/>
                </w:tcPr>
                <w:p>
                  <w:pPr>
                    <w:jc w:val="center"/>
                    <w:rPr>
                      <w:szCs w:val="21"/>
                    </w:rPr>
                  </w:pPr>
                  <w:r>
                    <w:rPr>
                      <w:rFonts w:hint="eastAsia"/>
                      <w:szCs w:val="21"/>
                    </w:rPr>
                    <w:t>价廉；技术成熟；有保护性余氯，有持续杀菌的能力</w:t>
                  </w:r>
                </w:p>
              </w:tc>
              <w:tc>
                <w:tcPr>
                  <w:tcW w:w="1780" w:type="dxa"/>
                  <w:vAlign w:val="center"/>
                </w:tcPr>
                <w:p>
                  <w:pPr>
                    <w:jc w:val="center"/>
                    <w:rPr>
                      <w:szCs w:val="21"/>
                    </w:rPr>
                  </w:pPr>
                  <w:r>
                    <w:rPr>
                      <w:rFonts w:hint="eastAsia"/>
                      <w:szCs w:val="21"/>
                    </w:rPr>
                    <w:t>价廉；可现场制造；技术成熟，有持续杀菌的能力</w:t>
                  </w:r>
                </w:p>
              </w:tc>
              <w:tc>
                <w:tcPr>
                  <w:tcW w:w="1780" w:type="dxa"/>
                  <w:vAlign w:val="center"/>
                </w:tcPr>
                <w:p>
                  <w:pPr>
                    <w:jc w:val="center"/>
                    <w:rPr>
                      <w:szCs w:val="21"/>
                    </w:rPr>
                  </w:pPr>
                  <w:r>
                    <w:rPr>
                      <w:rFonts w:hint="eastAsia"/>
                      <w:szCs w:val="21"/>
                    </w:rPr>
                    <w:t>杀菌效应快</w:t>
                  </w:r>
                </w:p>
              </w:tc>
              <w:tc>
                <w:tcPr>
                  <w:tcW w:w="1780" w:type="dxa"/>
                  <w:vAlign w:val="center"/>
                </w:tcPr>
                <w:p>
                  <w:pPr>
                    <w:jc w:val="center"/>
                    <w:rPr>
                      <w:szCs w:val="21"/>
                    </w:rPr>
                  </w:pPr>
                  <w:r>
                    <w:rPr>
                      <w:rFonts w:hint="eastAsia"/>
                      <w:szCs w:val="21"/>
                    </w:rPr>
                    <w:t>除色臭味快；广谱杀菌消毒，消毒效率是氯消毒的15倍；无二次污染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81" w:type="dxa"/>
                  <w:vAlign w:val="center"/>
                </w:tcPr>
                <w:p>
                  <w:pPr>
                    <w:jc w:val="center"/>
                    <w:rPr>
                      <w:szCs w:val="21"/>
                    </w:rPr>
                  </w:pPr>
                  <w:r>
                    <w:rPr>
                      <w:rFonts w:hint="eastAsia"/>
                      <w:szCs w:val="21"/>
                    </w:rPr>
                    <w:t>缺点</w:t>
                  </w:r>
                </w:p>
              </w:tc>
              <w:tc>
                <w:tcPr>
                  <w:tcW w:w="1780" w:type="dxa"/>
                  <w:vAlign w:val="center"/>
                </w:tcPr>
                <w:p>
                  <w:pPr>
                    <w:jc w:val="center"/>
                    <w:rPr>
                      <w:szCs w:val="21"/>
                    </w:rPr>
                  </w:pPr>
                  <w:r>
                    <w:rPr>
                      <w:rFonts w:hint="eastAsia"/>
                      <w:szCs w:val="21"/>
                    </w:rPr>
                    <w:t>对病毒无效，其氧化性对人体有害；有效刺激性气味并损害人体皮肤</w:t>
                  </w:r>
                </w:p>
              </w:tc>
              <w:tc>
                <w:tcPr>
                  <w:tcW w:w="1780" w:type="dxa"/>
                  <w:vAlign w:val="center"/>
                </w:tcPr>
                <w:p>
                  <w:pPr>
                    <w:jc w:val="center"/>
                    <w:rPr>
                      <w:szCs w:val="21"/>
                    </w:rPr>
                  </w:pPr>
                  <w:r>
                    <w:rPr>
                      <w:rFonts w:hint="eastAsia"/>
                      <w:szCs w:val="21"/>
                    </w:rPr>
                    <w:t>检测手段还不完备，对于二氧化氯的消毒副产物亚氯酸根的毒理学认识尚无定论</w:t>
                  </w:r>
                </w:p>
              </w:tc>
              <w:tc>
                <w:tcPr>
                  <w:tcW w:w="1780" w:type="dxa"/>
                  <w:vAlign w:val="center"/>
                </w:tcPr>
                <w:p>
                  <w:pPr>
                    <w:jc w:val="center"/>
                    <w:rPr>
                      <w:szCs w:val="21"/>
                    </w:rPr>
                  </w:pPr>
                  <w:r>
                    <w:rPr>
                      <w:rFonts w:hint="eastAsia"/>
                      <w:szCs w:val="21"/>
                    </w:rPr>
                    <w:t>价格高；无持续杀菌能力；对水的前处理要求高；穿透力强</w:t>
                  </w:r>
                </w:p>
              </w:tc>
              <w:tc>
                <w:tcPr>
                  <w:tcW w:w="1780" w:type="dxa"/>
                  <w:vAlign w:val="center"/>
                </w:tcPr>
                <w:p>
                  <w:pPr>
                    <w:jc w:val="center"/>
                    <w:rPr>
                      <w:szCs w:val="21"/>
                    </w:rPr>
                  </w:pPr>
                  <w:r>
                    <w:rPr>
                      <w:rFonts w:hint="eastAsia"/>
                      <w:szCs w:val="21"/>
                    </w:rPr>
                    <w:t>价格高；无持续杀菌能力；安全要求高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81" w:type="dxa"/>
                  <w:vAlign w:val="center"/>
                </w:tcPr>
                <w:p>
                  <w:pPr>
                    <w:jc w:val="center"/>
                    <w:rPr>
                      <w:szCs w:val="21"/>
                    </w:rPr>
                  </w:pPr>
                  <w:r>
                    <w:rPr>
                      <w:rFonts w:hint="eastAsia"/>
                      <w:szCs w:val="21"/>
                    </w:rPr>
                    <w:t>适合类型</w:t>
                  </w:r>
                </w:p>
              </w:tc>
              <w:tc>
                <w:tcPr>
                  <w:tcW w:w="1780" w:type="dxa"/>
                  <w:vAlign w:val="center"/>
                </w:tcPr>
                <w:p>
                  <w:pPr>
                    <w:jc w:val="center"/>
                    <w:rPr>
                      <w:szCs w:val="21"/>
                    </w:rPr>
                  </w:pPr>
                  <w:r>
                    <w:rPr>
                      <w:rFonts w:hint="eastAsia"/>
                      <w:szCs w:val="21"/>
                    </w:rPr>
                    <w:t>所有类型的污水处理或给水处理</w:t>
                  </w:r>
                </w:p>
              </w:tc>
              <w:tc>
                <w:tcPr>
                  <w:tcW w:w="1780" w:type="dxa"/>
                  <w:vAlign w:val="center"/>
                </w:tcPr>
                <w:p>
                  <w:pPr>
                    <w:jc w:val="center"/>
                    <w:rPr>
                      <w:szCs w:val="21"/>
                    </w:rPr>
                  </w:pPr>
                  <w:r>
                    <w:rPr>
                      <w:rFonts w:hint="eastAsia"/>
                      <w:szCs w:val="21"/>
                    </w:rPr>
                    <w:t>所有类型的污水处理；所有类型的给水处理</w:t>
                  </w:r>
                </w:p>
              </w:tc>
              <w:tc>
                <w:tcPr>
                  <w:tcW w:w="1780" w:type="dxa"/>
                  <w:vAlign w:val="center"/>
                </w:tcPr>
                <w:p>
                  <w:pPr>
                    <w:jc w:val="center"/>
                    <w:rPr>
                      <w:szCs w:val="21"/>
                    </w:rPr>
                  </w:pPr>
                  <w:r>
                    <w:rPr>
                      <w:rFonts w:hint="eastAsia"/>
                      <w:szCs w:val="21"/>
                    </w:rPr>
                    <w:t>简单空气杀菌、医院废水、饮料生产用水、污水处理排放</w:t>
                  </w:r>
                </w:p>
              </w:tc>
              <w:tc>
                <w:tcPr>
                  <w:tcW w:w="1780" w:type="dxa"/>
                  <w:vAlign w:val="center"/>
                </w:tcPr>
                <w:p>
                  <w:pPr>
                    <w:jc w:val="center"/>
                    <w:rPr>
                      <w:szCs w:val="21"/>
                    </w:rPr>
                  </w:pPr>
                  <w:r>
                    <w:rPr>
                      <w:rFonts w:hint="eastAsia"/>
                      <w:szCs w:val="21"/>
                    </w:rPr>
                    <w:t>适合所有场合水处理的杀菌和消毒；空气消毒；器械表面消毒</w:t>
                  </w:r>
                </w:p>
              </w:tc>
            </w:tr>
          </w:tbl>
          <w:p>
            <w:pPr>
              <w:spacing w:line="360" w:lineRule="auto"/>
              <w:ind w:firstLine="480" w:firstLineChars="200"/>
              <w:rPr>
                <w:bCs/>
                <w:sz w:val="24"/>
                <w:szCs w:val="24"/>
              </w:rPr>
            </w:pPr>
            <w:r>
              <w:rPr>
                <w:rFonts w:hint="eastAsia"/>
                <w:bCs/>
                <w:sz w:val="24"/>
                <w:szCs w:val="24"/>
              </w:rPr>
              <w:t>通过上表可以看出，在消毒杀菌的有效性方面，二氧化氯与紫外线差不多，二氧化氯消毒的最大优势在于它在水中不与有机物发生取代或加成反应而生成有害的消毒副产物；而紫外线消毒占地面积小，运行简单，但一次性投资高，对前处理要求较高；臭氧消毒效果较好，但因设备一次性投资大，运行费用高，主要用于给水处理，在污水消毒上应用较少；液氯消毒工艺成熟、消毒效果稳定可靠、成本低廉，但需要较长的接触时间，能与水中的某些有机物反应生成THMs（三卤甲烷）或其它有害的衍生物，产生二次污染，危害人体健康和生态安全，所以有逐渐被取代的趋势。</w:t>
            </w:r>
          </w:p>
          <w:p>
            <w:pPr>
              <w:spacing w:line="360" w:lineRule="auto"/>
              <w:ind w:firstLine="480" w:firstLineChars="200"/>
              <w:rPr>
                <w:bCs/>
                <w:sz w:val="24"/>
                <w:szCs w:val="24"/>
              </w:rPr>
            </w:pPr>
            <w:r>
              <w:rPr>
                <w:rFonts w:hint="eastAsia"/>
                <w:bCs/>
                <w:sz w:val="24"/>
                <w:szCs w:val="24"/>
              </w:rPr>
              <w:t>对于集中式污水处理站，采用紫外消毒法具有成熟稳妥、运行维护简单，因此本项目出水消毒推荐采用紫外消毒法。</w:t>
            </w:r>
          </w:p>
          <w:p>
            <w:pPr>
              <w:spacing w:line="360" w:lineRule="auto"/>
              <w:ind w:firstLine="480" w:firstLineChars="200"/>
              <w:rPr>
                <w:bCs/>
                <w:sz w:val="24"/>
                <w:szCs w:val="24"/>
              </w:rPr>
            </w:pPr>
            <w:r>
              <w:rPr>
                <w:rFonts w:hint="eastAsia"/>
                <w:bCs/>
                <w:sz w:val="24"/>
                <w:szCs w:val="24"/>
              </w:rPr>
              <w:t>4、污泥的处理与处置</w:t>
            </w:r>
          </w:p>
          <w:p>
            <w:pPr>
              <w:spacing w:line="360" w:lineRule="auto"/>
              <w:ind w:firstLine="480" w:firstLineChars="200"/>
              <w:rPr>
                <w:bCs/>
                <w:sz w:val="24"/>
                <w:szCs w:val="24"/>
              </w:rPr>
            </w:pPr>
            <w:r>
              <w:rPr>
                <w:rFonts w:hint="eastAsia"/>
                <w:bCs/>
                <w:sz w:val="24"/>
                <w:szCs w:val="24"/>
              </w:rPr>
              <w:t>城市污水在进行处理的过程中都要产生各种污泥，污泥中有的是截留下来的悬浮物质，有的是由生物处理系统排出的生物污泥，这些污泥必须妥善处理和处置，否则将造成二次污染。</w:t>
            </w:r>
          </w:p>
          <w:p>
            <w:pPr>
              <w:spacing w:line="360" w:lineRule="auto"/>
              <w:ind w:firstLine="480" w:firstLineChars="200"/>
              <w:rPr>
                <w:bCs/>
                <w:sz w:val="24"/>
                <w:szCs w:val="24"/>
              </w:rPr>
            </w:pPr>
            <w:r>
              <w:rPr>
                <w:rFonts w:hint="eastAsia"/>
                <w:sz w:val="24"/>
                <w:szCs w:val="24"/>
              </w:rPr>
              <w:t>（1）</w:t>
            </w:r>
            <w:r>
              <w:rPr>
                <w:rFonts w:hint="eastAsia"/>
                <w:bCs/>
                <w:sz w:val="24"/>
                <w:szCs w:val="24"/>
              </w:rPr>
              <w:t>污泥浓缩工艺比选</w:t>
            </w:r>
          </w:p>
          <w:p>
            <w:pPr>
              <w:spacing w:line="360" w:lineRule="auto"/>
              <w:ind w:firstLine="480" w:firstLineChars="200"/>
              <w:rPr>
                <w:bCs/>
                <w:sz w:val="24"/>
                <w:szCs w:val="24"/>
              </w:rPr>
            </w:pPr>
            <w:r>
              <w:rPr>
                <w:bCs/>
                <w:sz w:val="24"/>
                <w:szCs w:val="24"/>
              </w:rPr>
              <w:t>生化污泥在未经过浓缩前含水率较高，达99.6%～99%，体积很大，所以需对污泥进行适当的浓缩处理，以减少污泥体积，满足污泥脱水的要求。目前污泥浓缩的方法主要有重力浓缩和机械浓缩。</w:t>
            </w:r>
          </w:p>
          <w:p>
            <w:pPr>
              <w:spacing w:line="360" w:lineRule="auto"/>
              <w:ind w:firstLine="480" w:firstLineChars="200"/>
              <w:rPr>
                <w:bCs/>
                <w:sz w:val="24"/>
                <w:szCs w:val="24"/>
              </w:rPr>
            </w:pPr>
            <w:r>
              <w:rPr>
                <w:rFonts w:hint="eastAsia"/>
                <w:bCs/>
                <w:sz w:val="24"/>
                <w:szCs w:val="24"/>
              </w:rPr>
              <w:t>重力浓缩：</w:t>
            </w:r>
          </w:p>
          <w:p>
            <w:pPr>
              <w:spacing w:line="360" w:lineRule="auto"/>
              <w:ind w:firstLine="480" w:firstLineChars="200"/>
              <w:rPr>
                <w:bCs/>
                <w:sz w:val="24"/>
                <w:szCs w:val="24"/>
              </w:rPr>
            </w:pPr>
            <w:r>
              <w:rPr>
                <w:rFonts w:hint="eastAsia"/>
                <w:bCs/>
                <w:sz w:val="24"/>
                <w:szCs w:val="24"/>
              </w:rPr>
              <w:t>重力浓缩具有不需投药、能耗低、运行稳定、管理简单等优点，当单独浓缩活性污泥时，可将含水率从99.5%～99.6%降至 97%～98%，缺点是效率低、污泥停留时间长，污泥易于厌氧释磷。</w:t>
            </w:r>
          </w:p>
          <w:p>
            <w:pPr>
              <w:spacing w:line="360" w:lineRule="auto"/>
              <w:ind w:firstLine="480" w:firstLineChars="200"/>
              <w:rPr>
                <w:bCs/>
                <w:sz w:val="24"/>
                <w:szCs w:val="24"/>
              </w:rPr>
            </w:pPr>
            <w:r>
              <w:rPr>
                <w:rFonts w:hint="eastAsia"/>
                <w:bCs/>
                <w:sz w:val="24"/>
                <w:szCs w:val="24"/>
              </w:rPr>
              <w:t>机械浓缩：</w:t>
            </w:r>
          </w:p>
          <w:p>
            <w:pPr>
              <w:spacing w:line="360" w:lineRule="auto"/>
              <w:ind w:firstLine="480" w:firstLineChars="200"/>
              <w:rPr>
                <w:bCs/>
                <w:sz w:val="24"/>
                <w:szCs w:val="24"/>
              </w:rPr>
            </w:pPr>
            <w:r>
              <w:rPr>
                <w:rFonts w:hint="eastAsia"/>
                <w:bCs/>
                <w:sz w:val="24"/>
                <w:szCs w:val="24"/>
              </w:rPr>
              <w:t>机械浓缩是近年来发展较快的一种污泥浓缩方式，通过投加化学药剂使污泥产生化学絮凝后，以机械方式降低污泥的含水率，适合各类污泥。它具有占地省、卫生条件好等优点，缺点是需要投加药剂，投资较大。</w:t>
            </w:r>
          </w:p>
          <w:p>
            <w:pPr>
              <w:spacing w:line="360" w:lineRule="auto"/>
              <w:ind w:firstLine="480" w:firstLineChars="200"/>
              <w:rPr>
                <w:bCs/>
                <w:sz w:val="24"/>
                <w:szCs w:val="24"/>
              </w:rPr>
            </w:pPr>
            <w:r>
              <w:rPr>
                <w:rFonts w:hint="eastAsia"/>
                <w:bCs/>
                <w:sz w:val="24"/>
                <w:szCs w:val="24"/>
              </w:rPr>
              <w:t>两种方案的技术经济比较见下表：</w:t>
            </w:r>
          </w:p>
          <w:p>
            <w:pPr>
              <w:spacing w:line="360" w:lineRule="auto"/>
              <w:ind w:firstLine="826" w:firstLineChars="392"/>
              <w:jc w:val="center"/>
              <w:rPr>
                <w:b/>
                <w:szCs w:val="21"/>
              </w:rPr>
            </w:pPr>
            <w:r>
              <w:rPr>
                <w:rFonts w:hint="eastAsia"/>
                <w:b/>
                <w:szCs w:val="21"/>
              </w:rPr>
              <w:t>表31      机械浓缩和重力浓缩的技术经济比较</w:t>
            </w:r>
          </w:p>
          <w:tbl>
            <w:tblPr>
              <w:tblStyle w:val="36"/>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67"/>
              <w:gridCol w:w="2968"/>
              <w:gridCol w:w="29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967" w:type="dxa"/>
                  <w:vAlign w:val="center"/>
                </w:tcPr>
                <w:p>
                  <w:pPr>
                    <w:jc w:val="center"/>
                    <w:rPr>
                      <w:b/>
                      <w:szCs w:val="21"/>
                    </w:rPr>
                  </w:pPr>
                  <w:r>
                    <w:rPr>
                      <w:b/>
                      <w:szCs w:val="21"/>
                    </w:rPr>
                    <w:t>项目</w:t>
                  </w:r>
                </w:p>
              </w:tc>
              <w:tc>
                <w:tcPr>
                  <w:tcW w:w="2968" w:type="dxa"/>
                  <w:vAlign w:val="center"/>
                </w:tcPr>
                <w:p>
                  <w:pPr>
                    <w:jc w:val="center"/>
                    <w:rPr>
                      <w:b/>
                      <w:szCs w:val="21"/>
                    </w:rPr>
                  </w:pPr>
                  <w:r>
                    <w:rPr>
                      <w:b/>
                      <w:szCs w:val="21"/>
                    </w:rPr>
                    <w:t>方案一：机械浓缩</w:t>
                  </w:r>
                </w:p>
              </w:tc>
              <w:tc>
                <w:tcPr>
                  <w:tcW w:w="2966" w:type="dxa"/>
                  <w:vAlign w:val="center"/>
                </w:tcPr>
                <w:p>
                  <w:pPr>
                    <w:jc w:val="center"/>
                    <w:rPr>
                      <w:b/>
                      <w:szCs w:val="21"/>
                    </w:rPr>
                  </w:pPr>
                  <w:r>
                    <w:rPr>
                      <w:b/>
                      <w:szCs w:val="21"/>
                    </w:rPr>
                    <w:t>方案二：重力浓缩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967" w:type="dxa"/>
                  <w:vAlign w:val="center"/>
                </w:tcPr>
                <w:p>
                  <w:pPr>
                    <w:jc w:val="center"/>
                    <w:rPr>
                      <w:szCs w:val="21"/>
                    </w:rPr>
                  </w:pPr>
                  <w:r>
                    <w:rPr>
                      <w:rFonts w:hint="eastAsia"/>
                      <w:szCs w:val="21"/>
                    </w:rPr>
                    <w:t>主要构筑物、设备</w:t>
                  </w:r>
                </w:p>
              </w:tc>
              <w:tc>
                <w:tcPr>
                  <w:tcW w:w="2968" w:type="dxa"/>
                  <w:vAlign w:val="center"/>
                </w:tcPr>
                <w:p>
                  <w:pPr>
                    <w:jc w:val="center"/>
                    <w:rPr>
                      <w:szCs w:val="21"/>
                    </w:rPr>
                  </w:pPr>
                  <w:r>
                    <w:rPr>
                      <w:rFonts w:hint="eastAsia"/>
                      <w:szCs w:val="21"/>
                    </w:rPr>
                    <w:t>贮泥池、污泥浓缩设备</w:t>
                  </w:r>
                </w:p>
              </w:tc>
              <w:tc>
                <w:tcPr>
                  <w:tcW w:w="2966" w:type="dxa"/>
                  <w:vAlign w:val="center"/>
                </w:tcPr>
                <w:p>
                  <w:pPr>
                    <w:jc w:val="center"/>
                    <w:rPr>
                      <w:szCs w:val="21"/>
                    </w:rPr>
                  </w:pPr>
                  <w:r>
                    <w:rPr>
                      <w:rFonts w:hint="eastAsia"/>
                      <w:szCs w:val="21"/>
                    </w:rPr>
                    <w:t>竖流式污泥浓缩池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967" w:type="dxa"/>
                  <w:vAlign w:val="center"/>
                </w:tcPr>
                <w:p>
                  <w:pPr>
                    <w:jc w:val="center"/>
                    <w:rPr>
                      <w:szCs w:val="21"/>
                    </w:rPr>
                  </w:pPr>
                  <w:r>
                    <w:rPr>
                      <w:rFonts w:hint="eastAsia"/>
                      <w:szCs w:val="21"/>
                    </w:rPr>
                    <w:t>总投资</w:t>
                  </w:r>
                </w:p>
              </w:tc>
              <w:tc>
                <w:tcPr>
                  <w:tcW w:w="2968" w:type="dxa"/>
                  <w:vAlign w:val="center"/>
                </w:tcPr>
                <w:p>
                  <w:pPr>
                    <w:jc w:val="center"/>
                    <w:rPr>
                      <w:szCs w:val="21"/>
                    </w:rPr>
                  </w:pPr>
                  <w:r>
                    <w:rPr>
                      <w:rFonts w:hint="eastAsia"/>
                      <w:szCs w:val="21"/>
                    </w:rPr>
                    <w:t>大</w:t>
                  </w:r>
                </w:p>
              </w:tc>
              <w:tc>
                <w:tcPr>
                  <w:tcW w:w="2966" w:type="dxa"/>
                  <w:vAlign w:val="center"/>
                </w:tcPr>
                <w:p>
                  <w:pPr>
                    <w:jc w:val="center"/>
                    <w:rPr>
                      <w:szCs w:val="21"/>
                    </w:rPr>
                  </w:pPr>
                  <w:r>
                    <w:rPr>
                      <w:rFonts w:hint="eastAsia"/>
                      <w:szCs w:val="21"/>
                    </w:rPr>
                    <w:t>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967" w:type="dxa"/>
                  <w:vAlign w:val="center"/>
                </w:tcPr>
                <w:p>
                  <w:pPr>
                    <w:jc w:val="center"/>
                    <w:rPr>
                      <w:szCs w:val="21"/>
                    </w:rPr>
                  </w:pPr>
                  <w:r>
                    <w:rPr>
                      <w:rFonts w:hint="eastAsia"/>
                      <w:szCs w:val="21"/>
                    </w:rPr>
                    <w:t>占地面积</w:t>
                  </w:r>
                </w:p>
              </w:tc>
              <w:tc>
                <w:tcPr>
                  <w:tcW w:w="2968" w:type="dxa"/>
                  <w:vAlign w:val="center"/>
                </w:tcPr>
                <w:p>
                  <w:pPr>
                    <w:jc w:val="center"/>
                    <w:rPr>
                      <w:szCs w:val="21"/>
                    </w:rPr>
                  </w:pPr>
                  <w:r>
                    <w:rPr>
                      <w:rFonts w:hint="eastAsia"/>
                      <w:szCs w:val="21"/>
                    </w:rPr>
                    <w:t>较小</w:t>
                  </w:r>
                </w:p>
              </w:tc>
              <w:tc>
                <w:tcPr>
                  <w:tcW w:w="2966" w:type="dxa"/>
                  <w:vAlign w:val="center"/>
                </w:tcPr>
                <w:p>
                  <w:pPr>
                    <w:jc w:val="center"/>
                    <w:rPr>
                      <w:szCs w:val="21"/>
                    </w:rPr>
                  </w:pPr>
                  <w:r>
                    <w:rPr>
                      <w:rFonts w:hint="eastAsia"/>
                      <w:szCs w:val="21"/>
                    </w:rPr>
                    <w:t>较大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967" w:type="dxa"/>
                  <w:vAlign w:val="center"/>
                </w:tcPr>
                <w:p>
                  <w:pPr>
                    <w:jc w:val="center"/>
                    <w:rPr>
                      <w:szCs w:val="21"/>
                    </w:rPr>
                  </w:pPr>
                  <w:r>
                    <w:rPr>
                      <w:rFonts w:hint="eastAsia"/>
                      <w:szCs w:val="21"/>
                    </w:rPr>
                    <w:t>能耗</w:t>
                  </w:r>
                </w:p>
              </w:tc>
              <w:tc>
                <w:tcPr>
                  <w:tcW w:w="2968" w:type="dxa"/>
                  <w:vAlign w:val="center"/>
                </w:tcPr>
                <w:p>
                  <w:pPr>
                    <w:jc w:val="center"/>
                    <w:rPr>
                      <w:szCs w:val="21"/>
                    </w:rPr>
                  </w:pPr>
                  <w:r>
                    <w:rPr>
                      <w:rFonts w:hint="eastAsia"/>
                      <w:szCs w:val="21"/>
                    </w:rPr>
                    <w:t>大</w:t>
                  </w:r>
                </w:p>
              </w:tc>
              <w:tc>
                <w:tcPr>
                  <w:tcW w:w="2966" w:type="dxa"/>
                  <w:vAlign w:val="center"/>
                </w:tcPr>
                <w:p>
                  <w:pPr>
                    <w:jc w:val="center"/>
                    <w:rPr>
                      <w:szCs w:val="21"/>
                    </w:rPr>
                  </w:pPr>
                  <w:r>
                    <w:rPr>
                      <w:rFonts w:hint="eastAsia"/>
                      <w:szCs w:val="21"/>
                    </w:rPr>
                    <w:t>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967" w:type="dxa"/>
                  <w:vAlign w:val="center"/>
                </w:tcPr>
                <w:p>
                  <w:pPr>
                    <w:jc w:val="center"/>
                    <w:rPr>
                      <w:szCs w:val="21"/>
                    </w:rPr>
                  </w:pPr>
                  <w:r>
                    <w:rPr>
                      <w:rFonts w:hint="eastAsia"/>
                      <w:szCs w:val="21"/>
                    </w:rPr>
                    <w:t>操作维护方面</w:t>
                  </w:r>
                </w:p>
              </w:tc>
              <w:tc>
                <w:tcPr>
                  <w:tcW w:w="2968" w:type="dxa"/>
                  <w:vAlign w:val="center"/>
                </w:tcPr>
                <w:p>
                  <w:pPr>
                    <w:jc w:val="center"/>
                    <w:rPr>
                      <w:szCs w:val="21"/>
                    </w:rPr>
                  </w:pPr>
                  <w:r>
                    <w:rPr>
                      <w:rFonts w:hint="eastAsia"/>
                      <w:szCs w:val="21"/>
                    </w:rPr>
                    <w:t>复杂</w:t>
                  </w:r>
                </w:p>
              </w:tc>
              <w:tc>
                <w:tcPr>
                  <w:tcW w:w="2966" w:type="dxa"/>
                  <w:vAlign w:val="center"/>
                </w:tcPr>
                <w:p>
                  <w:pPr>
                    <w:jc w:val="center"/>
                    <w:rPr>
                      <w:szCs w:val="21"/>
                    </w:rPr>
                  </w:pPr>
                  <w:r>
                    <w:rPr>
                      <w:rFonts w:hint="eastAsia"/>
                      <w:szCs w:val="21"/>
                    </w:rPr>
                    <w:t>简单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967" w:type="dxa"/>
                  <w:vAlign w:val="center"/>
                </w:tcPr>
                <w:p>
                  <w:pPr>
                    <w:jc w:val="center"/>
                    <w:rPr>
                      <w:szCs w:val="21"/>
                    </w:rPr>
                  </w:pPr>
                  <w:r>
                    <w:rPr>
                      <w:rFonts w:hint="eastAsia"/>
                      <w:szCs w:val="21"/>
                    </w:rPr>
                    <w:t>运行费用</w:t>
                  </w:r>
                </w:p>
              </w:tc>
              <w:tc>
                <w:tcPr>
                  <w:tcW w:w="2968" w:type="dxa"/>
                  <w:vAlign w:val="center"/>
                </w:tcPr>
                <w:p>
                  <w:pPr>
                    <w:jc w:val="center"/>
                    <w:rPr>
                      <w:szCs w:val="21"/>
                    </w:rPr>
                  </w:pPr>
                  <w:r>
                    <w:rPr>
                      <w:rFonts w:hint="eastAsia"/>
                      <w:szCs w:val="21"/>
                    </w:rPr>
                    <w:t>较大</w:t>
                  </w:r>
                </w:p>
              </w:tc>
              <w:tc>
                <w:tcPr>
                  <w:tcW w:w="2966" w:type="dxa"/>
                  <w:vAlign w:val="center"/>
                </w:tcPr>
                <w:p>
                  <w:pPr>
                    <w:jc w:val="center"/>
                    <w:rPr>
                      <w:szCs w:val="21"/>
                    </w:rPr>
                  </w:pPr>
                  <w:r>
                    <w:rPr>
                      <w:rFonts w:hint="eastAsia"/>
                      <w:szCs w:val="21"/>
                    </w:rPr>
                    <w:t>无</w:t>
                  </w:r>
                </w:p>
              </w:tc>
            </w:tr>
          </w:tbl>
          <w:p>
            <w:pPr>
              <w:spacing w:line="360" w:lineRule="auto"/>
              <w:ind w:firstLine="480" w:firstLineChars="200"/>
              <w:rPr>
                <w:bCs/>
                <w:sz w:val="24"/>
                <w:szCs w:val="24"/>
              </w:rPr>
            </w:pPr>
            <w:r>
              <w:rPr>
                <w:rFonts w:hint="eastAsia"/>
                <w:bCs/>
                <w:sz w:val="24"/>
                <w:szCs w:val="24"/>
              </w:rPr>
              <w:t>综合比较，重力浓缩具有运行费用低、运行稳定、管理简单等优点，故本项目采用重力浓缩法。</w:t>
            </w:r>
          </w:p>
          <w:p>
            <w:pPr>
              <w:spacing w:line="360" w:lineRule="auto"/>
              <w:ind w:firstLine="480" w:firstLineChars="200"/>
              <w:rPr>
                <w:bCs/>
                <w:sz w:val="24"/>
                <w:szCs w:val="24"/>
              </w:rPr>
            </w:pPr>
            <w:r>
              <w:rPr>
                <w:rFonts w:hint="eastAsia"/>
                <w:bCs/>
                <w:sz w:val="24"/>
                <w:szCs w:val="24"/>
              </w:rPr>
              <w:t>（2）污泥处理工艺</w:t>
            </w:r>
          </w:p>
          <w:p>
            <w:pPr>
              <w:spacing w:line="360" w:lineRule="auto"/>
              <w:ind w:firstLine="480" w:firstLineChars="200"/>
              <w:rPr>
                <w:bCs/>
                <w:sz w:val="24"/>
                <w:szCs w:val="24"/>
              </w:rPr>
            </w:pPr>
            <w:r>
              <w:rPr>
                <w:rFonts w:hint="eastAsia"/>
                <w:bCs/>
                <w:sz w:val="24"/>
                <w:szCs w:val="24"/>
              </w:rPr>
              <w:t>①小城镇污泥处理处置现状</w:t>
            </w:r>
          </w:p>
          <w:p>
            <w:pPr>
              <w:spacing w:line="360" w:lineRule="auto"/>
              <w:ind w:firstLine="480" w:firstLineChars="200"/>
              <w:rPr>
                <w:bCs/>
                <w:sz w:val="24"/>
                <w:szCs w:val="24"/>
              </w:rPr>
            </w:pPr>
            <w:r>
              <w:rPr>
                <w:rFonts w:hint="eastAsia"/>
                <w:bCs/>
                <w:sz w:val="24"/>
                <w:szCs w:val="24"/>
              </w:rPr>
              <w:t>由于对污泥利用的认识存在不足，国内污泥处理处置的起步较晚，许多城市没有将污泥处置场所纳入城市总体规划，很多处理厂难以找到合适的污泥处置方法和污泥弃置场所，导致小城镇的污泥处置即最终出路存在严重问题，这将为环境污染带来巨大的危害。因此，目前小城镇的污水处理厂污泥以填埋为主。污水处理厂污泥经过机械脱水后，运输到填埋场进行填埋，这种处理方式在中国占90%，随着人口的增长和城市化的进程的加快，填埋场地的问题越来越突出，市政污泥面临无地可填埋的尴尬处境。由于污泥含水率高，影响填埋场的正常作业，且重金属和有毒有害有机物污染地表和地下水系统，对人来健康产生潜在威胁。</w:t>
            </w:r>
          </w:p>
          <w:p>
            <w:pPr>
              <w:spacing w:line="360" w:lineRule="auto"/>
              <w:ind w:firstLine="480" w:firstLineChars="200"/>
              <w:rPr>
                <w:bCs/>
                <w:sz w:val="24"/>
                <w:szCs w:val="24"/>
              </w:rPr>
            </w:pPr>
            <w:r>
              <w:rPr>
                <w:rFonts w:hint="eastAsia"/>
                <w:bCs/>
                <w:sz w:val="24"/>
                <w:szCs w:val="24"/>
              </w:rPr>
              <w:t>②小城镇污泥处理处置方案</w:t>
            </w:r>
          </w:p>
          <w:p>
            <w:pPr>
              <w:spacing w:line="360" w:lineRule="auto"/>
              <w:ind w:firstLine="480" w:firstLineChars="200"/>
              <w:rPr>
                <w:bCs/>
                <w:sz w:val="24"/>
                <w:szCs w:val="24"/>
              </w:rPr>
            </w:pPr>
            <w:r>
              <w:rPr>
                <w:rFonts w:hint="eastAsia"/>
                <w:bCs/>
                <w:sz w:val="24"/>
                <w:szCs w:val="24"/>
              </w:rPr>
              <w:t>根据小城镇污水处理系统规模不大，城镇分散的特点，确定污泥处理分散化、处置集约化原则，即污水处理厂分散处理污泥，之后运输集中在一起进行处置。</w:t>
            </w:r>
          </w:p>
          <w:p>
            <w:pPr>
              <w:spacing w:line="360" w:lineRule="auto"/>
              <w:ind w:firstLine="480" w:firstLineChars="200"/>
              <w:rPr>
                <w:bCs/>
                <w:sz w:val="24"/>
                <w:szCs w:val="24"/>
              </w:rPr>
            </w:pPr>
            <w:r>
              <w:rPr>
                <w:rFonts w:hint="eastAsia"/>
                <w:bCs/>
                <w:sz w:val="24"/>
                <w:szCs w:val="24"/>
              </w:rPr>
              <w:t>分析目前国内外污泥处理处置的方法，对污泥的最终处置可采用以下四个处理工艺路线：</w:t>
            </w:r>
          </w:p>
          <w:p>
            <w:pPr>
              <w:spacing w:line="360" w:lineRule="auto"/>
              <w:ind w:firstLine="480" w:firstLineChars="200"/>
              <w:rPr>
                <w:bCs/>
                <w:sz w:val="24"/>
                <w:szCs w:val="24"/>
              </w:rPr>
            </w:pPr>
            <w:r>
              <w:rPr>
                <w:rFonts w:hint="eastAsia"/>
                <w:bCs/>
                <w:sz w:val="24"/>
                <w:szCs w:val="24"/>
              </w:rPr>
              <w:t>方案一：湿污泥→干化→干化污泥填埋场填埋</w:t>
            </w:r>
          </w:p>
          <w:p>
            <w:pPr>
              <w:spacing w:line="360" w:lineRule="auto"/>
              <w:ind w:firstLine="480" w:firstLineChars="200"/>
              <w:rPr>
                <w:bCs/>
                <w:sz w:val="24"/>
                <w:szCs w:val="24"/>
              </w:rPr>
            </w:pPr>
            <w:r>
              <w:rPr>
                <w:rFonts w:hint="eastAsia"/>
                <w:bCs/>
                <w:sz w:val="24"/>
                <w:szCs w:val="24"/>
              </w:rPr>
              <w:t>此工艺方案是将各小污水处理厂机械脱水后的污泥集中在一起进行热干化处理，干化后污泥送至垃圾填埋场处置。</w:t>
            </w:r>
          </w:p>
          <w:p>
            <w:pPr>
              <w:spacing w:line="360" w:lineRule="auto"/>
              <w:ind w:firstLine="480" w:firstLineChars="200"/>
              <w:rPr>
                <w:bCs/>
                <w:sz w:val="24"/>
                <w:szCs w:val="24"/>
              </w:rPr>
            </w:pPr>
            <w:r>
              <w:rPr>
                <w:rFonts w:hint="eastAsia"/>
                <w:bCs/>
                <w:sz w:val="24"/>
                <w:szCs w:val="24"/>
              </w:rPr>
              <w:t>方案二：湿污泥→干化→干化污泥焚烧→焚烧灰填埋</w:t>
            </w:r>
          </w:p>
          <w:p>
            <w:pPr>
              <w:spacing w:line="360" w:lineRule="auto"/>
              <w:ind w:firstLine="480" w:firstLineChars="200"/>
              <w:rPr>
                <w:bCs/>
                <w:sz w:val="24"/>
                <w:szCs w:val="24"/>
              </w:rPr>
            </w:pPr>
            <w:r>
              <w:rPr>
                <w:rFonts w:hint="eastAsia"/>
                <w:bCs/>
                <w:sz w:val="24"/>
                <w:szCs w:val="24"/>
              </w:rPr>
              <w:t>此工艺方案是将各小污水处理厂机械脱水后的污泥集中进行热干化处理，干化后污泥送垃圾焚烧厂进行焚烧，焚烧灰有垃圾焚烧厂处置。</w:t>
            </w:r>
          </w:p>
          <w:p>
            <w:pPr>
              <w:spacing w:line="360" w:lineRule="auto"/>
              <w:ind w:firstLine="480" w:firstLineChars="200"/>
              <w:rPr>
                <w:bCs/>
                <w:sz w:val="24"/>
                <w:szCs w:val="24"/>
              </w:rPr>
            </w:pPr>
            <w:r>
              <w:rPr>
                <w:rFonts w:hint="eastAsia"/>
                <w:bCs/>
                <w:sz w:val="24"/>
                <w:szCs w:val="24"/>
              </w:rPr>
              <w:t>方案三：湿污泥→高温消化→干化→干化污泥填埋场填埋</w:t>
            </w:r>
          </w:p>
          <w:p>
            <w:pPr>
              <w:spacing w:line="360" w:lineRule="auto"/>
              <w:ind w:firstLine="480" w:firstLineChars="200"/>
              <w:rPr>
                <w:bCs/>
                <w:sz w:val="24"/>
                <w:szCs w:val="24"/>
              </w:rPr>
            </w:pPr>
            <w:r>
              <w:rPr>
                <w:rFonts w:hint="eastAsia"/>
                <w:bCs/>
                <w:sz w:val="24"/>
                <w:szCs w:val="24"/>
              </w:rPr>
              <w:t>此方案是将各污水处理厂机械脱水后的污泥集中后进行高温厌氧消化，消化后的污泥再进行热干化处理，干化后的污泥送往垃圾填埋场处置。热干化所需热能由高温厌氧消化过程中产生的沼气提供，不足部分由天然气提供。</w:t>
            </w:r>
          </w:p>
          <w:p>
            <w:pPr>
              <w:spacing w:line="360" w:lineRule="auto"/>
              <w:ind w:firstLine="480" w:firstLineChars="200"/>
              <w:rPr>
                <w:bCs/>
                <w:sz w:val="24"/>
                <w:szCs w:val="24"/>
              </w:rPr>
            </w:pPr>
            <w:r>
              <w:rPr>
                <w:rFonts w:hint="eastAsia"/>
                <w:bCs/>
                <w:sz w:val="24"/>
                <w:szCs w:val="24"/>
              </w:rPr>
              <w:t>方案四：湿污泥→干化→土地利用</w:t>
            </w:r>
          </w:p>
          <w:p>
            <w:pPr>
              <w:spacing w:line="360" w:lineRule="auto"/>
              <w:ind w:firstLine="480" w:firstLineChars="200"/>
              <w:rPr>
                <w:bCs/>
                <w:sz w:val="24"/>
                <w:szCs w:val="24"/>
              </w:rPr>
            </w:pPr>
            <w:r>
              <w:rPr>
                <w:rFonts w:hint="eastAsia"/>
                <w:bCs/>
                <w:sz w:val="24"/>
                <w:szCs w:val="24"/>
              </w:rPr>
              <w:t>此方案是将各小污水处理厂机械脱水后的污泥集中进行热干化处理，干化后的污泥用于农田，污泥实用实现了有机物的土壤→农作物→城市→污水→污泥→土壤的良性大循环。</w:t>
            </w:r>
          </w:p>
          <w:p>
            <w:pPr>
              <w:spacing w:line="360" w:lineRule="auto"/>
              <w:ind w:firstLine="480" w:firstLineChars="200"/>
              <w:rPr>
                <w:bCs/>
                <w:sz w:val="24"/>
                <w:szCs w:val="24"/>
              </w:rPr>
            </w:pPr>
            <w:r>
              <w:rPr>
                <w:rFonts w:hint="eastAsia"/>
                <w:bCs/>
                <w:sz w:val="24"/>
                <w:szCs w:val="24"/>
              </w:rPr>
              <w:t>通常，污水处理站完善的污泥处理工艺为：</w:t>
            </w:r>
          </w:p>
          <w:p>
            <w:pPr>
              <w:spacing w:line="360" w:lineRule="auto"/>
              <w:ind w:firstLine="480" w:firstLineChars="200"/>
              <w:rPr>
                <w:bCs/>
                <w:sz w:val="24"/>
                <w:szCs w:val="24"/>
              </w:rPr>
            </w:pPr>
            <w:r>
              <w:rPr>
                <w:rFonts w:hint="eastAsia"/>
                <w:bCs/>
                <w:sz w:val="24"/>
                <w:szCs w:val="24"/>
              </w:rPr>
              <w:t>污泥 → 污泥浓缩 → 污泥稳定 → 污泥脱水 → 泥饼外运</w:t>
            </w:r>
          </w:p>
          <w:p>
            <w:pPr>
              <w:spacing w:line="360" w:lineRule="auto"/>
              <w:ind w:firstLine="480" w:firstLineChars="200"/>
              <w:rPr>
                <w:bCs/>
                <w:sz w:val="24"/>
                <w:szCs w:val="24"/>
              </w:rPr>
            </w:pPr>
            <w:r>
              <w:rPr>
                <w:rFonts w:hint="eastAsia"/>
                <w:bCs/>
                <w:sz w:val="24"/>
                <w:szCs w:val="24"/>
              </w:rPr>
              <w:t>本项目产生的污泥主要为生化池的生物污泥和化学除磷产生的化学污泥。</w:t>
            </w:r>
          </w:p>
          <w:p>
            <w:pPr>
              <w:spacing w:line="360" w:lineRule="auto"/>
              <w:ind w:firstLine="480" w:firstLineChars="200"/>
              <w:rPr>
                <w:bCs/>
                <w:sz w:val="24"/>
                <w:szCs w:val="24"/>
              </w:rPr>
            </w:pPr>
            <w:r>
              <w:rPr>
                <w:rFonts w:hint="eastAsia"/>
                <w:bCs/>
                <w:sz w:val="24"/>
                <w:szCs w:val="24"/>
              </w:rPr>
              <w:t>污泥脱水一般采用机械脱水。主要的脱水机械有离心脱水机、板框脱水机、带式压滤机、叠螺式脱水机等。本工程要求污泥含水率降到 80%以下，以上脱水机均可满足要求。污泥脱水方案经济比较如下表所示。</w:t>
            </w:r>
          </w:p>
          <w:p>
            <w:pPr>
              <w:spacing w:line="360" w:lineRule="auto"/>
              <w:ind w:firstLine="465"/>
              <w:jc w:val="center"/>
              <w:rPr>
                <w:b/>
                <w:szCs w:val="21"/>
              </w:rPr>
            </w:pPr>
            <w:r>
              <w:rPr>
                <w:rFonts w:hint="eastAsia"/>
                <w:b/>
                <w:szCs w:val="21"/>
              </w:rPr>
              <w:t>表32   污泥脱水方案的技术经济比较</w:t>
            </w:r>
          </w:p>
          <w:tbl>
            <w:tblPr>
              <w:tblStyle w:val="36"/>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19"/>
              <w:gridCol w:w="1558"/>
              <w:gridCol w:w="1559"/>
              <w:gridCol w:w="2587"/>
              <w:gridCol w:w="177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419" w:type="dxa"/>
                  <w:vAlign w:val="center"/>
                </w:tcPr>
                <w:p>
                  <w:pPr>
                    <w:jc w:val="center"/>
                    <w:rPr>
                      <w:b/>
                      <w:szCs w:val="21"/>
                    </w:rPr>
                  </w:pPr>
                  <w:r>
                    <w:rPr>
                      <w:rFonts w:hint="eastAsia"/>
                      <w:b/>
                      <w:szCs w:val="21"/>
                    </w:rPr>
                    <w:t>项目</w:t>
                  </w:r>
                </w:p>
              </w:tc>
              <w:tc>
                <w:tcPr>
                  <w:tcW w:w="1558" w:type="dxa"/>
                  <w:vAlign w:val="center"/>
                </w:tcPr>
                <w:p>
                  <w:pPr>
                    <w:jc w:val="center"/>
                    <w:rPr>
                      <w:b/>
                      <w:szCs w:val="21"/>
                    </w:rPr>
                  </w:pPr>
                  <w:r>
                    <w:rPr>
                      <w:rFonts w:hint="eastAsia"/>
                      <w:b/>
                      <w:szCs w:val="21"/>
                    </w:rPr>
                    <w:t>方案一</w:t>
                  </w:r>
                </w:p>
              </w:tc>
              <w:tc>
                <w:tcPr>
                  <w:tcW w:w="1559" w:type="dxa"/>
                  <w:vAlign w:val="center"/>
                </w:tcPr>
                <w:p>
                  <w:pPr>
                    <w:jc w:val="center"/>
                    <w:rPr>
                      <w:b/>
                      <w:szCs w:val="21"/>
                    </w:rPr>
                  </w:pPr>
                  <w:r>
                    <w:rPr>
                      <w:rFonts w:hint="eastAsia"/>
                      <w:b/>
                      <w:szCs w:val="21"/>
                    </w:rPr>
                    <w:t>方案二</w:t>
                  </w:r>
                </w:p>
              </w:tc>
              <w:tc>
                <w:tcPr>
                  <w:tcW w:w="2587" w:type="dxa"/>
                  <w:vAlign w:val="center"/>
                </w:tcPr>
                <w:p>
                  <w:pPr>
                    <w:jc w:val="center"/>
                    <w:rPr>
                      <w:b/>
                      <w:szCs w:val="21"/>
                    </w:rPr>
                  </w:pPr>
                  <w:r>
                    <w:rPr>
                      <w:rFonts w:hint="eastAsia"/>
                      <w:b/>
                      <w:szCs w:val="21"/>
                    </w:rPr>
                    <w:t>方案三</w:t>
                  </w:r>
                </w:p>
              </w:tc>
              <w:tc>
                <w:tcPr>
                  <w:tcW w:w="1778" w:type="dxa"/>
                  <w:vAlign w:val="center"/>
                </w:tcPr>
                <w:p>
                  <w:pPr>
                    <w:jc w:val="center"/>
                    <w:rPr>
                      <w:b/>
                      <w:szCs w:val="21"/>
                    </w:rPr>
                  </w:pPr>
                  <w:r>
                    <w:rPr>
                      <w:rFonts w:hint="eastAsia"/>
                      <w:b/>
                      <w:szCs w:val="21"/>
                    </w:rPr>
                    <w:t>方案四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419" w:type="dxa"/>
                  <w:vAlign w:val="center"/>
                </w:tcPr>
                <w:p>
                  <w:pPr>
                    <w:jc w:val="center"/>
                    <w:rPr>
                      <w:szCs w:val="21"/>
                    </w:rPr>
                  </w:pPr>
                  <w:r>
                    <w:rPr>
                      <w:rFonts w:hint="eastAsia"/>
                      <w:szCs w:val="21"/>
                    </w:rPr>
                    <w:t>机型</w:t>
                  </w:r>
                </w:p>
              </w:tc>
              <w:tc>
                <w:tcPr>
                  <w:tcW w:w="1558" w:type="dxa"/>
                  <w:vAlign w:val="center"/>
                </w:tcPr>
                <w:p>
                  <w:pPr>
                    <w:jc w:val="center"/>
                    <w:rPr>
                      <w:szCs w:val="21"/>
                    </w:rPr>
                  </w:pPr>
                  <w:r>
                    <w:rPr>
                      <w:rFonts w:hint="eastAsia"/>
                      <w:szCs w:val="21"/>
                    </w:rPr>
                    <w:t>叠螺式脱水机</w:t>
                  </w:r>
                </w:p>
              </w:tc>
              <w:tc>
                <w:tcPr>
                  <w:tcW w:w="1559" w:type="dxa"/>
                  <w:vAlign w:val="center"/>
                </w:tcPr>
                <w:p>
                  <w:pPr>
                    <w:jc w:val="center"/>
                    <w:rPr>
                      <w:szCs w:val="21"/>
                    </w:rPr>
                  </w:pPr>
                  <w:r>
                    <w:rPr>
                      <w:rFonts w:hint="eastAsia"/>
                      <w:szCs w:val="21"/>
                    </w:rPr>
                    <w:t>离心脱水机</w:t>
                  </w:r>
                </w:p>
              </w:tc>
              <w:tc>
                <w:tcPr>
                  <w:tcW w:w="2587" w:type="dxa"/>
                  <w:vAlign w:val="center"/>
                </w:tcPr>
                <w:p>
                  <w:pPr>
                    <w:jc w:val="center"/>
                    <w:rPr>
                      <w:szCs w:val="21"/>
                    </w:rPr>
                  </w:pPr>
                  <w:r>
                    <w:rPr>
                      <w:rFonts w:hint="eastAsia"/>
                      <w:szCs w:val="21"/>
                    </w:rPr>
                    <w:t>带式压滤机</w:t>
                  </w:r>
                </w:p>
              </w:tc>
              <w:tc>
                <w:tcPr>
                  <w:tcW w:w="1778" w:type="dxa"/>
                  <w:vAlign w:val="center"/>
                </w:tcPr>
                <w:p>
                  <w:pPr>
                    <w:jc w:val="center"/>
                    <w:rPr>
                      <w:szCs w:val="21"/>
                    </w:rPr>
                  </w:pPr>
                  <w:r>
                    <w:rPr>
                      <w:rFonts w:hint="eastAsia"/>
                      <w:szCs w:val="21"/>
                    </w:rPr>
                    <w:t>板框式脱水机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419" w:type="dxa"/>
                  <w:vAlign w:val="center"/>
                </w:tcPr>
                <w:p>
                  <w:pPr>
                    <w:jc w:val="center"/>
                    <w:rPr>
                      <w:szCs w:val="21"/>
                    </w:rPr>
                  </w:pPr>
                  <w:r>
                    <w:rPr>
                      <w:rFonts w:hint="eastAsia"/>
                      <w:szCs w:val="21"/>
                    </w:rPr>
                    <w:t>脱水效果</w:t>
                  </w:r>
                </w:p>
              </w:tc>
              <w:tc>
                <w:tcPr>
                  <w:tcW w:w="1558" w:type="dxa"/>
                  <w:vAlign w:val="center"/>
                </w:tcPr>
                <w:p>
                  <w:pPr>
                    <w:jc w:val="center"/>
                    <w:rPr>
                      <w:szCs w:val="21"/>
                    </w:rPr>
                  </w:pPr>
                  <w:r>
                    <w:rPr>
                      <w:rFonts w:hint="eastAsia"/>
                      <w:szCs w:val="21"/>
                    </w:rPr>
                    <w:t>好</w:t>
                  </w:r>
                </w:p>
              </w:tc>
              <w:tc>
                <w:tcPr>
                  <w:tcW w:w="1559" w:type="dxa"/>
                  <w:vAlign w:val="center"/>
                </w:tcPr>
                <w:p>
                  <w:pPr>
                    <w:jc w:val="center"/>
                    <w:rPr>
                      <w:szCs w:val="21"/>
                    </w:rPr>
                  </w:pPr>
                  <w:r>
                    <w:rPr>
                      <w:rFonts w:hint="eastAsia"/>
                      <w:szCs w:val="21"/>
                    </w:rPr>
                    <w:t>好</w:t>
                  </w:r>
                </w:p>
              </w:tc>
              <w:tc>
                <w:tcPr>
                  <w:tcW w:w="2587" w:type="dxa"/>
                  <w:vAlign w:val="center"/>
                </w:tcPr>
                <w:p>
                  <w:pPr>
                    <w:jc w:val="center"/>
                    <w:rPr>
                      <w:szCs w:val="21"/>
                    </w:rPr>
                  </w:pPr>
                  <w:r>
                    <w:rPr>
                      <w:rFonts w:hint="eastAsia"/>
                      <w:szCs w:val="21"/>
                    </w:rPr>
                    <w:t>较好</w:t>
                  </w:r>
                </w:p>
              </w:tc>
              <w:tc>
                <w:tcPr>
                  <w:tcW w:w="1778" w:type="dxa"/>
                  <w:vAlign w:val="center"/>
                </w:tcPr>
                <w:p>
                  <w:pPr>
                    <w:jc w:val="center"/>
                    <w:rPr>
                      <w:szCs w:val="21"/>
                    </w:rPr>
                  </w:pPr>
                  <w:r>
                    <w:rPr>
                      <w:rFonts w:hint="eastAsia"/>
                      <w:szCs w:val="21"/>
                    </w:rPr>
                    <w:t>非常好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419" w:type="dxa"/>
                  <w:vAlign w:val="center"/>
                </w:tcPr>
                <w:p>
                  <w:pPr>
                    <w:jc w:val="center"/>
                    <w:rPr>
                      <w:szCs w:val="21"/>
                    </w:rPr>
                  </w:pPr>
                  <w:r>
                    <w:rPr>
                      <w:rFonts w:hint="eastAsia"/>
                      <w:szCs w:val="21"/>
                    </w:rPr>
                    <w:t>占用空间</w:t>
                  </w:r>
                </w:p>
              </w:tc>
              <w:tc>
                <w:tcPr>
                  <w:tcW w:w="1558" w:type="dxa"/>
                  <w:vAlign w:val="center"/>
                </w:tcPr>
                <w:p>
                  <w:pPr>
                    <w:jc w:val="center"/>
                    <w:rPr>
                      <w:szCs w:val="21"/>
                    </w:rPr>
                  </w:pPr>
                  <w:r>
                    <w:rPr>
                      <w:rFonts w:hint="eastAsia"/>
                      <w:szCs w:val="21"/>
                    </w:rPr>
                    <w:t>小</w:t>
                  </w:r>
                </w:p>
              </w:tc>
              <w:tc>
                <w:tcPr>
                  <w:tcW w:w="1559" w:type="dxa"/>
                  <w:vAlign w:val="center"/>
                </w:tcPr>
                <w:p>
                  <w:pPr>
                    <w:jc w:val="center"/>
                    <w:rPr>
                      <w:szCs w:val="21"/>
                    </w:rPr>
                  </w:pPr>
                  <w:r>
                    <w:rPr>
                      <w:rFonts w:hint="eastAsia"/>
                      <w:szCs w:val="21"/>
                    </w:rPr>
                    <w:t>小</w:t>
                  </w:r>
                </w:p>
              </w:tc>
              <w:tc>
                <w:tcPr>
                  <w:tcW w:w="2587" w:type="dxa"/>
                  <w:vAlign w:val="center"/>
                </w:tcPr>
                <w:p>
                  <w:pPr>
                    <w:jc w:val="center"/>
                    <w:rPr>
                      <w:szCs w:val="21"/>
                    </w:rPr>
                  </w:pPr>
                  <w:r>
                    <w:rPr>
                      <w:rFonts w:hint="eastAsia"/>
                      <w:szCs w:val="21"/>
                    </w:rPr>
                    <w:t>大</w:t>
                  </w:r>
                </w:p>
              </w:tc>
              <w:tc>
                <w:tcPr>
                  <w:tcW w:w="1778" w:type="dxa"/>
                  <w:vAlign w:val="center"/>
                </w:tcPr>
                <w:p>
                  <w:pPr>
                    <w:jc w:val="center"/>
                    <w:rPr>
                      <w:szCs w:val="21"/>
                    </w:rPr>
                  </w:pPr>
                  <w:r>
                    <w:rPr>
                      <w:rFonts w:hint="eastAsia"/>
                      <w:szCs w:val="21"/>
                    </w:rPr>
                    <w:t>较大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419" w:type="dxa"/>
                  <w:vAlign w:val="center"/>
                </w:tcPr>
                <w:p>
                  <w:pPr>
                    <w:jc w:val="center"/>
                    <w:rPr>
                      <w:szCs w:val="21"/>
                    </w:rPr>
                  </w:pPr>
                  <w:r>
                    <w:rPr>
                      <w:rFonts w:hint="eastAsia"/>
                      <w:szCs w:val="21"/>
                    </w:rPr>
                    <w:t>辅助设备</w:t>
                  </w:r>
                </w:p>
              </w:tc>
              <w:tc>
                <w:tcPr>
                  <w:tcW w:w="1558" w:type="dxa"/>
                  <w:vAlign w:val="center"/>
                </w:tcPr>
                <w:p>
                  <w:pPr>
                    <w:jc w:val="center"/>
                    <w:rPr>
                      <w:szCs w:val="21"/>
                    </w:rPr>
                  </w:pPr>
                  <w:r>
                    <w:rPr>
                      <w:rFonts w:hint="eastAsia"/>
                      <w:szCs w:val="21"/>
                    </w:rPr>
                    <w:t>少</w:t>
                  </w:r>
                </w:p>
              </w:tc>
              <w:tc>
                <w:tcPr>
                  <w:tcW w:w="1559" w:type="dxa"/>
                  <w:vAlign w:val="center"/>
                </w:tcPr>
                <w:p>
                  <w:pPr>
                    <w:jc w:val="center"/>
                    <w:rPr>
                      <w:szCs w:val="21"/>
                    </w:rPr>
                  </w:pPr>
                  <w:r>
                    <w:rPr>
                      <w:rFonts w:hint="eastAsia"/>
                      <w:szCs w:val="21"/>
                    </w:rPr>
                    <w:t>少</w:t>
                  </w:r>
                </w:p>
              </w:tc>
              <w:tc>
                <w:tcPr>
                  <w:tcW w:w="2587" w:type="dxa"/>
                  <w:vAlign w:val="center"/>
                </w:tcPr>
                <w:p>
                  <w:pPr>
                    <w:jc w:val="center"/>
                    <w:rPr>
                      <w:szCs w:val="21"/>
                    </w:rPr>
                  </w:pPr>
                  <w:r>
                    <w:rPr>
                      <w:rFonts w:hint="eastAsia"/>
                      <w:szCs w:val="21"/>
                    </w:rPr>
                    <w:t>多</w:t>
                  </w:r>
                </w:p>
              </w:tc>
              <w:tc>
                <w:tcPr>
                  <w:tcW w:w="1778" w:type="dxa"/>
                  <w:vAlign w:val="center"/>
                </w:tcPr>
                <w:p>
                  <w:pPr>
                    <w:jc w:val="center"/>
                    <w:rPr>
                      <w:szCs w:val="21"/>
                    </w:rPr>
                  </w:pPr>
                  <w:r>
                    <w:rPr>
                      <w:rFonts w:hint="eastAsia"/>
                      <w:szCs w:val="21"/>
                    </w:rPr>
                    <w:t>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419" w:type="dxa"/>
                  <w:vAlign w:val="center"/>
                </w:tcPr>
                <w:p>
                  <w:pPr>
                    <w:jc w:val="center"/>
                    <w:rPr>
                      <w:szCs w:val="21"/>
                    </w:rPr>
                  </w:pPr>
                  <w:r>
                    <w:rPr>
                      <w:rFonts w:hint="eastAsia"/>
                      <w:szCs w:val="21"/>
                    </w:rPr>
                    <w:t>维护管理</w:t>
                  </w:r>
                </w:p>
              </w:tc>
              <w:tc>
                <w:tcPr>
                  <w:tcW w:w="1558" w:type="dxa"/>
                  <w:vAlign w:val="center"/>
                </w:tcPr>
                <w:p>
                  <w:pPr>
                    <w:jc w:val="center"/>
                    <w:rPr>
                      <w:szCs w:val="21"/>
                    </w:rPr>
                  </w:pPr>
                  <w:r>
                    <w:rPr>
                      <w:rFonts w:hint="eastAsia"/>
                      <w:szCs w:val="21"/>
                    </w:rPr>
                    <w:t>较简便</w:t>
                  </w:r>
                </w:p>
              </w:tc>
              <w:tc>
                <w:tcPr>
                  <w:tcW w:w="1559" w:type="dxa"/>
                  <w:vAlign w:val="center"/>
                </w:tcPr>
                <w:p>
                  <w:pPr>
                    <w:jc w:val="center"/>
                    <w:rPr>
                      <w:szCs w:val="21"/>
                    </w:rPr>
                  </w:pPr>
                  <w:r>
                    <w:rPr>
                      <w:rFonts w:hint="eastAsia"/>
                      <w:szCs w:val="21"/>
                    </w:rPr>
                    <w:t>较简便</w:t>
                  </w:r>
                </w:p>
              </w:tc>
              <w:tc>
                <w:tcPr>
                  <w:tcW w:w="2587" w:type="dxa"/>
                  <w:vAlign w:val="center"/>
                </w:tcPr>
                <w:p>
                  <w:pPr>
                    <w:jc w:val="center"/>
                    <w:rPr>
                      <w:szCs w:val="21"/>
                    </w:rPr>
                  </w:pPr>
                  <w:r>
                    <w:rPr>
                      <w:rFonts w:hint="eastAsia"/>
                      <w:szCs w:val="21"/>
                    </w:rPr>
                    <w:t>较复杂</w:t>
                  </w:r>
                </w:p>
              </w:tc>
              <w:tc>
                <w:tcPr>
                  <w:tcW w:w="1778" w:type="dxa"/>
                  <w:vAlign w:val="center"/>
                </w:tcPr>
                <w:p>
                  <w:pPr>
                    <w:jc w:val="center"/>
                    <w:rPr>
                      <w:szCs w:val="21"/>
                    </w:rPr>
                  </w:pPr>
                  <w:r>
                    <w:rPr>
                      <w:rFonts w:hint="eastAsia"/>
                      <w:szCs w:val="21"/>
                    </w:rPr>
                    <w:t>复杂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419" w:type="dxa"/>
                  <w:vAlign w:val="center"/>
                </w:tcPr>
                <w:p>
                  <w:pPr>
                    <w:jc w:val="center"/>
                    <w:rPr>
                      <w:szCs w:val="21"/>
                    </w:rPr>
                  </w:pPr>
                  <w:r>
                    <w:rPr>
                      <w:rFonts w:hint="eastAsia"/>
                      <w:szCs w:val="21"/>
                    </w:rPr>
                    <w:t>电耗</w:t>
                  </w:r>
                </w:p>
              </w:tc>
              <w:tc>
                <w:tcPr>
                  <w:tcW w:w="1558" w:type="dxa"/>
                  <w:vAlign w:val="center"/>
                </w:tcPr>
                <w:p>
                  <w:pPr>
                    <w:jc w:val="center"/>
                    <w:rPr>
                      <w:szCs w:val="21"/>
                    </w:rPr>
                  </w:pPr>
                  <w:r>
                    <w:rPr>
                      <w:rFonts w:hint="eastAsia"/>
                      <w:szCs w:val="21"/>
                    </w:rPr>
                    <w:t>低</w:t>
                  </w:r>
                </w:p>
              </w:tc>
              <w:tc>
                <w:tcPr>
                  <w:tcW w:w="1559" w:type="dxa"/>
                  <w:vAlign w:val="center"/>
                </w:tcPr>
                <w:p>
                  <w:pPr>
                    <w:jc w:val="center"/>
                    <w:rPr>
                      <w:szCs w:val="21"/>
                    </w:rPr>
                  </w:pPr>
                  <w:r>
                    <w:rPr>
                      <w:rFonts w:hint="eastAsia"/>
                      <w:szCs w:val="21"/>
                    </w:rPr>
                    <w:t>高</w:t>
                  </w:r>
                </w:p>
              </w:tc>
              <w:tc>
                <w:tcPr>
                  <w:tcW w:w="2587" w:type="dxa"/>
                  <w:vAlign w:val="center"/>
                </w:tcPr>
                <w:p>
                  <w:pPr>
                    <w:jc w:val="center"/>
                    <w:rPr>
                      <w:szCs w:val="21"/>
                    </w:rPr>
                  </w:pPr>
                  <w:r>
                    <w:rPr>
                      <w:rFonts w:hint="eastAsia"/>
                      <w:szCs w:val="21"/>
                    </w:rPr>
                    <w:t>较低</w:t>
                  </w:r>
                </w:p>
              </w:tc>
              <w:tc>
                <w:tcPr>
                  <w:tcW w:w="1778" w:type="dxa"/>
                  <w:vAlign w:val="center"/>
                </w:tcPr>
                <w:p>
                  <w:pPr>
                    <w:jc w:val="center"/>
                    <w:rPr>
                      <w:szCs w:val="21"/>
                    </w:rPr>
                  </w:pPr>
                  <w:r>
                    <w:rPr>
                      <w:rFonts w:hint="eastAsia"/>
                      <w:szCs w:val="21"/>
                    </w:rPr>
                    <w:t>较低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419" w:type="dxa"/>
                  <w:vAlign w:val="center"/>
                </w:tcPr>
                <w:p>
                  <w:pPr>
                    <w:jc w:val="center"/>
                    <w:rPr>
                      <w:szCs w:val="21"/>
                    </w:rPr>
                  </w:pPr>
                  <w:r>
                    <w:rPr>
                      <w:rFonts w:hint="eastAsia"/>
                      <w:szCs w:val="21"/>
                    </w:rPr>
                    <w:t>药剂消耗量</w:t>
                  </w:r>
                </w:p>
              </w:tc>
              <w:tc>
                <w:tcPr>
                  <w:tcW w:w="1558" w:type="dxa"/>
                  <w:vAlign w:val="center"/>
                </w:tcPr>
                <w:p>
                  <w:pPr>
                    <w:jc w:val="center"/>
                    <w:rPr>
                      <w:szCs w:val="21"/>
                    </w:rPr>
                  </w:pPr>
                  <w:r>
                    <w:rPr>
                      <w:rFonts w:hint="eastAsia"/>
                      <w:szCs w:val="21"/>
                    </w:rPr>
                    <w:t>较大</w:t>
                  </w:r>
                </w:p>
              </w:tc>
              <w:tc>
                <w:tcPr>
                  <w:tcW w:w="1559" w:type="dxa"/>
                  <w:vAlign w:val="center"/>
                </w:tcPr>
                <w:p>
                  <w:pPr>
                    <w:jc w:val="center"/>
                    <w:rPr>
                      <w:szCs w:val="21"/>
                    </w:rPr>
                  </w:pPr>
                  <w:r>
                    <w:rPr>
                      <w:rFonts w:hint="eastAsia"/>
                      <w:szCs w:val="21"/>
                    </w:rPr>
                    <w:t>大</w:t>
                  </w:r>
                </w:p>
              </w:tc>
              <w:tc>
                <w:tcPr>
                  <w:tcW w:w="2587" w:type="dxa"/>
                  <w:vAlign w:val="center"/>
                </w:tcPr>
                <w:p>
                  <w:pPr>
                    <w:jc w:val="center"/>
                    <w:rPr>
                      <w:szCs w:val="21"/>
                    </w:rPr>
                  </w:pPr>
                  <w:r>
                    <w:rPr>
                      <w:rFonts w:hint="eastAsia"/>
                      <w:szCs w:val="21"/>
                    </w:rPr>
                    <w:t>较小</w:t>
                  </w:r>
                </w:p>
              </w:tc>
              <w:tc>
                <w:tcPr>
                  <w:tcW w:w="1778" w:type="dxa"/>
                  <w:vAlign w:val="center"/>
                </w:tcPr>
                <w:p>
                  <w:pPr>
                    <w:jc w:val="center"/>
                    <w:rPr>
                      <w:szCs w:val="21"/>
                    </w:rPr>
                  </w:pPr>
                  <w:r>
                    <w:rPr>
                      <w:rFonts w:hint="eastAsia"/>
                      <w:szCs w:val="21"/>
                    </w:rPr>
                    <w:t>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419" w:type="dxa"/>
                  <w:vAlign w:val="center"/>
                </w:tcPr>
                <w:p>
                  <w:pPr>
                    <w:jc w:val="center"/>
                    <w:rPr>
                      <w:szCs w:val="21"/>
                    </w:rPr>
                  </w:pPr>
                  <w:r>
                    <w:rPr>
                      <w:rFonts w:hint="eastAsia"/>
                      <w:szCs w:val="21"/>
                    </w:rPr>
                    <w:t>耗水量</w:t>
                  </w:r>
                </w:p>
              </w:tc>
              <w:tc>
                <w:tcPr>
                  <w:tcW w:w="1558" w:type="dxa"/>
                  <w:vAlign w:val="center"/>
                </w:tcPr>
                <w:p>
                  <w:pPr>
                    <w:jc w:val="center"/>
                    <w:rPr>
                      <w:szCs w:val="21"/>
                    </w:rPr>
                  </w:pPr>
                  <w:r>
                    <w:rPr>
                      <w:rFonts w:hint="eastAsia"/>
                      <w:szCs w:val="21"/>
                    </w:rPr>
                    <w:t>小</w:t>
                  </w:r>
                </w:p>
              </w:tc>
              <w:tc>
                <w:tcPr>
                  <w:tcW w:w="1559" w:type="dxa"/>
                  <w:vAlign w:val="center"/>
                </w:tcPr>
                <w:p>
                  <w:pPr>
                    <w:jc w:val="center"/>
                    <w:rPr>
                      <w:szCs w:val="21"/>
                    </w:rPr>
                  </w:pPr>
                  <w:r>
                    <w:rPr>
                      <w:rFonts w:hint="eastAsia"/>
                      <w:szCs w:val="21"/>
                    </w:rPr>
                    <w:t>小</w:t>
                  </w:r>
                </w:p>
              </w:tc>
              <w:tc>
                <w:tcPr>
                  <w:tcW w:w="2587" w:type="dxa"/>
                  <w:vAlign w:val="center"/>
                </w:tcPr>
                <w:p>
                  <w:pPr>
                    <w:jc w:val="center"/>
                    <w:rPr>
                      <w:szCs w:val="21"/>
                    </w:rPr>
                  </w:pPr>
                  <w:r>
                    <w:rPr>
                      <w:rFonts w:hint="eastAsia"/>
                      <w:szCs w:val="21"/>
                    </w:rPr>
                    <w:t>大（用回用水可降低费用）</w:t>
                  </w:r>
                </w:p>
              </w:tc>
              <w:tc>
                <w:tcPr>
                  <w:tcW w:w="1778" w:type="dxa"/>
                  <w:vAlign w:val="center"/>
                </w:tcPr>
                <w:p>
                  <w:pPr>
                    <w:jc w:val="center"/>
                    <w:rPr>
                      <w:szCs w:val="21"/>
                    </w:rPr>
                  </w:pPr>
                  <w:r>
                    <w:rPr>
                      <w:rFonts w:hint="eastAsia"/>
                      <w:szCs w:val="21"/>
                    </w:rPr>
                    <w:t>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419" w:type="dxa"/>
                  <w:vAlign w:val="center"/>
                </w:tcPr>
                <w:p>
                  <w:pPr>
                    <w:jc w:val="center"/>
                    <w:rPr>
                      <w:szCs w:val="21"/>
                    </w:rPr>
                  </w:pPr>
                  <w:r>
                    <w:rPr>
                      <w:rFonts w:hint="eastAsia"/>
                      <w:szCs w:val="21"/>
                    </w:rPr>
                    <w:t>环境卫生</w:t>
                  </w:r>
                </w:p>
              </w:tc>
              <w:tc>
                <w:tcPr>
                  <w:tcW w:w="1558" w:type="dxa"/>
                  <w:vAlign w:val="center"/>
                </w:tcPr>
                <w:p>
                  <w:pPr>
                    <w:jc w:val="center"/>
                    <w:rPr>
                      <w:szCs w:val="21"/>
                    </w:rPr>
                  </w:pPr>
                  <w:r>
                    <w:rPr>
                      <w:rFonts w:hint="eastAsia"/>
                      <w:szCs w:val="21"/>
                    </w:rPr>
                    <w:t>好</w:t>
                  </w:r>
                </w:p>
              </w:tc>
              <w:tc>
                <w:tcPr>
                  <w:tcW w:w="1559" w:type="dxa"/>
                  <w:vAlign w:val="center"/>
                </w:tcPr>
                <w:p>
                  <w:pPr>
                    <w:jc w:val="center"/>
                    <w:rPr>
                      <w:szCs w:val="21"/>
                    </w:rPr>
                  </w:pPr>
                  <w:r>
                    <w:rPr>
                      <w:rFonts w:hint="eastAsia"/>
                      <w:szCs w:val="21"/>
                    </w:rPr>
                    <w:t>好</w:t>
                  </w:r>
                </w:p>
              </w:tc>
              <w:tc>
                <w:tcPr>
                  <w:tcW w:w="2587" w:type="dxa"/>
                  <w:vAlign w:val="center"/>
                </w:tcPr>
                <w:p>
                  <w:pPr>
                    <w:jc w:val="center"/>
                    <w:rPr>
                      <w:szCs w:val="21"/>
                    </w:rPr>
                  </w:pPr>
                  <w:r>
                    <w:rPr>
                      <w:rFonts w:hint="eastAsia"/>
                      <w:szCs w:val="21"/>
                    </w:rPr>
                    <w:t>较差</w:t>
                  </w:r>
                </w:p>
              </w:tc>
              <w:tc>
                <w:tcPr>
                  <w:tcW w:w="1778" w:type="dxa"/>
                  <w:vAlign w:val="center"/>
                </w:tcPr>
                <w:p>
                  <w:pPr>
                    <w:jc w:val="center"/>
                    <w:rPr>
                      <w:szCs w:val="21"/>
                    </w:rPr>
                  </w:pPr>
                  <w:r>
                    <w:rPr>
                      <w:rFonts w:hint="eastAsia"/>
                      <w:szCs w:val="21"/>
                    </w:rPr>
                    <w:t>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419" w:type="dxa"/>
                  <w:vAlign w:val="center"/>
                </w:tcPr>
                <w:p>
                  <w:pPr>
                    <w:jc w:val="center"/>
                    <w:rPr>
                      <w:szCs w:val="21"/>
                    </w:rPr>
                  </w:pPr>
                  <w:r>
                    <w:rPr>
                      <w:rFonts w:hint="eastAsia"/>
                      <w:szCs w:val="21"/>
                    </w:rPr>
                    <w:t>设备费用</w:t>
                  </w:r>
                </w:p>
              </w:tc>
              <w:tc>
                <w:tcPr>
                  <w:tcW w:w="1558" w:type="dxa"/>
                  <w:vAlign w:val="center"/>
                </w:tcPr>
                <w:p>
                  <w:pPr>
                    <w:jc w:val="center"/>
                    <w:rPr>
                      <w:szCs w:val="21"/>
                    </w:rPr>
                  </w:pPr>
                  <w:r>
                    <w:rPr>
                      <w:rFonts w:hint="eastAsia"/>
                      <w:szCs w:val="21"/>
                    </w:rPr>
                    <w:t>低</w:t>
                  </w:r>
                </w:p>
              </w:tc>
              <w:tc>
                <w:tcPr>
                  <w:tcW w:w="1559" w:type="dxa"/>
                  <w:vAlign w:val="center"/>
                </w:tcPr>
                <w:p>
                  <w:pPr>
                    <w:jc w:val="center"/>
                    <w:rPr>
                      <w:szCs w:val="21"/>
                    </w:rPr>
                  </w:pPr>
                  <w:r>
                    <w:rPr>
                      <w:rFonts w:hint="eastAsia"/>
                      <w:szCs w:val="21"/>
                    </w:rPr>
                    <w:t>高</w:t>
                  </w:r>
                </w:p>
              </w:tc>
              <w:tc>
                <w:tcPr>
                  <w:tcW w:w="2587" w:type="dxa"/>
                  <w:vAlign w:val="center"/>
                </w:tcPr>
                <w:p>
                  <w:pPr>
                    <w:jc w:val="center"/>
                    <w:rPr>
                      <w:szCs w:val="21"/>
                    </w:rPr>
                  </w:pPr>
                  <w:r>
                    <w:rPr>
                      <w:rFonts w:hint="eastAsia"/>
                      <w:szCs w:val="21"/>
                    </w:rPr>
                    <w:t>较低</w:t>
                  </w:r>
                </w:p>
              </w:tc>
              <w:tc>
                <w:tcPr>
                  <w:tcW w:w="1778" w:type="dxa"/>
                  <w:vAlign w:val="center"/>
                </w:tcPr>
                <w:p>
                  <w:pPr>
                    <w:jc w:val="center"/>
                    <w:rPr>
                      <w:szCs w:val="21"/>
                    </w:rPr>
                  </w:pPr>
                  <w:r>
                    <w:rPr>
                      <w:rFonts w:hint="eastAsia"/>
                      <w:szCs w:val="21"/>
                    </w:rPr>
                    <w:t>较低</w:t>
                  </w:r>
                </w:p>
              </w:tc>
            </w:tr>
          </w:tbl>
          <w:p>
            <w:pPr>
              <w:spacing w:line="360" w:lineRule="auto"/>
              <w:ind w:firstLine="480" w:firstLineChars="200"/>
              <w:rPr>
                <w:bCs/>
                <w:sz w:val="24"/>
                <w:szCs w:val="24"/>
              </w:rPr>
            </w:pPr>
            <w:r>
              <w:rPr>
                <w:rFonts w:hint="eastAsia"/>
                <w:bCs/>
                <w:sz w:val="24"/>
                <w:szCs w:val="24"/>
              </w:rPr>
              <w:t>综合比较可知：叠螺式脱水机具有脱水效果好、占地面积小、操作管理简单、能耗、药剂耗量低的优点，考虑到节省投资、运行成本和运行方便，本项目可采用移动式叠螺污泥脱水车进行浓缩脱水。</w:t>
            </w:r>
          </w:p>
          <w:p>
            <w:pPr>
              <w:spacing w:line="360" w:lineRule="auto"/>
              <w:ind w:firstLine="480" w:firstLineChars="200"/>
              <w:rPr>
                <w:bCs/>
                <w:sz w:val="24"/>
                <w:szCs w:val="24"/>
              </w:rPr>
            </w:pPr>
            <w:r>
              <w:rPr>
                <w:rFonts w:hint="eastAsia"/>
                <w:bCs/>
                <w:sz w:val="24"/>
                <w:szCs w:val="24"/>
              </w:rPr>
              <w:t>（3）污泥处置</w:t>
            </w:r>
          </w:p>
          <w:p>
            <w:pPr>
              <w:spacing w:line="360" w:lineRule="auto"/>
              <w:ind w:firstLine="480" w:firstLineChars="200"/>
              <w:rPr>
                <w:bCs/>
                <w:sz w:val="24"/>
                <w:szCs w:val="24"/>
              </w:rPr>
            </w:pPr>
            <w:r>
              <w:rPr>
                <w:rFonts w:hint="eastAsia"/>
                <w:bCs/>
                <w:sz w:val="24"/>
                <w:szCs w:val="24"/>
              </w:rPr>
              <w:t>常用的污泥处置方式详见下表。</w:t>
            </w:r>
          </w:p>
          <w:p>
            <w:pPr>
              <w:spacing w:line="360" w:lineRule="auto"/>
              <w:ind w:firstLine="826" w:firstLineChars="392"/>
              <w:jc w:val="center"/>
              <w:rPr>
                <w:b/>
                <w:szCs w:val="21"/>
              </w:rPr>
            </w:pPr>
            <w:r>
              <w:rPr>
                <w:rFonts w:hint="eastAsia"/>
                <w:b/>
                <w:szCs w:val="21"/>
              </w:rPr>
              <w:t>表33      污泥处置方式一览表</w:t>
            </w:r>
          </w:p>
          <w:tbl>
            <w:tblPr>
              <w:tblStyle w:val="36"/>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6"/>
              <w:gridCol w:w="1650"/>
              <w:gridCol w:w="2889"/>
              <w:gridCol w:w="37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6" w:type="dxa"/>
                  <w:vAlign w:val="center"/>
                </w:tcPr>
                <w:p>
                  <w:pPr>
                    <w:jc w:val="center"/>
                    <w:rPr>
                      <w:b/>
                      <w:szCs w:val="21"/>
                    </w:rPr>
                  </w:pPr>
                  <w:r>
                    <w:rPr>
                      <w:rFonts w:hint="eastAsia"/>
                      <w:b/>
                      <w:szCs w:val="21"/>
                    </w:rPr>
                    <w:t>序号</w:t>
                  </w:r>
                </w:p>
              </w:tc>
              <w:tc>
                <w:tcPr>
                  <w:tcW w:w="1650" w:type="dxa"/>
                  <w:vAlign w:val="center"/>
                </w:tcPr>
                <w:p>
                  <w:pPr>
                    <w:jc w:val="center"/>
                    <w:rPr>
                      <w:b/>
                      <w:szCs w:val="21"/>
                    </w:rPr>
                  </w:pPr>
                  <w:r>
                    <w:rPr>
                      <w:rFonts w:hint="eastAsia"/>
                      <w:b/>
                      <w:szCs w:val="21"/>
                    </w:rPr>
                    <w:t>污泥处置方式</w:t>
                  </w:r>
                </w:p>
              </w:tc>
              <w:tc>
                <w:tcPr>
                  <w:tcW w:w="2889" w:type="dxa"/>
                  <w:vAlign w:val="center"/>
                </w:tcPr>
                <w:p>
                  <w:pPr>
                    <w:jc w:val="center"/>
                    <w:rPr>
                      <w:b/>
                      <w:szCs w:val="21"/>
                    </w:rPr>
                  </w:pPr>
                  <w:r>
                    <w:rPr>
                      <w:rFonts w:hint="eastAsia"/>
                      <w:b/>
                      <w:szCs w:val="21"/>
                    </w:rPr>
                    <w:t>处理要求</w:t>
                  </w:r>
                </w:p>
              </w:tc>
              <w:tc>
                <w:tcPr>
                  <w:tcW w:w="3706" w:type="dxa"/>
                  <w:vAlign w:val="center"/>
                </w:tcPr>
                <w:p>
                  <w:pPr>
                    <w:jc w:val="center"/>
                    <w:rPr>
                      <w:b/>
                      <w:szCs w:val="21"/>
                    </w:rPr>
                  </w:pPr>
                  <w:r>
                    <w:rPr>
                      <w:rFonts w:hint="eastAsia"/>
                      <w:b/>
                      <w:szCs w:val="21"/>
                    </w:rPr>
                    <w:t>处置原理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6" w:type="dxa"/>
                  <w:vAlign w:val="center"/>
                </w:tcPr>
                <w:p>
                  <w:pPr>
                    <w:jc w:val="center"/>
                    <w:rPr>
                      <w:szCs w:val="21"/>
                    </w:rPr>
                  </w:pPr>
                  <w:r>
                    <w:rPr>
                      <w:rFonts w:hint="eastAsia"/>
                      <w:szCs w:val="21"/>
                    </w:rPr>
                    <w:t>1</w:t>
                  </w:r>
                </w:p>
              </w:tc>
              <w:tc>
                <w:tcPr>
                  <w:tcW w:w="1650" w:type="dxa"/>
                  <w:vAlign w:val="center"/>
                </w:tcPr>
                <w:p>
                  <w:pPr>
                    <w:jc w:val="center"/>
                    <w:rPr>
                      <w:szCs w:val="21"/>
                    </w:rPr>
                  </w:pPr>
                  <w:r>
                    <w:rPr>
                      <w:rFonts w:hint="eastAsia"/>
                      <w:szCs w:val="21"/>
                    </w:rPr>
                    <w:t>还田农用</w:t>
                  </w:r>
                </w:p>
              </w:tc>
              <w:tc>
                <w:tcPr>
                  <w:tcW w:w="2889" w:type="dxa"/>
                  <w:vAlign w:val="center"/>
                </w:tcPr>
                <w:p>
                  <w:pPr>
                    <w:jc w:val="center"/>
                    <w:rPr>
                      <w:szCs w:val="21"/>
                    </w:rPr>
                  </w:pPr>
                  <w:r>
                    <w:rPr>
                      <w:szCs w:val="21"/>
                    </w:rPr>
                    <w:t>稳定的无害化机械脱水含固率20～30%干污泥</w:t>
                  </w:r>
                </w:p>
              </w:tc>
              <w:tc>
                <w:tcPr>
                  <w:tcW w:w="3706" w:type="dxa"/>
                  <w:vAlign w:val="center"/>
                </w:tcPr>
                <w:p>
                  <w:pPr>
                    <w:jc w:val="center"/>
                    <w:rPr>
                      <w:szCs w:val="21"/>
                    </w:rPr>
                  </w:pPr>
                  <w:r>
                    <w:rPr>
                      <w:rFonts w:hint="eastAsia"/>
                      <w:szCs w:val="21"/>
                    </w:rPr>
                    <w:t>按国家标准要求将污泥散到农田后翻耕，可种草、麦等，但不能种蔬菜或水稻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6" w:type="dxa"/>
                  <w:vAlign w:val="center"/>
                </w:tcPr>
                <w:p>
                  <w:pPr>
                    <w:jc w:val="center"/>
                    <w:rPr>
                      <w:szCs w:val="21"/>
                    </w:rPr>
                  </w:pPr>
                  <w:r>
                    <w:rPr>
                      <w:rFonts w:hint="eastAsia"/>
                      <w:szCs w:val="21"/>
                    </w:rPr>
                    <w:t>2</w:t>
                  </w:r>
                </w:p>
              </w:tc>
              <w:tc>
                <w:tcPr>
                  <w:tcW w:w="1650" w:type="dxa"/>
                  <w:vAlign w:val="center"/>
                </w:tcPr>
                <w:p>
                  <w:pPr>
                    <w:jc w:val="center"/>
                    <w:rPr>
                      <w:szCs w:val="21"/>
                    </w:rPr>
                  </w:pPr>
                  <w:r>
                    <w:rPr>
                      <w:rFonts w:hint="eastAsia"/>
                      <w:szCs w:val="21"/>
                    </w:rPr>
                    <w:t>卫生填埋</w:t>
                  </w:r>
                </w:p>
              </w:tc>
              <w:tc>
                <w:tcPr>
                  <w:tcW w:w="2889" w:type="dxa"/>
                  <w:vAlign w:val="center"/>
                </w:tcPr>
                <w:p>
                  <w:pPr>
                    <w:jc w:val="center"/>
                    <w:rPr>
                      <w:szCs w:val="21"/>
                    </w:rPr>
                  </w:pPr>
                  <w:r>
                    <w:rPr>
                      <w:rFonts w:hint="eastAsia"/>
                      <w:szCs w:val="21"/>
                    </w:rPr>
                    <w:t>尽量稳定和无害化，机械脱水含固率≥40%干污泥</w:t>
                  </w:r>
                </w:p>
              </w:tc>
              <w:tc>
                <w:tcPr>
                  <w:tcW w:w="3706" w:type="dxa"/>
                  <w:vAlign w:val="center"/>
                </w:tcPr>
                <w:p>
                  <w:pPr>
                    <w:jc w:val="center"/>
                    <w:rPr>
                      <w:szCs w:val="21"/>
                    </w:rPr>
                  </w:pPr>
                  <w:r>
                    <w:rPr>
                      <w:rFonts w:hint="eastAsia"/>
                      <w:szCs w:val="21"/>
                    </w:rPr>
                    <w:t>卫生填埋场作处置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6" w:type="dxa"/>
                  <w:vAlign w:val="center"/>
                </w:tcPr>
                <w:p>
                  <w:pPr>
                    <w:jc w:val="center"/>
                    <w:rPr>
                      <w:szCs w:val="21"/>
                    </w:rPr>
                  </w:pPr>
                  <w:r>
                    <w:rPr>
                      <w:rFonts w:hint="eastAsia"/>
                      <w:szCs w:val="21"/>
                    </w:rPr>
                    <w:t>3</w:t>
                  </w:r>
                </w:p>
              </w:tc>
              <w:tc>
                <w:tcPr>
                  <w:tcW w:w="1650" w:type="dxa"/>
                  <w:vAlign w:val="center"/>
                </w:tcPr>
                <w:p>
                  <w:pPr>
                    <w:jc w:val="center"/>
                    <w:rPr>
                      <w:szCs w:val="21"/>
                    </w:rPr>
                  </w:pPr>
                  <w:r>
                    <w:rPr>
                      <w:rFonts w:hint="eastAsia"/>
                      <w:szCs w:val="21"/>
                    </w:rPr>
                    <w:t>焚烧</w:t>
                  </w:r>
                </w:p>
              </w:tc>
              <w:tc>
                <w:tcPr>
                  <w:tcW w:w="2889" w:type="dxa"/>
                  <w:vAlign w:val="center"/>
                </w:tcPr>
                <w:p>
                  <w:pPr>
                    <w:jc w:val="center"/>
                    <w:rPr>
                      <w:szCs w:val="21"/>
                    </w:rPr>
                  </w:pPr>
                  <w:r>
                    <w:rPr>
                      <w:rFonts w:hint="eastAsia"/>
                      <w:szCs w:val="21"/>
                    </w:rPr>
                    <w:t>机械脱水含固率20～40%</w:t>
                  </w:r>
                </w:p>
              </w:tc>
              <w:tc>
                <w:tcPr>
                  <w:tcW w:w="3706" w:type="dxa"/>
                  <w:vAlign w:val="center"/>
                </w:tcPr>
                <w:p>
                  <w:pPr>
                    <w:jc w:val="center"/>
                    <w:rPr>
                      <w:szCs w:val="21"/>
                    </w:rPr>
                  </w:pPr>
                  <w:r>
                    <w:rPr>
                      <w:rFonts w:hint="eastAsia"/>
                      <w:szCs w:val="21"/>
                    </w:rPr>
                    <w:t>设置焚烧厂，可以利用部分热能，焚烧炉渣可利用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56" w:type="dxa"/>
                  <w:vAlign w:val="center"/>
                </w:tcPr>
                <w:p>
                  <w:pPr>
                    <w:jc w:val="center"/>
                    <w:rPr>
                      <w:szCs w:val="21"/>
                    </w:rPr>
                  </w:pPr>
                  <w:r>
                    <w:rPr>
                      <w:rFonts w:hint="eastAsia"/>
                      <w:szCs w:val="21"/>
                    </w:rPr>
                    <w:t>4</w:t>
                  </w:r>
                </w:p>
              </w:tc>
              <w:tc>
                <w:tcPr>
                  <w:tcW w:w="1650" w:type="dxa"/>
                  <w:vAlign w:val="center"/>
                </w:tcPr>
                <w:p>
                  <w:pPr>
                    <w:jc w:val="center"/>
                    <w:rPr>
                      <w:szCs w:val="21"/>
                    </w:rPr>
                  </w:pPr>
                  <w:r>
                    <w:rPr>
                      <w:rFonts w:hint="eastAsia"/>
                      <w:szCs w:val="21"/>
                    </w:rPr>
                    <w:t>与城镇生活垃圾混合堆肥</w:t>
                  </w:r>
                </w:p>
              </w:tc>
              <w:tc>
                <w:tcPr>
                  <w:tcW w:w="2889" w:type="dxa"/>
                  <w:vAlign w:val="center"/>
                </w:tcPr>
                <w:p>
                  <w:pPr>
                    <w:jc w:val="center"/>
                    <w:rPr>
                      <w:szCs w:val="21"/>
                    </w:rPr>
                  </w:pPr>
                  <w:r>
                    <w:rPr>
                      <w:rFonts w:hint="eastAsia"/>
                      <w:szCs w:val="21"/>
                    </w:rPr>
                    <w:t>机械脱水含固率20～40%</w:t>
                  </w:r>
                </w:p>
              </w:tc>
              <w:tc>
                <w:tcPr>
                  <w:tcW w:w="3706" w:type="dxa"/>
                  <w:vAlign w:val="center"/>
                </w:tcPr>
                <w:p>
                  <w:pPr>
                    <w:jc w:val="center"/>
                    <w:rPr>
                      <w:szCs w:val="21"/>
                    </w:rPr>
                  </w:pPr>
                  <w:r>
                    <w:rPr>
                      <w:rFonts w:hint="eastAsia"/>
                      <w:szCs w:val="21"/>
                    </w:rPr>
                    <w:t>堆肥、发酵</w:t>
                  </w:r>
                </w:p>
              </w:tc>
            </w:tr>
          </w:tbl>
          <w:p>
            <w:pPr>
              <w:spacing w:line="360" w:lineRule="auto"/>
              <w:ind w:firstLine="480" w:firstLineChars="200"/>
              <w:rPr>
                <w:bCs/>
                <w:sz w:val="24"/>
                <w:szCs w:val="24"/>
              </w:rPr>
            </w:pPr>
            <w:r>
              <w:rPr>
                <w:rFonts w:hint="eastAsia"/>
                <w:bCs/>
                <w:sz w:val="24"/>
                <w:szCs w:val="24"/>
              </w:rPr>
              <w:t>从目前国内情况看，绝大部分污水处理站的污泥均考虑卫生填埋。污泥卫生填埋是把脱水污泥运到卫生填埋场与城镇垃圾一起，按卫生填埋操作进行处置的工艺。卫生填埋法处置具有处理量大，投资省，运行费低，操作简单，管理方便，对污泥适应能力强等优点，但亦具有占地大，渗滤液及臭气污染较重等缺点。</w:t>
            </w:r>
          </w:p>
          <w:p>
            <w:pPr>
              <w:spacing w:line="360" w:lineRule="auto"/>
              <w:ind w:firstLine="480" w:firstLineChars="200"/>
              <w:rPr>
                <w:bCs/>
                <w:sz w:val="24"/>
                <w:szCs w:val="24"/>
              </w:rPr>
            </w:pPr>
            <w:r>
              <w:rPr>
                <w:rFonts w:hint="eastAsia"/>
                <w:bCs/>
                <w:sz w:val="24"/>
                <w:szCs w:val="24"/>
              </w:rPr>
              <w:t>卫生填埋法适宜于填埋场地容易选取、运距较近、有覆盖土的地方。迄今为止，卫生填埋法是国内外处理城镇污水处理站脱水污泥最常用的方法。</w:t>
            </w:r>
          </w:p>
          <w:p>
            <w:pPr>
              <w:spacing w:line="360" w:lineRule="auto"/>
              <w:ind w:firstLine="480" w:firstLineChars="200"/>
              <w:rPr>
                <w:bCs/>
                <w:sz w:val="24"/>
                <w:szCs w:val="24"/>
              </w:rPr>
            </w:pPr>
            <w:r>
              <w:rPr>
                <w:rFonts w:hint="eastAsia"/>
                <w:bCs/>
                <w:sz w:val="24"/>
                <w:szCs w:val="24"/>
              </w:rPr>
              <w:t>根据《城镇污水处理站污泥处置混合填埋用泥质（GB/T 23485-2009）》要求，用于卫生填埋的污泥含水率必须小于60%，本工程二级处理采用脱氮除磷工艺，产生污泥量极少，根据建设单位提供实际情况，格栅池产生的栅渣运至宁县和盛镇生活垃圾填埋场，剩余污泥近期交由有资质单位处理，远期建设深度处理，至含水率低于60%送</w:t>
            </w:r>
            <w:r>
              <w:rPr>
                <w:rFonts w:hint="eastAsia"/>
                <w:sz w:val="24"/>
              </w:rPr>
              <w:t>宁县和盛镇生活垃圾填埋场</w:t>
            </w:r>
            <w:r>
              <w:rPr>
                <w:rFonts w:hint="eastAsia"/>
                <w:bCs/>
                <w:sz w:val="24"/>
                <w:szCs w:val="24"/>
              </w:rPr>
              <w:t>卫生填埋。</w:t>
            </w:r>
          </w:p>
          <w:p>
            <w:pPr>
              <w:spacing w:line="360" w:lineRule="auto"/>
              <w:ind w:firstLine="480" w:firstLineChars="200"/>
              <w:rPr>
                <w:bCs/>
                <w:sz w:val="24"/>
                <w:szCs w:val="24"/>
              </w:rPr>
            </w:pPr>
            <w:r>
              <w:rPr>
                <w:rFonts w:hint="eastAsia"/>
                <w:bCs/>
                <w:sz w:val="24"/>
                <w:szCs w:val="24"/>
              </w:rPr>
              <w:t>5、污水处理站运营加药工艺简述：</w:t>
            </w:r>
          </w:p>
          <w:p>
            <w:pPr>
              <w:spacing w:line="360" w:lineRule="auto"/>
              <w:ind w:firstLine="480" w:firstLineChars="200"/>
              <w:rPr>
                <w:bCs/>
                <w:sz w:val="24"/>
                <w:szCs w:val="24"/>
              </w:rPr>
            </w:pPr>
            <w:r>
              <w:rPr>
                <w:rFonts w:hint="eastAsia"/>
                <w:bCs/>
                <w:sz w:val="24"/>
                <w:szCs w:val="24"/>
              </w:rPr>
              <w:t>污水处理加药系统是一种全新概念的化学水处理加药设备，已在国内外的电力、公工、市政等水处理领域广泛应用。它是将加药箱、计量泵(隔膜泵)、自动控制系统一体化，即安装在一个底座上，将计量泵(柱塞泵)出口与加药管路、计量箱进出口与进水管等连接好，并将控制柜电源和检测仪表信号送到控制柜，实现溶配药液、计量投加功能单元的整体组合。为达到最佳效果，在工况变化的情况下，对所加化学药剂量自动跟踪调节控制加药速度，因此在这种加药装置中我们采用了先进的自动控制方式来控制加药量。除部分加药管路、取样管路和加药浓度检测仪表外，这些加药设备一般都集中安装在一个加药间内。</w:t>
            </w:r>
          </w:p>
          <w:p>
            <w:pPr>
              <w:spacing w:line="360" w:lineRule="auto"/>
              <w:ind w:firstLine="480" w:firstLineChars="200"/>
              <w:rPr>
                <w:bCs/>
                <w:sz w:val="24"/>
                <w:szCs w:val="24"/>
              </w:rPr>
            </w:pPr>
            <w:r>
              <w:rPr>
                <w:rFonts w:hint="eastAsia"/>
                <w:bCs/>
                <w:sz w:val="24"/>
                <w:szCs w:val="24"/>
              </w:rPr>
              <w:t>加药系统主要由溶液箱、搅拌箱(带搅拌器)、计量泵、液位计、电控柜、管路、阀门、安全阀、止回阀、压力表、过滤器、底座、扶梯等组成(可根据用户实际要求配置)。加药系统根据所需药剂浓度，在搅拌箱内配制，经搅拌器搅拌均匀后投入溶液箱、用计量泵(加药泵)向投药点或指定的系统中输送所配制的溶液。</w:t>
            </w:r>
          </w:p>
          <w:p>
            <w:pPr>
              <w:spacing w:line="360" w:lineRule="auto"/>
              <w:ind w:firstLine="480" w:firstLineChars="200"/>
              <w:rPr>
                <w:bCs/>
                <w:sz w:val="24"/>
                <w:szCs w:val="24"/>
              </w:rPr>
            </w:pPr>
            <w:r>
              <w:rPr>
                <w:rFonts w:hint="eastAsia"/>
                <w:bCs/>
                <w:sz w:val="24"/>
                <w:szCs w:val="24"/>
              </w:rPr>
              <w:t>6、本项目污水处理站最终工艺方案</w:t>
            </w:r>
          </w:p>
          <w:p>
            <w:pPr>
              <w:spacing w:line="360" w:lineRule="auto"/>
              <w:ind w:firstLine="480" w:firstLineChars="200"/>
              <w:rPr>
                <w:bCs/>
                <w:sz w:val="24"/>
                <w:szCs w:val="24"/>
              </w:rPr>
            </w:pPr>
            <w:r>
              <w:rPr>
                <w:rFonts w:hint="eastAsia"/>
                <w:bCs/>
                <w:sz w:val="24"/>
                <w:szCs w:val="24"/>
              </w:rPr>
              <w:t>根据以上方案对比和论述，结合宁县乡镇具体情况，本工程拟采用格栅+调节池作为预处理工艺，多级生物接触氧化作为本污水处理站生化处理工艺，出水经沉淀池沉淀，砂缸过滤器过滤及紫外消毒后达标排放，污泥处置近期交由有资质单位处理，远期建设深度处理，至含水率低于60%送宁县和盛镇生活垃圾填埋场卫生填埋。其工艺流程如下图所示：</w:t>
            </w:r>
          </w:p>
          <w:p>
            <w:pPr>
              <w:spacing w:line="360" w:lineRule="auto"/>
              <w:ind w:firstLine="480" w:firstLineChars="200"/>
              <w:rPr>
                <w:bCs/>
                <w:sz w:val="24"/>
                <w:szCs w:val="24"/>
              </w:rPr>
            </w:pPr>
            <w:r>
              <w:rPr>
                <w:bCs/>
                <w:sz w:val="24"/>
                <w:szCs w:val="24"/>
              </w:rPr>
              <w:pict>
                <v:group id="_x0000_s327958" o:spid="_x0000_s327958" o:spt="203" style="height:125.35pt;width:433.95pt;" coordorigin="1332,7672" coordsize="8679,2507" editas="canvas">
                  <o:lock v:ext="edit"/>
                  <v:shape id="_x0000_s327959" o:spid="_x0000_s327959" o:spt="75" type="#_x0000_t75" style="position:absolute;left:1332;top:7672;height:2507;width:8679;" filled="f" o:preferrelative="f" stroked="t" coordsize="21600,21600">
                    <v:fill on="f" focussize="0,0"/>
                    <v:stroke color="#000000 [3213]" joinstyle="miter"/>
                    <v:imagedata o:title=""/>
                    <o:lock v:ext="edit" text="t" aspectratio="t"/>
                  </v:shape>
                  <v:shape id="_x0000_s327960" o:spid="_x0000_s327960" o:spt="202" type="#_x0000_t202" style="position:absolute;left:2016;top:7914;height:426;width:1405;" filled="f" coordsize="21600,21600">
                    <v:path/>
                    <v:fill on="f" focussize="0,0"/>
                    <v:stroke joinstyle="miter"/>
                    <v:imagedata o:title=""/>
                    <o:lock v:ext="edit"/>
                    <v:textbox>
                      <w:txbxContent>
                        <w:p>
                          <w:r>
                            <w:rPr>
                              <w:rFonts w:hint="eastAsia"/>
                            </w:rPr>
                            <w:t>格栅调节池</w:t>
                          </w:r>
                        </w:p>
                      </w:txbxContent>
                    </v:textbox>
                  </v:shape>
                  <v:shape id="_x0000_s327961" o:spid="_x0000_s327961" o:spt="202" type="#_x0000_t202" style="position:absolute;left:3950;top:7914;height:426;width:1405;" filled="f" coordsize="21600,21600">
                    <v:path/>
                    <v:fill on="f" focussize="0,0"/>
                    <v:stroke joinstyle="miter"/>
                    <v:imagedata o:title=""/>
                    <o:lock v:ext="edit"/>
                    <v:textbox>
                      <w:txbxContent>
                        <w:p>
                          <w:pPr>
                            <w:jc w:val="center"/>
                          </w:pPr>
                          <w:r>
                            <w:rPr>
                              <w:rFonts w:hint="eastAsia"/>
                            </w:rPr>
                            <w:t>生化单元</w:t>
                          </w:r>
                        </w:p>
                      </w:txbxContent>
                    </v:textbox>
                  </v:shape>
                  <v:shape id="_x0000_s327962" o:spid="_x0000_s327962" o:spt="32" type="#_x0000_t32" style="position:absolute;left:3421;top:8121;height:2;width:529;" o:connectortype="straight" filled="f" coordsize="21600,21600">
                    <v:path arrowok="t"/>
                    <v:fill on="f" focussize="0,0"/>
                    <v:stroke weight="0.5pt" endarrow="block"/>
                    <v:imagedata o:title=""/>
                    <o:lock v:ext="edit"/>
                  </v:shape>
                  <v:shape id="_x0000_s327963" o:spid="_x0000_s327963" o:spt="202" type="#_x0000_t202" style="position:absolute;left:5885;top:7914;height:426;width:1405;" filled="f" coordsize="21600,21600">
                    <v:path/>
                    <v:fill on="f" focussize="0,0"/>
                    <v:stroke joinstyle="miter"/>
                    <v:imagedata o:title=""/>
                    <o:lock v:ext="edit"/>
                    <v:textbox>
                      <w:txbxContent>
                        <w:p>
                          <w:pPr>
                            <w:jc w:val="center"/>
                          </w:pPr>
                          <w:r>
                            <w:rPr>
                              <w:rFonts w:hint="eastAsia"/>
                            </w:rPr>
                            <w:t>澄清单元</w:t>
                          </w:r>
                        </w:p>
                      </w:txbxContent>
                    </v:textbox>
                  </v:shape>
                  <v:shape id="_x0000_s327964" o:spid="_x0000_s327964" o:spt="32" type="#_x0000_t32" style="position:absolute;left:5355;top:8120;height:1;width:530;" o:connectortype="straight" filled="f" coordsize="21600,21600">
                    <v:path arrowok="t"/>
                    <v:fill on="f" focussize="0,0"/>
                    <v:stroke weight="0.5pt" endarrow="block"/>
                    <v:imagedata o:title=""/>
                    <o:lock v:ext="edit"/>
                  </v:shape>
                  <v:shape id="_x0000_s327965" o:spid="_x0000_s327965" o:spt="32" type="#_x0000_t32" style="position:absolute;left:7290;top:8129;height:2;width:529;" o:connectortype="straight" filled="f" coordsize="21600,21600">
                    <v:path arrowok="t"/>
                    <v:fill on="f" focussize="0,0"/>
                    <v:stroke weight="0.5pt" endarrow="block"/>
                    <v:imagedata o:title=""/>
                    <o:lock v:ext="edit"/>
                  </v:shape>
                  <v:shape id="_x0000_s327966" o:spid="_x0000_s327966" o:spt="202" type="#_x0000_t202" style="position:absolute;left:7819;top:7914;height:426;width:1670;" filled="f" coordsize="21600,21600">
                    <v:path/>
                    <v:fill on="f" focussize="0,0"/>
                    <v:stroke joinstyle="miter"/>
                    <v:imagedata o:title=""/>
                    <o:lock v:ext="edit"/>
                    <v:textbox>
                      <w:txbxContent>
                        <w:p>
                          <w:pPr>
                            <w:jc w:val="center"/>
                          </w:pPr>
                          <w:r>
                            <w:rPr>
                              <w:rFonts w:hint="eastAsia"/>
                            </w:rPr>
                            <w:t>石英砂过滤器</w:t>
                          </w:r>
                        </w:p>
                      </w:txbxContent>
                    </v:textbox>
                  </v:shape>
                  <v:shape id="_x0000_s327967" o:spid="_x0000_s327967" o:spt="32" type="#_x0000_t32" style="position:absolute;left:8708;top:8340;height:611;width:1;" o:connectortype="straight" filled="f" coordsize="21600,21600">
                    <v:path arrowok="t"/>
                    <v:fill on="f" focussize="0,0"/>
                    <v:stroke weight="0.5pt" endarrow="block"/>
                    <v:imagedata o:title=""/>
                    <o:lock v:ext="edit"/>
                  </v:shape>
                  <v:shape id="_x0000_s327968" o:spid="_x0000_s327968" o:spt="202" type="#_x0000_t202" style="position:absolute;left:7634;top:8951;height:426;width:2137;" filled="f" coordsize="21600,21600">
                    <v:path/>
                    <v:fill on="f" focussize="0,0"/>
                    <v:stroke joinstyle="miter"/>
                    <v:imagedata o:title=""/>
                    <o:lock v:ext="edit"/>
                    <v:textbox>
                      <w:txbxContent>
                        <w:p>
                          <w:pPr>
                            <w:jc w:val="center"/>
                          </w:pPr>
                          <w:r>
                            <w:rPr>
                              <w:rFonts w:hint="eastAsia"/>
                            </w:rPr>
                            <w:t>紫外消毒及流量计井</w:t>
                          </w:r>
                        </w:p>
                      </w:txbxContent>
                    </v:textbox>
                  </v:shape>
                  <v:shape id="_x0000_s327969" o:spid="_x0000_s327969" o:spt="32" type="#_x0000_t32" style="position:absolute;left:8707;top:9365;height:370;width:2;" o:connectortype="straight" filled="f" coordsize="21600,21600">
                    <v:path arrowok="t"/>
                    <v:fill on="f" focussize="0,0"/>
                    <v:stroke weight="0.5pt" endarrow="block"/>
                    <v:imagedata o:title=""/>
                    <o:lock v:ext="edit"/>
                  </v:shape>
                  <v:shape id="_x0000_s327970" o:spid="_x0000_s327970" o:spt="202" type="#_x0000_t202" style="position:absolute;left:7993;top:9699;height:426;width:1405;" filled="f" stroked="f" coordsize="21600,21600">
                    <v:path/>
                    <v:fill on="f" focussize="0,0"/>
                    <v:stroke on="f" joinstyle="miter"/>
                    <v:imagedata o:title=""/>
                    <o:lock v:ext="edit"/>
                    <v:textbox>
                      <w:txbxContent>
                        <w:p>
                          <w:pPr>
                            <w:jc w:val="center"/>
                          </w:pPr>
                          <w:r>
                            <w:rPr>
                              <w:rFonts w:hint="eastAsia"/>
                            </w:rPr>
                            <w:t>出水</w:t>
                          </w:r>
                        </w:p>
                      </w:txbxContent>
                    </v:textbox>
                  </v:shape>
                  <v:shape id="_x0000_s327971" o:spid="_x0000_s327971" o:spt="32" type="#_x0000_t32" style="position:absolute;left:6605;top:8340;height:611;width:1;" o:connectortype="straight" filled="f" coordsize="21600,21600">
                    <v:path arrowok="t"/>
                    <v:fill on="f" focussize="0,0"/>
                    <v:stroke weight="0.5pt" endarrow="block"/>
                    <v:imagedata o:title=""/>
                    <o:lock v:ext="edit"/>
                  </v:shape>
                  <v:shape id="_x0000_s327972" o:spid="_x0000_s327972" o:spt="202" type="#_x0000_t202" style="position:absolute;left:5907;top:8951;height:426;width:1405;" filled="f" coordsize="21600,21600">
                    <v:path/>
                    <v:fill on="f" focussize="0,0"/>
                    <v:stroke joinstyle="miter"/>
                    <v:imagedata o:title=""/>
                    <o:lock v:ext="edit"/>
                    <v:textbox>
                      <w:txbxContent>
                        <w:p>
                          <w:pPr>
                            <w:jc w:val="center"/>
                          </w:pPr>
                          <w:r>
                            <w:rPr>
                              <w:rFonts w:hint="eastAsia"/>
                            </w:rPr>
                            <w:t>污泥池</w:t>
                          </w:r>
                        </w:p>
                      </w:txbxContent>
                    </v:textbox>
                  </v:shape>
                  <v:shape id="_x0000_s327973" o:spid="_x0000_s327973" o:spt="32" type="#_x0000_t32" style="position:absolute;left:5031;top:8760;flip:x;height:1;width:564;" o:connectortype="straight" filled="f" coordsize="21600,21600">
                    <v:path arrowok="t"/>
                    <v:fill on="f" focussize="0,0"/>
                    <v:stroke weight="0.5pt" endarrow="block"/>
                    <v:imagedata o:title=""/>
                    <o:lock v:ext="edit"/>
                  </v:shape>
                  <v:shape id="_x0000_s327974" o:spid="_x0000_s327974" o:spt="202" type="#_x0000_t202" style="position:absolute;left:3421;top:8536;height:426;width:1610;" filled="f" coordsize="21600,21600">
                    <v:path/>
                    <v:fill on="f" focussize="0,0"/>
                    <v:stroke joinstyle="miter"/>
                    <v:imagedata o:title=""/>
                    <o:lock v:ext="edit"/>
                    <v:textbox>
                      <w:txbxContent>
                        <w:p>
                          <w:pPr>
                            <w:jc w:val="center"/>
                          </w:pPr>
                          <w:r>
                            <w:rPr>
                              <w:rFonts w:hint="eastAsia"/>
                            </w:rPr>
                            <w:t>外运资质单位</w:t>
                          </w:r>
                        </w:p>
                      </w:txbxContent>
                    </v:textbox>
                  </v:shape>
                  <v:shape id="_x0000_s327975" o:spid="_x0000_s327975" o:spt="202" type="#_x0000_t202" style="position:absolute;left:6153;top:8411;height:426;width:1405;" filled="f" stroked="f" coordsize="21600,21600">
                    <v:path/>
                    <v:fill on="f" focussize="0,0"/>
                    <v:stroke on="f" joinstyle="miter"/>
                    <v:imagedata o:title=""/>
                    <o:lock v:ext="edit"/>
                    <v:textbox>
                      <w:txbxContent>
                        <w:p>
                          <w:pPr>
                            <w:jc w:val="center"/>
                          </w:pPr>
                          <w:r>
                            <w:rPr>
                              <w:rFonts w:hint="eastAsia"/>
                            </w:rPr>
                            <w:t>污泥</w:t>
                          </w:r>
                        </w:p>
                      </w:txbxContent>
                    </v:textbox>
                  </v:shape>
                  <v:shape id="_x0000_s327976" o:spid="_x0000_s327976" o:spt="32" type="#_x0000_t32" style="position:absolute;left:5606;top:9170;flip:x;height:1;width:290;" o:connectortype="straight" filled="f" coordsize="21600,21600">
                    <v:path arrowok="t"/>
                    <v:fill on="f" focussize="0,0"/>
                    <v:stroke/>
                    <v:imagedata o:title=""/>
                    <o:lock v:ext="edit"/>
                  </v:shape>
                  <v:shape id="_x0000_s327977" o:spid="_x0000_s327977" o:spt="32" type="#_x0000_t32" style="position:absolute;left:5606;top:8758;height:799;width:1;" o:connectortype="straight" filled="f" coordsize="21600,21600">
                    <v:path arrowok="t"/>
                    <v:fill on="f" focussize="0,0"/>
                    <v:stroke/>
                    <v:imagedata o:title=""/>
                    <o:lock v:ext="edit"/>
                  </v:shape>
                  <v:shape id="_x0000_s327978" o:spid="_x0000_s327978" o:spt="32" type="#_x0000_t32" style="position:absolute;left:5031;top:9557;flip:x;height:1;width:564;" o:connectortype="straight" filled="f" coordsize="21600,21600">
                    <v:path arrowok="t"/>
                    <v:fill on="f" focussize="0,0"/>
                    <v:stroke weight="0.5pt" endarrow="block"/>
                    <v:imagedata o:title=""/>
                    <o:lock v:ext="edit"/>
                  </v:shape>
                  <v:shape id="_x0000_s327979" o:spid="_x0000_s327979" o:spt="202" type="#_x0000_t202" style="position:absolute;left:4803;top:8411;height:426;width:1137;" filled="f" stroked="f" coordsize="21600,21600">
                    <v:path/>
                    <v:fill on="f" focussize="0,0"/>
                    <v:stroke on="f" joinstyle="miter"/>
                    <v:imagedata o:title=""/>
                    <o:lock v:ext="edit"/>
                    <v:textbox>
                      <w:txbxContent>
                        <w:p>
                          <w:pPr>
                            <w:jc w:val="center"/>
                          </w:pPr>
                          <w:r>
                            <w:rPr>
                              <w:rFonts w:hint="eastAsia"/>
                            </w:rPr>
                            <w:t>近期</w:t>
                          </w:r>
                        </w:p>
                      </w:txbxContent>
                    </v:textbox>
                  </v:shape>
                  <v:shape id="_x0000_s327980" o:spid="_x0000_s327980" o:spt="202" type="#_x0000_t202" style="position:absolute;left:3879;top:9365;height:426;width:1152;" filled="f" coordsize="21600,21600">
                    <v:path/>
                    <v:fill on="f" focussize="0,0"/>
                    <v:stroke joinstyle="miter"/>
                    <v:imagedata o:title=""/>
                    <o:lock v:ext="edit"/>
                    <v:textbox>
                      <w:txbxContent>
                        <w:p>
                          <w:pPr>
                            <w:jc w:val="center"/>
                          </w:pPr>
                          <w:r>
                            <w:rPr>
                              <w:rFonts w:hint="eastAsia"/>
                            </w:rPr>
                            <w:t>深度处理</w:t>
                          </w:r>
                        </w:p>
                      </w:txbxContent>
                    </v:textbox>
                  </v:shape>
                  <v:shape id="_x0000_s327981" o:spid="_x0000_s327981" o:spt="32" type="#_x0000_t32" style="position:absolute;left:3306;top:9569;flip:x;height:1;width:564;" o:connectortype="straight" filled="f" coordsize="21600,21600">
                    <v:path arrowok="t"/>
                    <v:fill on="f" focussize="0,0"/>
                    <v:stroke weight="0.5pt" endarrow="block"/>
                    <v:imagedata o:title=""/>
                    <o:lock v:ext="edit"/>
                  </v:shape>
                  <v:shape id="_x0000_s327982" o:spid="_x0000_s327982" o:spt="202" type="#_x0000_t202" style="position:absolute;left:1466;top:9365;height:426;width:1840;" filled="f" coordsize="21600,21600">
                    <v:path/>
                    <v:fill on="f" focussize="0,0"/>
                    <v:stroke joinstyle="miter"/>
                    <v:imagedata o:title=""/>
                    <o:lock v:ext="edit"/>
                    <v:textbox>
                      <w:txbxContent>
                        <w:p>
                          <w:pPr>
                            <w:jc w:val="center"/>
                          </w:pPr>
                          <w:r>
                            <w:rPr>
                              <w:rFonts w:hint="eastAsia"/>
                            </w:rPr>
                            <w:t>和盛垃圾填埋场</w:t>
                          </w:r>
                        </w:p>
                      </w:txbxContent>
                    </v:textbox>
                  </v:shape>
                  <v:shape id="_x0000_s327983" o:spid="_x0000_s327983" o:spt="202" type="#_x0000_t202" style="position:absolute;left:4816;top:9171;height:426;width:1137;" filled="f" stroked="f" coordsize="21600,21600">
                    <v:path/>
                    <v:fill on="f" focussize="0,0"/>
                    <v:stroke on="f" joinstyle="miter"/>
                    <v:imagedata o:title=""/>
                    <o:lock v:ext="edit"/>
                    <v:textbox>
                      <w:txbxContent>
                        <w:p>
                          <w:pPr>
                            <w:jc w:val="center"/>
                          </w:pPr>
                          <w:r>
                            <w:rPr>
                              <w:rFonts w:hint="eastAsia"/>
                            </w:rPr>
                            <w:t>远期</w:t>
                          </w:r>
                        </w:p>
                      </w:txbxContent>
                    </v:textbox>
                  </v:shape>
                  <w10:wrap type="none"/>
                  <w10:anchorlock/>
                </v:group>
              </w:pict>
            </w:r>
          </w:p>
          <w:p>
            <w:pPr>
              <w:spacing w:line="360" w:lineRule="auto"/>
              <w:ind w:firstLine="422" w:firstLineChars="200"/>
              <w:jc w:val="center"/>
              <w:rPr>
                <w:b/>
                <w:bCs/>
                <w:szCs w:val="21"/>
              </w:rPr>
            </w:pPr>
            <w:r>
              <w:rPr>
                <w:rFonts w:hint="eastAsia"/>
                <w:b/>
                <w:bCs/>
                <w:szCs w:val="21"/>
              </w:rPr>
              <w:t>图17  多级生物接触氧化处理工艺流程图</w:t>
            </w:r>
          </w:p>
          <w:p>
            <w:pPr>
              <w:spacing w:line="360" w:lineRule="auto"/>
              <w:ind w:firstLine="480" w:firstLineChars="200"/>
              <w:rPr>
                <w:bCs/>
                <w:sz w:val="24"/>
                <w:szCs w:val="24"/>
              </w:rPr>
            </w:pPr>
            <w:r>
              <w:rPr>
                <w:rFonts w:hint="eastAsia"/>
                <w:bCs/>
                <w:sz w:val="24"/>
                <w:szCs w:val="24"/>
              </w:rPr>
              <w:t>7、拟建项目主要构筑物及设计参数</w:t>
            </w:r>
          </w:p>
          <w:p>
            <w:pPr>
              <w:spacing w:line="360" w:lineRule="auto"/>
              <w:ind w:firstLine="480" w:firstLineChars="200"/>
              <w:rPr>
                <w:bCs/>
                <w:sz w:val="24"/>
                <w:szCs w:val="24"/>
              </w:rPr>
            </w:pPr>
            <w:r>
              <w:rPr>
                <w:rFonts w:hint="eastAsia"/>
                <w:bCs/>
                <w:sz w:val="24"/>
                <w:szCs w:val="24"/>
              </w:rPr>
              <w:t>拟建项目设计规模为Q=100m</w:t>
            </w:r>
            <w:r>
              <w:rPr>
                <w:rFonts w:hint="eastAsia"/>
                <w:bCs/>
                <w:sz w:val="24"/>
                <w:szCs w:val="24"/>
                <w:vertAlign w:val="superscript"/>
              </w:rPr>
              <w:t>3</w:t>
            </w:r>
            <w:r>
              <w:rPr>
                <w:rFonts w:hint="eastAsia"/>
                <w:bCs/>
                <w:sz w:val="24"/>
                <w:szCs w:val="24"/>
              </w:rPr>
              <w:t>/d，各构筑物的设计参数如下：</w:t>
            </w:r>
          </w:p>
          <w:p>
            <w:pPr>
              <w:spacing w:line="360" w:lineRule="auto"/>
              <w:ind w:firstLine="480" w:firstLineChars="200"/>
              <w:rPr>
                <w:bCs/>
                <w:sz w:val="24"/>
                <w:szCs w:val="24"/>
              </w:rPr>
            </w:pPr>
            <w:r>
              <w:rPr>
                <w:rFonts w:hint="eastAsia"/>
                <w:bCs/>
                <w:sz w:val="24"/>
                <w:szCs w:val="24"/>
              </w:rPr>
              <w:t>（1）格栅、调节、污泥池</w:t>
            </w:r>
          </w:p>
          <w:p>
            <w:pPr>
              <w:spacing w:line="360" w:lineRule="auto"/>
              <w:ind w:firstLine="480" w:firstLineChars="200"/>
              <w:rPr>
                <w:bCs/>
                <w:sz w:val="24"/>
                <w:szCs w:val="24"/>
              </w:rPr>
            </w:pPr>
            <w:r>
              <w:rPr>
                <w:rFonts w:hint="eastAsia"/>
                <w:bCs/>
                <w:sz w:val="24"/>
                <w:szCs w:val="24"/>
              </w:rPr>
              <w:t>设计参数：</w:t>
            </w:r>
          </w:p>
          <w:p>
            <w:pPr>
              <w:spacing w:line="360" w:lineRule="auto"/>
              <w:ind w:firstLine="480" w:firstLineChars="200"/>
              <w:rPr>
                <w:bCs/>
                <w:sz w:val="24"/>
                <w:szCs w:val="24"/>
              </w:rPr>
            </w:pPr>
            <w:r>
              <w:rPr>
                <w:rFonts w:hint="eastAsia"/>
                <w:bCs/>
                <w:sz w:val="24"/>
                <w:szCs w:val="24"/>
              </w:rPr>
              <w:t>结构形式    地埋式，机械缠绕玻璃钢</w:t>
            </w:r>
          </w:p>
          <w:p>
            <w:pPr>
              <w:spacing w:line="360" w:lineRule="auto"/>
              <w:ind w:firstLine="480" w:firstLineChars="200"/>
              <w:rPr>
                <w:bCs/>
                <w:sz w:val="24"/>
                <w:szCs w:val="24"/>
              </w:rPr>
            </w:pPr>
            <w:r>
              <w:rPr>
                <w:rFonts w:hint="eastAsia"/>
                <w:bCs/>
                <w:sz w:val="24"/>
                <w:szCs w:val="24"/>
              </w:rPr>
              <w:t xml:space="preserve">尺寸        </w:t>
            </w:r>
            <w:r>
              <w:rPr>
                <w:rFonts w:hAnsi="宋体"/>
                <w:kern w:val="0"/>
                <w:szCs w:val="21"/>
              </w:rPr>
              <w:t>Φ</w:t>
            </w:r>
            <w:r>
              <w:rPr>
                <w:rFonts w:hint="eastAsia"/>
                <w:bCs/>
                <w:sz w:val="24"/>
                <w:szCs w:val="24"/>
              </w:rPr>
              <w:t>2200</w:t>
            </w:r>
            <w:r>
              <w:rPr>
                <w:bCs/>
                <w:sz w:val="24"/>
                <w:szCs w:val="24"/>
              </w:rPr>
              <w:t>×</w:t>
            </w:r>
            <w:r>
              <w:rPr>
                <w:rFonts w:hint="eastAsia"/>
                <w:bCs/>
                <w:sz w:val="24"/>
                <w:szCs w:val="24"/>
              </w:rPr>
              <w:t>9600mm</w:t>
            </w:r>
          </w:p>
          <w:p>
            <w:pPr>
              <w:spacing w:line="360" w:lineRule="auto"/>
              <w:ind w:firstLine="480" w:firstLineChars="200"/>
              <w:rPr>
                <w:bCs/>
                <w:sz w:val="24"/>
                <w:szCs w:val="24"/>
              </w:rPr>
            </w:pPr>
            <w:r>
              <w:rPr>
                <w:rFonts w:hint="eastAsia"/>
                <w:bCs/>
                <w:sz w:val="24"/>
                <w:szCs w:val="24"/>
              </w:rPr>
              <w:t>数量        1个</w:t>
            </w:r>
          </w:p>
          <w:p>
            <w:pPr>
              <w:spacing w:line="360" w:lineRule="auto"/>
              <w:ind w:firstLine="480" w:firstLineChars="200"/>
              <w:rPr>
                <w:bCs/>
                <w:sz w:val="24"/>
                <w:szCs w:val="24"/>
              </w:rPr>
            </w:pPr>
            <w:r>
              <w:rPr>
                <w:rFonts w:hint="eastAsia"/>
                <w:bCs/>
                <w:sz w:val="24"/>
                <w:szCs w:val="24"/>
              </w:rPr>
              <w:t>选用设备：</w:t>
            </w:r>
          </w:p>
          <w:p>
            <w:pPr>
              <w:spacing w:line="360" w:lineRule="auto"/>
              <w:ind w:firstLine="480" w:firstLineChars="200"/>
              <w:rPr>
                <w:bCs/>
                <w:sz w:val="24"/>
                <w:szCs w:val="24"/>
              </w:rPr>
            </w:pPr>
            <w:r>
              <w:rPr>
                <w:rFonts w:hint="eastAsia"/>
                <w:bCs/>
                <w:sz w:val="24"/>
                <w:szCs w:val="24"/>
              </w:rPr>
              <w:t>格栅        1台，栅隙10mm，格栅宽度800</w:t>
            </w:r>
            <w:r>
              <w:rPr>
                <w:bCs/>
                <w:sz w:val="24"/>
                <w:szCs w:val="24"/>
              </w:rPr>
              <w:t>×</w:t>
            </w:r>
            <w:r>
              <w:rPr>
                <w:rFonts w:hint="eastAsia"/>
                <w:bCs/>
                <w:sz w:val="24"/>
                <w:szCs w:val="24"/>
              </w:rPr>
              <w:t>1200mm，材质：玻璃钢</w:t>
            </w:r>
          </w:p>
          <w:p>
            <w:pPr>
              <w:spacing w:line="360" w:lineRule="auto"/>
              <w:ind w:firstLine="480" w:firstLineChars="200"/>
              <w:rPr>
                <w:bCs/>
                <w:sz w:val="24"/>
                <w:szCs w:val="24"/>
              </w:rPr>
            </w:pPr>
            <w:r>
              <w:rPr>
                <w:rFonts w:hint="eastAsia"/>
                <w:bCs/>
                <w:sz w:val="24"/>
                <w:szCs w:val="24"/>
              </w:rPr>
              <w:t>提升泵      2台，1用1备，Q=12m</w:t>
            </w:r>
            <w:r>
              <w:rPr>
                <w:rFonts w:hint="eastAsia"/>
                <w:bCs/>
                <w:sz w:val="24"/>
                <w:szCs w:val="24"/>
                <w:vertAlign w:val="superscript"/>
              </w:rPr>
              <w:t>3</w:t>
            </w:r>
            <w:r>
              <w:rPr>
                <w:rFonts w:hint="eastAsia"/>
                <w:bCs/>
                <w:sz w:val="24"/>
                <w:szCs w:val="24"/>
              </w:rPr>
              <w:t>/h，H=8m，N=0.45KW</w:t>
            </w:r>
          </w:p>
          <w:p>
            <w:pPr>
              <w:spacing w:line="360" w:lineRule="auto"/>
              <w:ind w:firstLine="480" w:firstLineChars="200"/>
              <w:rPr>
                <w:bCs/>
                <w:sz w:val="24"/>
                <w:szCs w:val="24"/>
              </w:rPr>
            </w:pPr>
            <w:r>
              <w:rPr>
                <w:rFonts w:hint="eastAsia"/>
                <w:bCs/>
                <w:sz w:val="24"/>
                <w:szCs w:val="24"/>
              </w:rPr>
              <w:t>（2）PTBP多级接触氧化</w:t>
            </w:r>
          </w:p>
          <w:p>
            <w:pPr>
              <w:spacing w:line="360" w:lineRule="auto"/>
              <w:ind w:firstLine="480" w:firstLineChars="200"/>
              <w:rPr>
                <w:bCs/>
                <w:sz w:val="24"/>
                <w:szCs w:val="24"/>
              </w:rPr>
            </w:pPr>
            <w:r>
              <w:rPr>
                <w:rFonts w:hint="eastAsia"/>
                <w:bCs/>
                <w:sz w:val="24"/>
                <w:szCs w:val="24"/>
              </w:rPr>
              <w:t>设计参数：</w:t>
            </w:r>
          </w:p>
          <w:p>
            <w:pPr>
              <w:spacing w:line="360" w:lineRule="auto"/>
              <w:ind w:firstLine="480" w:firstLineChars="200"/>
              <w:rPr>
                <w:bCs/>
                <w:sz w:val="24"/>
                <w:szCs w:val="24"/>
              </w:rPr>
            </w:pPr>
            <w:r>
              <w:rPr>
                <w:rFonts w:hint="eastAsia"/>
                <w:bCs/>
                <w:sz w:val="24"/>
                <w:szCs w:val="24"/>
              </w:rPr>
              <w:t>设计规模     100m</w:t>
            </w:r>
            <w:r>
              <w:rPr>
                <w:rFonts w:hint="eastAsia"/>
                <w:bCs/>
                <w:sz w:val="24"/>
                <w:szCs w:val="24"/>
                <w:vertAlign w:val="superscript"/>
              </w:rPr>
              <w:t>3</w:t>
            </w:r>
            <w:r>
              <w:rPr>
                <w:rFonts w:hint="eastAsia"/>
                <w:bCs/>
                <w:sz w:val="24"/>
                <w:szCs w:val="24"/>
              </w:rPr>
              <w:t>/d</w:t>
            </w:r>
          </w:p>
          <w:p>
            <w:pPr>
              <w:spacing w:line="360" w:lineRule="auto"/>
              <w:ind w:firstLine="480" w:firstLineChars="200"/>
              <w:rPr>
                <w:bCs/>
                <w:sz w:val="24"/>
                <w:szCs w:val="24"/>
              </w:rPr>
            </w:pPr>
            <w:r>
              <w:rPr>
                <w:rFonts w:hint="eastAsia"/>
                <w:bCs/>
                <w:sz w:val="24"/>
                <w:szCs w:val="24"/>
              </w:rPr>
              <w:t>结构形式     地埋式，机械缠绕玻璃钢一次成型产品</w:t>
            </w:r>
          </w:p>
          <w:p>
            <w:pPr>
              <w:spacing w:line="360" w:lineRule="auto"/>
              <w:ind w:firstLine="480" w:firstLineChars="200"/>
              <w:rPr>
                <w:bCs/>
                <w:sz w:val="24"/>
                <w:szCs w:val="24"/>
              </w:rPr>
            </w:pPr>
            <w:r>
              <w:rPr>
                <w:rFonts w:hint="eastAsia"/>
                <w:bCs/>
                <w:sz w:val="24"/>
                <w:szCs w:val="24"/>
              </w:rPr>
              <w:t xml:space="preserve">尺寸         </w:t>
            </w:r>
            <w:r>
              <w:rPr>
                <w:rFonts w:hAnsi="宋体"/>
                <w:kern w:val="0"/>
                <w:szCs w:val="21"/>
              </w:rPr>
              <w:t>Φ</w:t>
            </w:r>
            <w:r>
              <w:rPr>
                <w:rFonts w:hint="eastAsia"/>
                <w:bCs/>
                <w:sz w:val="24"/>
                <w:szCs w:val="24"/>
              </w:rPr>
              <w:t>2800</w:t>
            </w:r>
            <w:r>
              <w:rPr>
                <w:bCs/>
                <w:sz w:val="24"/>
                <w:szCs w:val="24"/>
              </w:rPr>
              <w:t>×</w:t>
            </w:r>
            <w:r>
              <w:rPr>
                <w:rFonts w:hint="eastAsia"/>
                <w:bCs/>
                <w:sz w:val="24"/>
                <w:szCs w:val="24"/>
              </w:rPr>
              <w:t>3000mm</w:t>
            </w:r>
            <w:r>
              <w:rPr>
                <w:bCs/>
                <w:sz w:val="24"/>
                <w:szCs w:val="24"/>
              </w:rPr>
              <w:t>×</w:t>
            </w:r>
            <w:r>
              <w:rPr>
                <w:rFonts w:hint="eastAsia"/>
                <w:bCs/>
                <w:sz w:val="24"/>
                <w:szCs w:val="24"/>
              </w:rPr>
              <w:t>1个罐体</w:t>
            </w:r>
          </w:p>
          <w:p>
            <w:pPr>
              <w:spacing w:line="360" w:lineRule="auto"/>
              <w:ind w:firstLine="480" w:firstLineChars="200"/>
              <w:rPr>
                <w:bCs/>
                <w:sz w:val="24"/>
                <w:szCs w:val="24"/>
              </w:rPr>
            </w:pPr>
            <w:r>
              <w:rPr>
                <w:rFonts w:hint="eastAsia"/>
                <w:bCs/>
                <w:sz w:val="24"/>
                <w:szCs w:val="24"/>
              </w:rPr>
              <w:t xml:space="preserve">             </w:t>
            </w:r>
            <w:r>
              <w:rPr>
                <w:rFonts w:hAnsi="宋体"/>
                <w:kern w:val="0"/>
                <w:szCs w:val="21"/>
              </w:rPr>
              <w:t>Φ</w:t>
            </w:r>
            <w:r>
              <w:rPr>
                <w:rFonts w:hint="eastAsia"/>
                <w:bCs/>
                <w:sz w:val="24"/>
                <w:szCs w:val="24"/>
              </w:rPr>
              <w:t>2800</w:t>
            </w:r>
            <w:r>
              <w:rPr>
                <w:bCs/>
                <w:sz w:val="24"/>
                <w:szCs w:val="24"/>
              </w:rPr>
              <w:t>×</w:t>
            </w:r>
            <w:r>
              <w:rPr>
                <w:rFonts w:hint="eastAsia"/>
                <w:bCs/>
                <w:sz w:val="24"/>
                <w:szCs w:val="24"/>
              </w:rPr>
              <w:t>3000mm</w:t>
            </w:r>
            <w:r>
              <w:rPr>
                <w:bCs/>
                <w:sz w:val="24"/>
                <w:szCs w:val="24"/>
              </w:rPr>
              <w:t>×</w:t>
            </w:r>
            <w:r>
              <w:rPr>
                <w:rFonts w:hint="eastAsia"/>
                <w:bCs/>
                <w:sz w:val="24"/>
                <w:szCs w:val="24"/>
              </w:rPr>
              <w:t>1个罐体</w:t>
            </w:r>
          </w:p>
          <w:p>
            <w:pPr>
              <w:spacing w:line="360" w:lineRule="auto"/>
              <w:ind w:firstLine="480" w:firstLineChars="200"/>
              <w:rPr>
                <w:bCs/>
                <w:sz w:val="24"/>
                <w:szCs w:val="24"/>
              </w:rPr>
            </w:pPr>
            <w:r>
              <w:rPr>
                <w:rFonts w:hint="eastAsia"/>
                <w:bCs/>
                <w:sz w:val="24"/>
                <w:szCs w:val="24"/>
              </w:rPr>
              <w:t xml:space="preserve">             </w:t>
            </w:r>
            <w:r>
              <w:rPr>
                <w:rFonts w:hAnsi="宋体"/>
                <w:kern w:val="0"/>
                <w:szCs w:val="21"/>
              </w:rPr>
              <w:t>Φ</w:t>
            </w:r>
            <w:r>
              <w:rPr>
                <w:rFonts w:hint="eastAsia"/>
                <w:bCs/>
                <w:sz w:val="24"/>
                <w:szCs w:val="24"/>
              </w:rPr>
              <w:t>2800</w:t>
            </w:r>
            <w:r>
              <w:rPr>
                <w:bCs/>
                <w:sz w:val="24"/>
                <w:szCs w:val="24"/>
              </w:rPr>
              <w:t>×</w:t>
            </w:r>
            <w:r>
              <w:rPr>
                <w:rFonts w:hint="eastAsia"/>
                <w:bCs/>
                <w:sz w:val="24"/>
                <w:szCs w:val="24"/>
              </w:rPr>
              <w:t>3000mm</w:t>
            </w:r>
            <w:r>
              <w:rPr>
                <w:bCs/>
                <w:sz w:val="24"/>
                <w:szCs w:val="24"/>
              </w:rPr>
              <w:t>×</w:t>
            </w:r>
            <w:r>
              <w:rPr>
                <w:rFonts w:hint="eastAsia"/>
                <w:bCs/>
                <w:sz w:val="24"/>
                <w:szCs w:val="24"/>
              </w:rPr>
              <w:t>1个罐体</w:t>
            </w:r>
          </w:p>
          <w:p>
            <w:pPr>
              <w:spacing w:line="360" w:lineRule="auto"/>
              <w:ind w:firstLine="480" w:firstLineChars="200"/>
              <w:rPr>
                <w:bCs/>
                <w:sz w:val="24"/>
                <w:szCs w:val="24"/>
              </w:rPr>
            </w:pPr>
            <w:r>
              <w:rPr>
                <w:rFonts w:hint="eastAsia"/>
                <w:bCs/>
                <w:sz w:val="24"/>
                <w:szCs w:val="24"/>
              </w:rPr>
              <w:t>数量         1套</w:t>
            </w:r>
          </w:p>
          <w:p>
            <w:pPr>
              <w:spacing w:line="360" w:lineRule="auto"/>
              <w:ind w:firstLine="480" w:firstLineChars="200"/>
              <w:rPr>
                <w:bCs/>
                <w:sz w:val="24"/>
                <w:szCs w:val="24"/>
              </w:rPr>
            </w:pPr>
            <w:r>
              <w:rPr>
                <w:rFonts w:hint="eastAsia"/>
                <w:bCs/>
                <w:sz w:val="24"/>
                <w:szCs w:val="24"/>
              </w:rPr>
              <w:t>选用设备：</w:t>
            </w:r>
          </w:p>
          <w:p>
            <w:pPr>
              <w:spacing w:line="360" w:lineRule="auto"/>
              <w:ind w:firstLine="480" w:firstLineChars="200"/>
              <w:rPr>
                <w:bCs/>
                <w:sz w:val="24"/>
                <w:szCs w:val="24"/>
              </w:rPr>
            </w:pPr>
            <w:r>
              <w:rPr>
                <w:rFonts w:hint="eastAsia"/>
                <w:bCs/>
                <w:sz w:val="24"/>
                <w:szCs w:val="24"/>
              </w:rPr>
              <w:t>污泥泵       1台，Q=12m</w:t>
            </w:r>
            <w:r>
              <w:rPr>
                <w:rFonts w:hint="eastAsia"/>
                <w:bCs/>
                <w:sz w:val="24"/>
                <w:szCs w:val="24"/>
                <w:vertAlign w:val="superscript"/>
              </w:rPr>
              <w:t>3</w:t>
            </w:r>
            <w:r>
              <w:rPr>
                <w:rFonts w:hint="eastAsia"/>
                <w:bCs/>
                <w:sz w:val="24"/>
                <w:szCs w:val="24"/>
              </w:rPr>
              <w:t>/h，H=8m，N=0.45KW，材质：SS304</w:t>
            </w:r>
          </w:p>
          <w:p>
            <w:pPr>
              <w:spacing w:line="360" w:lineRule="auto"/>
              <w:ind w:firstLine="480" w:firstLineChars="200"/>
              <w:rPr>
                <w:bCs/>
                <w:sz w:val="24"/>
                <w:szCs w:val="24"/>
              </w:rPr>
            </w:pPr>
            <w:r>
              <w:rPr>
                <w:rFonts w:hint="eastAsia"/>
                <w:bCs/>
                <w:sz w:val="24"/>
                <w:szCs w:val="24"/>
              </w:rPr>
              <w:t>曝气机       2台，4RB320，N=1.1KW</w:t>
            </w:r>
          </w:p>
          <w:p>
            <w:pPr>
              <w:spacing w:line="360" w:lineRule="auto"/>
              <w:ind w:firstLine="480" w:firstLineChars="200"/>
              <w:rPr>
                <w:bCs/>
                <w:sz w:val="24"/>
                <w:szCs w:val="24"/>
              </w:rPr>
            </w:pPr>
            <w:r>
              <w:rPr>
                <w:rFonts w:hint="eastAsia"/>
                <w:bCs/>
                <w:sz w:val="24"/>
                <w:szCs w:val="24"/>
              </w:rPr>
              <w:t>（3）消毒系统等</w:t>
            </w:r>
          </w:p>
          <w:p>
            <w:pPr>
              <w:spacing w:line="360" w:lineRule="auto"/>
              <w:ind w:firstLine="480" w:firstLineChars="200"/>
              <w:rPr>
                <w:bCs/>
                <w:sz w:val="24"/>
                <w:szCs w:val="24"/>
              </w:rPr>
            </w:pPr>
            <w:r>
              <w:rPr>
                <w:rFonts w:hint="eastAsia"/>
                <w:bCs/>
                <w:sz w:val="24"/>
                <w:szCs w:val="24"/>
              </w:rPr>
              <w:t>选用设备：</w:t>
            </w:r>
          </w:p>
          <w:p>
            <w:pPr>
              <w:spacing w:line="360" w:lineRule="auto"/>
              <w:ind w:firstLine="480" w:firstLineChars="200"/>
              <w:rPr>
                <w:bCs/>
                <w:sz w:val="24"/>
                <w:szCs w:val="24"/>
              </w:rPr>
            </w:pPr>
            <w:r>
              <w:rPr>
                <w:rFonts w:hint="eastAsia"/>
                <w:bCs/>
                <w:sz w:val="24"/>
                <w:szCs w:val="24"/>
              </w:rPr>
              <w:t>加药箱        1台</w:t>
            </w:r>
          </w:p>
          <w:p>
            <w:pPr>
              <w:spacing w:line="360" w:lineRule="auto"/>
              <w:ind w:firstLine="480" w:firstLineChars="200"/>
              <w:rPr>
                <w:bCs/>
                <w:sz w:val="24"/>
                <w:szCs w:val="24"/>
              </w:rPr>
            </w:pPr>
            <w:r>
              <w:rPr>
                <w:rFonts w:hint="eastAsia"/>
                <w:bCs/>
                <w:sz w:val="24"/>
                <w:szCs w:val="24"/>
              </w:rPr>
              <w:t>紫外消毒器    1台</w:t>
            </w:r>
          </w:p>
          <w:p>
            <w:pPr>
              <w:spacing w:line="360" w:lineRule="auto"/>
              <w:ind w:firstLine="480" w:firstLineChars="200"/>
              <w:rPr>
                <w:bCs/>
                <w:sz w:val="24"/>
                <w:szCs w:val="24"/>
              </w:rPr>
            </w:pPr>
            <w:r>
              <w:rPr>
                <w:rFonts w:hint="eastAsia"/>
                <w:bCs/>
                <w:sz w:val="24"/>
                <w:szCs w:val="24"/>
              </w:rPr>
              <w:t>电磁式流量计  1台</w:t>
            </w:r>
          </w:p>
          <w:p>
            <w:pPr>
              <w:spacing w:line="360" w:lineRule="auto"/>
              <w:ind w:firstLine="482" w:firstLineChars="200"/>
              <w:rPr>
                <w:b/>
                <w:bCs/>
                <w:sz w:val="24"/>
                <w:szCs w:val="24"/>
              </w:rPr>
            </w:pPr>
            <w:r>
              <w:rPr>
                <w:rFonts w:hint="eastAsia"/>
                <w:b/>
                <w:bCs/>
                <w:sz w:val="24"/>
                <w:szCs w:val="24"/>
              </w:rPr>
              <w:t>其他建设工程：</w:t>
            </w:r>
          </w:p>
          <w:p>
            <w:pPr>
              <w:spacing w:line="360" w:lineRule="auto"/>
              <w:ind w:firstLine="480" w:firstLineChars="200"/>
              <w:rPr>
                <w:bCs/>
                <w:sz w:val="24"/>
                <w:szCs w:val="24"/>
              </w:rPr>
            </w:pPr>
            <w:r>
              <w:rPr>
                <w:rFonts w:hint="eastAsia"/>
                <w:bCs/>
                <w:sz w:val="24"/>
                <w:szCs w:val="24"/>
              </w:rPr>
              <w:t>给排水工程运营期仅作为城镇雨污水导排，工艺流程简单，“进水→管道→出水”，自身不产生污染物。道路工程和照明工程运营期工艺简单，建设完成后投入使用。</w:t>
            </w:r>
          </w:p>
          <w:p>
            <w:pPr>
              <w:spacing w:line="360" w:lineRule="auto"/>
              <w:ind w:firstLine="482" w:firstLineChars="200"/>
              <w:rPr>
                <w:b/>
                <w:bCs/>
                <w:sz w:val="24"/>
                <w:szCs w:val="24"/>
              </w:rPr>
            </w:pPr>
            <w:r>
              <w:rPr>
                <w:rFonts w:hint="eastAsia"/>
                <w:b/>
                <w:bCs/>
                <w:sz w:val="24"/>
                <w:szCs w:val="24"/>
              </w:rPr>
              <w:t>产污环节：</w:t>
            </w:r>
          </w:p>
          <w:p>
            <w:pPr>
              <w:spacing w:line="360" w:lineRule="auto"/>
              <w:ind w:firstLine="480" w:firstLineChars="200"/>
              <w:rPr>
                <w:bCs/>
                <w:sz w:val="24"/>
                <w:szCs w:val="24"/>
              </w:rPr>
            </w:pPr>
            <w:r>
              <w:rPr>
                <w:rFonts w:hint="eastAsia"/>
                <w:bCs/>
                <w:sz w:val="24"/>
                <w:szCs w:val="24"/>
              </w:rPr>
              <w:t>运营期产污环节主要有：</w:t>
            </w:r>
          </w:p>
          <w:p>
            <w:pPr>
              <w:spacing w:line="360" w:lineRule="auto"/>
              <w:ind w:firstLine="480" w:firstLineChars="200"/>
              <w:rPr>
                <w:bCs/>
                <w:sz w:val="24"/>
                <w:szCs w:val="24"/>
              </w:rPr>
            </w:pPr>
            <w:r>
              <w:rPr>
                <w:rFonts w:hint="eastAsia"/>
                <w:bCs/>
                <w:sz w:val="24"/>
                <w:szCs w:val="24"/>
              </w:rPr>
              <w:t>1.废气：主要为污水站各处理单元系统逸出的恶臭、道路汽车尾气及扬尘。</w:t>
            </w:r>
          </w:p>
          <w:p>
            <w:pPr>
              <w:spacing w:line="360" w:lineRule="auto"/>
              <w:ind w:firstLine="480" w:firstLineChars="200"/>
              <w:rPr>
                <w:bCs/>
                <w:sz w:val="24"/>
                <w:szCs w:val="24"/>
              </w:rPr>
            </w:pPr>
            <w:r>
              <w:rPr>
                <w:rFonts w:hint="eastAsia"/>
                <w:bCs/>
                <w:sz w:val="24"/>
                <w:szCs w:val="24"/>
              </w:rPr>
              <w:t>2.废水：主要为公路废水、污水站处理污水。</w:t>
            </w:r>
          </w:p>
          <w:p>
            <w:pPr>
              <w:spacing w:line="360" w:lineRule="auto"/>
              <w:ind w:firstLine="480" w:firstLineChars="200"/>
              <w:rPr>
                <w:bCs/>
                <w:sz w:val="24"/>
                <w:szCs w:val="24"/>
              </w:rPr>
            </w:pPr>
            <w:r>
              <w:rPr>
                <w:rFonts w:hint="eastAsia"/>
                <w:bCs/>
                <w:sz w:val="24"/>
                <w:szCs w:val="24"/>
              </w:rPr>
              <w:t>3.噪声：主要为污水站提升泵等各处理设备运行噪声、公路机动车辆噪声、广场娱乐活动噪声。</w:t>
            </w:r>
          </w:p>
          <w:p>
            <w:pPr>
              <w:spacing w:line="360" w:lineRule="auto"/>
              <w:ind w:firstLine="480" w:firstLineChars="200"/>
              <w:rPr>
                <w:bCs/>
                <w:sz w:val="24"/>
                <w:szCs w:val="24"/>
              </w:rPr>
            </w:pPr>
            <w:r>
              <w:rPr>
                <w:rFonts w:hint="eastAsia"/>
                <w:bCs/>
                <w:sz w:val="24"/>
                <w:szCs w:val="24"/>
              </w:rPr>
              <w:t>4.固体废物：主要为污水站处理污水产生的格栅渣、剩余污泥和废滤料；公路上行人与乘客随意抛洒的生活垃圾、落叶等；广场娱乐活动产生的生活垃圾；雨污水管网淤泥。</w:t>
            </w:r>
          </w:p>
          <w:p>
            <w:pPr>
              <w:spacing w:line="336" w:lineRule="auto"/>
              <w:rPr>
                <w:b/>
                <w:bCs/>
                <w:sz w:val="24"/>
              </w:rPr>
            </w:pPr>
            <w:r>
              <w:rPr>
                <w:rFonts w:hint="eastAsia"/>
                <w:b/>
                <w:bCs/>
                <w:sz w:val="24"/>
              </w:rPr>
              <w:t>主要污染工序</w:t>
            </w:r>
          </w:p>
          <w:p>
            <w:pPr>
              <w:spacing w:line="360" w:lineRule="auto"/>
              <w:ind w:firstLine="482" w:firstLineChars="200"/>
              <w:rPr>
                <w:b/>
                <w:bCs/>
                <w:sz w:val="24"/>
              </w:rPr>
            </w:pPr>
            <w:r>
              <w:rPr>
                <w:rFonts w:hint="eastAsia"/>
                <w:b/>
                <w:bCs/>
                <w:sz w:val="24"/>
              </w:rPr>
              <w:t>一、施工期</w:t>
            </w:r>
          </w:p>
          <w:p>
            <w:pPr>
              <w:autoSpaceDE w:val="0"/>
              <w:autoSpaceDN w:val="0"/>
              <w:adjustRightInd w:val="0"/>
              <w:spacing w:line="360" w:lineRule="auto"/>
              <w:ind w:right="-23" w:firstLine="480" w:firstLineChars="200"/>
              <w:jc w:val="left"/>
              <w:rPr>
                <w:rFonts w:hAnsi="宋体"/>
                <w:sz w:val="24"/>
              </w:rPr>
            </w:pPr>
            <w:r>
              <w:rPr>
                <w:rFonts w:hint="eastAsia" w:hAnsi="宋体"/>
                <w:sz w:val="24"/>
              </w:rPr>
              <w:t>本项目施工期对环境的影响主要是施工废气、废水、施工噪声、固体废物的影响。</w:t>
            </w:r>
          </w:p>
          <w:p>
            <w:pPr>
              <w:autoSpaceDE w:val="0"/>
              <w:autoSpaceDN w:val="0"/>
              <w:adjustRightInd w:val="0"/>
              <w:spacing w:line="360" w:lineRule="auto"/>
              <w:ind w:right="-23" w:firstLine="480" w:firstLineChars="200"/>
              <w:jc w:val="left"/>
              <w:rPr>
                <w:rFonts w:hAnsi="宋体"/>
                <w:sz w:val="24"/>
              </w:rPr>
            </w:pPr>
            <w:r>
              <w:rPr>
                <w:rFonts w:hint="eastAsia" w:hAnsi="宋体"/>
                <w:sz w:val="24"/>
              </w:rPr>
              <w:t>1、废水</w:t>
            </w:r>
          </w:p>
          <w:p>
            <w:pPr>
              <w:autoSpaceDE w:val="0"/>
              <w:autoSpaceDN w:val="0"/>
              <w:adjustRightInd w:val="0"/>
              <w:spacing w:line="360" w:lineRule="auto"/>
              <w:ind w:right="-23" w:firstLine="480" w:firstLineChars="200"/>
              <w:jc w:val="left"/>
              <w:rPr>
                <w:rFonts w:hAnsi="宋体"/>
                <w:sz w:val="24"/>
              </w:rPr>
            </w:pPr>
            <w:r>
              <w:rPr>
                <w:rFonts w:hint="eastAsia" w:hAnsi="宋体"/>
                <w:sz w:val="24"/>
              </w:rPr>
              <w:t>①生活污水：项目施工高峰时施工人员及工地管理人员30人，施工期8个月，生活用水定额按3</w:t>
            </w:r>
            <w:r>
              <w:rPr>
                <w:rFonts w:hAnsi="宋体"/>
                <w:sz w:val="24"/>
              </w:rPr>
              <w:t>0L/</w:t>
            </w:r>
            <w:r>
              <w:rPr>
                <w:rFonts w:hint="eastAsia" w:hAnsi="宋体"/>
                <w:sz w:val="24"/>
              </w:rPr>
              <w:t>人·</w:t>
            </w:r>
            <w:r>
              <w:rPr>
                <w:rFonts w:hAnsi="宋体"/>
                <w:sz w:val="24"/>
              </w:rPr>
              <w:t>d</w:t>
            </w:r>
            <w:r>
              <w:rPr>
                <w:rFonts w:hint="eastAsia" w:hAnsi="宋体"/>
                <w:sz w:val="24"/>
              </w:rPr>
              <w:t>计，用水量为0.9</w:t>
            </w:r>
            <w:r>
              <w:rPr>
                <w:rFonts w:hAnsi="宋体"/>
                <w:sz w:val="24"/>
              </w:rPr>
              <w:t>m</w:t>
            </w:r>
            <w:r>
              <w:rPr>
                <w:rFonts w:hAnsi="宋体"/>
                <w:sz w:val="24"/>
                <w:vertAlign w:val="superscript"/>
              </w:rPr>
              <w:t>3</w:t>
            </w:r>
            <w:r>
              <w:rPr>
                <w:rFonts w:hAnsi="宋体"/>
                <w:sz w:val="24"/>
              </w:rPr>
              <w:t>/d</w:t>
            </w:r>
            <w:r>
              <w:rPr>
                <w:rFonts w:hint="eastAsia" w:hAnsi="宋体"/>
                <w:sz w:val="24"/>
              </w:rPr>
              <w:t>，产污系数取</w:t>
            </w:r>
            <w:r>
              <w:rPr>
                <w:rFonts w:hAnsi="宋体"/>
                <w:sz w:val="24"/>
              </w:rPr>
              <w:t>0.8</w:t>
            </w:r>
            <w:r>
              <w:rPr>
                <w:rFonts w:hint="eastAsia" w:hAnsi="宋体"/>
                <w:sz w:val="24"/>
              </w:rPr>
              <w:t>，生活污水产生量为0.7</w:t>
            </w:r>
            <w:r>
              <w:rPr>
                <w:rFonts w:hAnsi="宋体"/>
                <w:sz w:val="24"/>
              </w:rPr>
              <w:t>m</w:t>
            </w:r>
            <w:r>
              <w:rPr>
                <w:rFonts w:hAnsi="宋体"/>
                <w:sz w:val="24"/>
                <w:vertAlign w:val="superscript"/>
              </w:rPr>
              <w:t>3</w:t>
            </w:r>
            <w:r>
              <w:rPr>
                <w:rFonts w:hAnsi="宋体"/>
                <w:sz w:val="24"/>
              </w:rPr>
              <w:t>/d</w:t>
            </w:r>
            <w:r>
              <w:rPr>
                <w:rFonts w:hint="eastAsia" w:hAnsi="宋体"/>
                <w:sz w:val="24"/>
              </w:rPr>
              <w:t>，生活污水主要污染物是</w:t>
            </w:r>
            <w:r>
              <w:rPr>
                <w:rFonts w:hAnsi="宋体"/>
                <w:sz w:val="24"/>
              </w:rPr>
              <w:t>COD</w:t>
            </w:r>
            <w:r>
              <w:rPr>
                <w:rFonts w:hint="eastAsia" w:hAnsi="宋体"/>
                <w:sz w:val="24"/>
                <w:vertAlign w:val="subscript"/>
              </w:rPr>
              <w:t>Cr</w:t>
            </w:r>
            <w:r>
              <w:rPr>
                <w:rFonts w:hint="eastAsia" w:hAnsi="宋体"/>
                <w:sz w:val="24"/>
              </w:rPr>
              <w:t>、</w:t>
            </w:r>
            <w:r>
              <w:rPr>
                <w:rFonts w:hAnsi="宋体"/>
                <w:sz w:val="24"/>
              </w:rPr>
              <w:t>BOD</w:t>
            </w:r>
            <w:r>
              <w:rPr>
                <w:rFonts w:hint="eastAsia" w:hAnsi="宋体"/>
                <w:sz w:val="24"/>
                <w:vertAlign w:val="subscript"/>
              </w:rPr>
              <w:t>5</w:t>
            </w:r>
            <w:r>
              <w:rPr>
                <w:rFonts w:hint="eastAsia" w:hAnsi="宋体"/>
                <w:sz w:val="24"/>
              </w:rPr>
              <w:t>、</w:t>
            </w:r>
            <w:r>
              <w:rPr>
                <w:rFonts w:hAnsi="宋体"/>
                <w:sz w:val="24"/>
              </w:rPr>
              <w:t>SS</w:t>
            </w:r>
            <w:r>
              <w:rPr>
                <w:rFonts w:hint="eastAsia" w:hAnsi="宋体"/>
                <w:sz w:val="24"/>
              </w:rPr>
              <w:t>和</w:t>
            </w:r>
            <w:r>
              <w:rPr>
                <w:rFonts w:hAnsi="宋体"/>
                <w:sz w:val="24"/>
              </w:rPr>
              <w:t>NH</w:t>
            </w:r>
            <w:r>
              <w:rPr>
                <w:rFonts w:hAnsi="宋体"/>
                <w:sz w:val="24"/>
                <w:vertAlign w:val="subscript"/>
              </w:rPr>
              <w:t>3</w:t>
            </w:r>
            <w:r>
              <w:rPr>
                <w:rFonts w:hAnsi="宋体"/>
                <w:sz w:val="24"/>
              </w:rPr>
              <w:t>-N</w:t>
            </w:r>
            <w:r>
              <w:rPr>
                <w:rFonts w:hint="eastAsia" w:hAnsi="宋体"/>
                <w:sz w:val="24"/>
              </w:rPr>
              <w:t>。</w:t>
            </w:r>
          </w:p>
          <w:p>
            <w:pPr>
              <w:autoSpaceDE w:val="0"/>
              <w:autoSpaceDN w:val="0"/>
              <w:adjustRightInd w:val="0"/>
              <w:spacing w:line="360" w:lineRule="auto"/>
              <w:ind w:right="-23" w:firstLine="480" w:firstLineChars="200"/>
              <w:jc w:val="left"/>
              <w:rPr>
                <w:rFonts w:hAnsi="宋体"/>
                <w:sz w:val="24"/>
              </w:rPr>
            </w:pPr>
            <w:r>
              <w:rPr>
                <w:rFonts w:hint="eastAsia" w:hAnsi="宋体"/>
                <w:sz w:val="24"/>
              </w:rPr>
              <w:t>②建筑废水：建筑施工废水主要包括施工期间地基开挖、各种施工机械设备运转的冷却和洗涤用水以及施工现场的清洗水等，产生量较少，主要污染因子为</w:t>
            </w:r>
            <w:r>
              <w:rPr>
                <w:rFonts w:hAnsi="宋体"/>
                <w:sz w:val="24"/>
              </w:rPr>
              <w:t>SS</w:t>
            </w:r>
            <w:r>
              <w:rPr>
                <w:rFonts w:hint="eastAsia" w:hAnsi="宋体"/>
                <w:sz w:val="24"/>
              </w:rPr>
              <w:t>。</w:t>
            </w:r>
          </w:p>
          <w:p>
            <w:pPr>
              <w:autoSpaceDE w:val="0"/>
              <w:autoSpaceDN w:val="0"/>
              <w:adjustRightInd w:val="0"/>
              <w:spacing w:line="360" w:lineRule="auto"/>
              <w:ind w:right="-23" w:firstLine="480" w:firstLineChars="200"/>
              <w:jc w:val="left"/>
              <w:rPr>
                <w:rFonts w:hAnsi="宋体"/>
                <w:sz w:val="24"/>
              </w:rPr>
            </w:pPr>
            <w:r>
              <w:rPr>
                <w:rFonts w:hint="eastAsia" w:hAnsi="宋体"/>
                <w:sz w:val="24"/>
              </w:rPr>
              <w:t>③试压废水：给排水管道安装完成后，注水检验密闭性，产生的试压废水排入临时沉淀池收集，待污水处理站投入运行前排入污水处理环节处理达标后排放或回用。</w:t>
            </w:r>
          </w:p>
          <w:p>
            <w:pPr>
              <w:autoSpaceDE w:val="0"/>
              <w:autoSpaceDN w:val="0"/>
              <w:adjustRightInd w:val="0"/>
              <w:spacing w:line="360" w:lineRule="auto"/>
              <w:ind w:right="-23" w:firstLine="480" w:firstLineChars="200"/>
              <w:jc w:val="left"/>
              <w:rPr>
                <w:rFonts w:hAnsi="宋体"/>
                <w:sz w:val="24"/>
              </w:rPr>
            </w:pPr>
            <w:r>
              <w:rPr>
                <w:rFonts w:hint="eastAsia" w:hAnsi="宋体"/>
                <w:sz w:val="24"/>
              </w:rPr>
              <w:t>2、废气</w:t>
            </w:r>
          </w:p>
          <w:p>
            <w:pPr>
              <w:autoSpaceDE w:val="0"/>
              <w:autoSpaceDN w:val="0"/>
              <w:adjustRightInd w:val="0"/>
              <w:spacing w:line="360" w:lineRule="auto"/>
              <w:ind w:right="-23" w:firstLine="480" w:firstLineChars="200"/>
              <w:jc w:val="left"/>
              <w:rPr>
                <w:rFonts w:hAnsi="宋体"/>
                <w:sz w:val="24"/>
              </w:rPr>
            </w:pPr>
            <w:r>
              <w:rPr>
                <w:rFonts w:hAnsi="宋体"/>
                <w:sz w:val="24"/>
              </w:rPr>
              <w:t>施工期产生的废气污染包括施工扬尘</w:t>
            </w:r>
            <w:r>
              <w:rPr>
                <w:rFonts w:hint="eastAsia" w:hAnsi="宋体"/>
                <w:sz w:val="24"/>
              </w:rPr>
              <w:t>、少量沥青烟气</w:t>
            </w:r>
            <w:r>
              <w:rPr>
                <w:rFonts w:hAnsi="宋体"/>
                <w:sz w:val="24"/>
              </w:rPr>
              <w:t>和施工机械产生的尾气，均为无组织排放，分散于施工场地。</w:t>
            </w:r>
          </w:p>
          <w:p>
            <w:pPr>
              <w:autoSpaceDE w:val="0"/>
              <w:autoSpaceDN w:val="0"/>
              <w:adjustRightInd w:val="0"/>
              <w:spacing w:line="360" w:lineRule="auto"/>
              <w:ind w:right="-23" w:firstLine="480" w:firstLineChars="200"/>
              <w:jc w:val="left"/>
              <w:rPr>
                <w:rFonts w:hAnsi="宋体"/>
                <w:sz w:val="24"/>
              </w:rPr>
            </w:pPr>
            <w:r>
              <w:rPr>
                <w:rFonts w:hAnsi="宋体"/>
                <w:sz w:val="24"/>
              </w:rPr>
              <w:t>①施工扬尘</w:t>
            </w:r>
          </w:p>
          <w:p>
            <w:pPr>
              <w:autoSpaceDE w:val="0"/>
              <w:autoSpaceDN w:val="0"/>
              <w:adjustRightInd w:val="0"/>
              <w:spacing w:line="360" w:lineRule="auto"/>
              <w:ind w:right="-23" w:firstLine="480" w:firstLineChars="200"/>
              <w:jc w:val="left"/>
              <w:rPr>
                <w:rFonts w:hAnsi="宋体"/>
                <w:sz w:val="24"/>
              </w:rPr>
            </w:pPr>
            <w:r>
              <w:rPr>
                <w:rFonts w:hAnsi="宋体"/>
                <w:sz w:val="24"/>
              </w:rPr>
              <w:t>施工扬尘主要来</w:t>
            </w:r>
            <w:r>
              <w:rPr>
                <w:rFonts w:hint="eastAsia" w:hAnsi="宋体"/>
                <w:sz w:val="24"/>
              </w:rPr>
              <w:t>自</w:t>
            </w:r>
            <w:r>
              <w:rPr>
                <w:rFonts w:hAnsi="宋体"/>
                <w:sz w:val="24"/>
              </w:rPr>
              <w:t>地基开挖、</w:t>
            </w:r>
            <w:r>
              <w:rPr>
                <w:rFonts w:hint="eastAsia" w:hAnsi="宋体"/>
                <w:sz w:val="24"/>
              </w:rPr>
              <w:t>管道开挖、</w:t>
            </w:r>
            <w:r>
              <w:rPr>
                <w:rFonts w:hAnsi="宋体"/>
                <w:sz w:val="24"/>
              </w:rPr>
              <w:t>建筑材料及土石方运输等施工过程，其次为建筑材料倾倒、堆放、运输等过程产生的无组织扬尘。</w:t>
            </w:r>
          </w:p>
          <w:p>
            <w:pPr>
              <w:autoSpaceDE w:val="0"/>
              <w:autoSpaceDN w:val="0"/>
              <w:adjustRightInd w:val="0"/>
              <w:spacing w:line="360" w:lineRule="auto"/>
              <w:ind w:right="-23" w:firstLine="480" w:firstLineChars="200"/>
              <w:jc w:val="left"/>
              <w:rPr>
                <w:rFonts w:hAnsi="宋体"/>
                <w:sz w:val="24"/>
              </w:rPr>
            </w:pPr>
            <w:r>
              <w:rPr>
                <w:rFonts w:hAnsi="宋体"/>
                <w:sz w:val="24"/>
              </w:rPr>
              <w:t>A</w:t>
            </w:r>
            <w:r>
              <w:rPr>
                <w:rFonts w:hint="eastAsia" w:hAnsi="宋体"/>
                <w:sz w:val="24"/>
              </w:rPr>
              <w:t>、</w:t>
            </w:r>
            <w:r>
              <w:rPr>
                <w:rFonts w:hAnsi="宋体"/>
                <w:sz w:val="24"/>
              </w:rPr>
              <w:t>土石方运输无组织扬尘</w:t>
            </w:r>
          </w:p>
          <w:p>
            <w:pPr>
              <w:autoSpaceDE w:val="0"/>
              <w:autoSpaceDN w:val="0"/>
              <w:adjustRightInd w:val="0"/>
              <w:spacing w:line="360" w:lineRule="auto"/>
              <w:ind w:right="-23" w:firstLine="480" w:firstLineChars="200"/>
              <w:jc w:val="left"/>
              <w:rPr>
                <w:rFonts w:hAnsi="宋体"/>
                <w:sz w:val="24"/>
              </w:rPr>
            </w:pPr>
            <w:r>
              <w:rPr>
                <w:rFonts w:hAnsi="宋体"/>
                <w:sz w:val="24"/>
              </w:rPr>
              <w:t>车辆运输起尘量选用上海港环境保护中心、武汉水运工程学院提出的经验公式估算，经验公式为：</w:t>
            </w:r>
          </w:p>
          <w:p>
            <w:pPr>
              <w:autoSpaceDE w:val="0"/>
              <w:autoSpaceDN w:val="0"/>
              <w:adjustRightInd w:val="0"/>
              <w:spacing w:line="360" w:lineRule="auto"/>
              <w:ind w:right="-23" w:firstLine="480" w:firstLineChars="200"/>
              <w:jc w:val="center"/>
              <w:rPr>
                <w:rFonts w:hAnsi="宋体"/>
                <w:sz w:val="24"/>
              </w:rPr>
            </w:pPr>
            <w:r>
              <w:rPr>
                <w:rFonts w:hAnsi="宋体"/>
                <w:sz w:val="24"/>
              </w:rPr>
              <w:object>
                <v:shape id="_x0000_i1025" o:spt="75" type="#_x0000_t75" style="height:33.3pt;width:197.65pt;" o:ole="t" filled="f" o:preferrelative="t" stroked="f" coordsize="21600,21600">
                  <v:path/>
                  <v:fill on="f" focussize="0,0"/>
                  <v:stroke on="f" joinstyle="miter"/>
                  <v:imagedata r:id="rId23" o:title=""/>
                  <o:lock v:ext="edit" aspectratio="t"/>
                  <w10:wrap type="none"/>
                  <w10:anchorlock/>
                </v:shape>
                <o:OLEObject Type="Embed" ProgID="Equation.DSMT4" ShapeID="_x0000_i1025" DrawAspect="Content" ObjectID="_1468075725" r:id="rId22">
                  <o:LockedField>false</o:LockedField>
                </o:OLEObject>
              </w:object>
            </w:r>
          </w:p>
          <w:p>
            <w:pPr>
              <w:autoSpaceDE w:val="0"/>
              <w:autoSpaceDN w:val="0"/>
              <w:adjustRightInd w:val="0"/>
              <w:spacing w:line="360" w:lineRule="auto"/>
              <w:ind w:right="-23" w:firstLine="480" w:firstLineChars="200"/>
              <w:jc w:val="left"/>
              <w:rPr>
                <w:rFonts w:hAnsi="宋体"/>
                <w:sz w:val="24"/>
              </w:rPr>
            </w:pPr>
            <w:r>
              <w:rPr>
                <w:rFonts w:hAnsi="宋体"/>
                <w:sz w:val="24"/>
              </w:rPr>
              <w:t>式中：Q——汽车行驶的起尘量，kg/辆次；V——汽车行驶速度，km/h，取20km/h；M——汽车载重量，t，按10t/辆计算；P——道路表面物料量，kg/m</w:t>
            </w:r>
            <w:r>
              <w:rPr>
                <w:rFonts w:hAnsi="宋体"/>
                <w:sz w:val="24"/>
                <w:vertAlign w:val="superscript"/>
              </w:rPr>
              <w:t>2</w:t>
            </w:r>
            <w:r>
              <w:rPr>
                <w:rFonts w:hAnsi="宋体"/>
                <w:sz w:val="24"/>
              </w:rPr>
              <w:t>，运输道路以简易道路为主，道路表层物料量按3.0 kg/m</w:t>
            </w:r>
            <w:r>
              <w:rPr>
                <w:rFonts w:hAnsi="宋体"/>
                <w:sz w:val="24"/>
                <w:vertAlign w:val="superscript"/>
              </w:rPr>
              <w:t>2</w:t>
            </w:r>
            <w:r>
              <w:rPr>
                <w:rFonts w:hAnsi="宋体"/>
                <w:sz w:val="24"/>
              </w:rPr>
              <w:t>计算；L——道路长度，km，平均运输距离按照2.0km计算。</w:t>
            </w:r>
          </w:p>
          <w:p>
            <w:pPr>
              <w:autoSpaceDE w:val="0"/>
              <w:autoSpaceDN w:val="0"/>
              <w:adjustRightInd w:val="0"/>
              <w:spacing w:line="360" w:lineRule="auto"/>
              <w:ind w:right="-23" w:firstLine="480" w:firstLineChars="200"/>
              <w:jc w:val="left"/>
              <w:rPr>
                <w:rFonts w:hAnsi="宋体"/>
                <w:sz w:val="24"/>
              </w:rPr>
            </w:pPr>
            <w:r>
              <w:rPr>
                <w:rFonts w:hAnsi="宋体"/>
                <w:sz w:val="24"/>
              </w:rPr>
              <w:t>计算得到：Q=5.90kg/辆次。</w:t>
            </w:r>
          </w:p>
          <w:p>
            <w:pPr>
              <w:autoSpaceDE w:val="0"/>
              <w:autoSpaceDN w:val="0"/>
              <w:adjustRightInd w:val="0"/>
              <w:spacing w:line="360" w:lineRule="auto"/>
              <w:ind w:right="-23" w:firstLine="480" w:firstLineChars="200"/>
              <w:jc w:val="left"/>
              <w:rPr>
                <w:rFonts w:hAnsi="宋体"/>
                <w:sz w:val="24"/>
              </w:rPr>
            </w:pPr>
            <w:r>
              <w:rPr>
                <w:rFonts w:hAnsi="宋体"/>
                <w:sz w:val="24"/>
              </w:rPr>
              <w:t>B 施工场地无组织扬尘</w:t>
            </w:r>
          </w:p>
          <w:p>
            <w:pPr>
              <w:autoSpaceDE w:val="0"/>
              <w:autoSpaceDN w:val="0"/>
              <w:adjustRightInd w:val="0"/>
              <w:spacing w:line="360" w:lineRule="auto"/>
              <w:ind w:right="-23" w:firstLine="480" w:firstLineChars="200"/>
              <w:jc w:val="left"/>
              <w:rPr>
                <w:rFonts w:hAnsi="宋体"/>
                <w:sz w:val="24"/>
              </w:rPr>
            </w:pPr>
            <w:r>
              <w:rPr>
                <w:rFonts w:hAnsi="宋体"/>
                <w:sz w:val="24"/>
              </w:rPr>
              <w:t>施工场地无组织扬尘包括土石方卸车、露天堆场和裸露场地的风力扬尘。土石方自卸车时的起尘量选用山西环保科研所、武汉水运工程学院提出的经验公式估算，经验公式为：</w:t>
            </w:r>
          </w:p>
          <w:p>
            <w:pPr>
              <w:autoSpaceDE w:val="0"/>
              <w:autoSpaceDN w:val="0"/>
              <w:adjustRightInd w:val="0"/>
              <w:spacing w:line="360" w:lineRule="auto"/>
              <w:ind w:right="-23" w:firstLine="480" w:firstLineChars="200"/>
              <w:jc w:val="center"/>
              <w:rPr>
                <w:rFonts w:hAnsi="宋体"/>
                <w:sz w:val="24"/>
              </w:rPr>
            </w:pPr>
            <w:r>
              <w:rPr>
                <w:rFonts w:hAnsi="宋体"/>
                <w:sz w:val="24"/>
              </w:rPr>
              <w:object>
                <v:shape id="_x0000_i1026" o:spt="75" type="#_x0000_t75" style="height:26.5pt;width:71.3pt;" o:ole="t" filled="f" o:preferrelative="t" stroked="f" coordsize="21600,21600">
                  <v:path/>
                  <v:fill on="f" focussize="0,0"/>
                  <v:stroke on="f" joinstyle="miter"/>
                  <v:imagedata r:id="rId25" o:title=""/>
                  <o:lock v:ext="edit" aspectratio="t"/>
                  <w10:wrap type="none"/>
                  <w10:anchorlock/>
                </v:shape>
                <o:OLEObject Type="Embed" ProgID="Equation.DSMT4" ShapeID="_x0000_i1026" DrawAspect="Content" ObjectID="_1468075726" r:id="rId24">
                  <o:LockedField>false</o:LockedField>
                </o:OLEObject>
              </w:object>
            </w:r>
          </w:p>
          <w:p>
            <w:pPr>
              <w:autoSpaceDE w:val="0"/>
              <w:autoSpaceDN w:val="0"/>
              <w:adjustRightInd w:val="0"/>
              <w:spacing w:line="360" w:lineRule="auto"/>
              <w:ind w:right="-23" w:firstLine="480" w:firstLineChars="200"/>
              <w:jc w:val="left"/>
              <w:rPr>
                <w:rFonts w:hAnsi="宋体"/>
                <w:sz w:val="24"/>
              </w:rPr>
            </w:pPr>
            <w:r>
              <w:rPr>
                <w:rFonts w:hAnsi="宋体"/>
                <w:sz w:val="24"/>
              </w:rPr>
              <w:t>式中：Q——物料卸车起尘量，kg/次；u——平均风速，m/s，取</w:t>
            </w:r>
            <w:r>
              <w:rPr>
                <w:rFonts w:hint="eastAsia" w:hAnsi="宋体"/>
                <w:sz w:val="24"/>
              </w:rPr>
              <w:t>2.1</w:t>
            </w:r>
            <w:r>
              <w:rPr>
                <w:rFonts w:hAnsi="宋体"/>
                <w:sz w:val="24"/>
              </w:rPr>
              <w:t>m/s；M——汽车卸料量，t，按10t计算。</w:t>
            </w:r>
          </w:p>
          <w:p>
            <w:pPr>
              <w:autoSpaceDE w:val="0"/>
              <w:autoSpaceDN w:val="0"/>
              <w:adjustRightInd w:val="0"/>
              <w:spacing w:line="360" w:lineRule="auto"/>
              <w:ind w:right="-23" w:firstLine="480" w:firstLineChars="200"/>
              <w:jc w:val="left"/>
              <w:rPr>
                <w:rFonts w:hAnsi="宋体"/>
                <w:sz w:val="24"/>
              </w:rPr>
            </w:pPr>
            <w:r>
              <w:rPr>
                <w:rFonts w:hAnsi="宋体"/>
                <w:sz w:val="24"/>
              </w:rPr>
              <w:t>计算得到：Q=</w:t>
            </w:r>
            <w:r>
              <w:rPr>
                <w:rFonts w:hint="eastAsia" w:hAnsi="宋体"/>
                <w:sz w:val="24"/>
              </w:rPr>
              <w:t>2.6</w:t>
            </w:r>
            <w:r>
              <w:rPr>
                <w:rFonts w:hAnsi="宋体"/>
                <w:sz w:val="24"/>
              </w:rPr>
              <w:t>7kg/次。</w:t>
            </w:r>
          </w:p>
          <w:p>
            <w:pPr>
              <w:autoSpaceDE w:val="0"/>
              <w:autoSpaceDN w:val="0"/>
              <w:adjustRightInd w:val="0"/>
              <w:spacing w:line="360" w:lineRule="auto"/>
              <w:ind w:right="-23" w:firstLine="480" w:firstLineChars="200"/>
              <w:jc w:val="left"/>
              <w:rPr>
                <w:rFonts w:hAnsi="宋体"/>
                <w:sz w:val="24"/>
              </w:rPr>
            </w:pPr>
            <w:r>
              <w:rPr>
                <w:rFonts w:hAnsi="宋体"/>
                <w:sz w:val="24"/>
              </w:rPr>
              <w:t>由于施工需要，石灰、沙等粉状建筑材料临时堆存等，在气候干燥有风的情况下，会产生扬尘，与当地气象条件、人为活动程度、粉尘含水率等因素有关。</w:t>
            </w:r>
          </w:p>
          <w:p>
            <w:pPr>
              <w:autoSpaceDE w:val="0"/>
              <w:autoSpaceDN w:val="0"/>
              <w:adjustRightInd w:val="0"/>
              <w:spacing w:line="360" w:lineRule="auto"/>
              <w:ind w:right="-23" w:firstLine="480" w:firstLineChars="200"/>
              <w:jc w:val="left"/>
              <w:rPr>
                <w:rFonts w:hAnsi="宋体"/>
                <w:sz w:val="24"/>
              </w:rPr>
            </w:pPr>
            <w:r>
              <w:rPr>
                <w:rFonts w:hAnsi="宋体"/>
                <w:sz w:val="24"/>
              </w:rPr>
              <w:t>②施工机械尾气</w:t>
            </w:r>
          </w:p>
          <w:p>
            <w:pPr>
              <w:autoSpaceDE w:val="0"/>
              <w:autoSpaceDN w:val="0"/>
              <w:adjustRightInd w:val="0"/>
              <w:spacing w:line="360" w:lineRule="auto"/>
              <w:ind w:right="-23" w:firstLine="480" w:firstLineChars="200"/>
              <w:jc w:val="left"/>
              <w:rPr>
                <w:rFonts w:hAnsi="宋体"/>
                <w:sz w:val="24"/>
              </w:rPr>
            </w:pPr>
            <w:r>
              <w:rPr>
                <w:rFonts w:hAnsi="宋体"/>
                <w:sz w:val="24"/>
              </w:rPr>
              <w:t>挖掘机、装载机、推土机等施工机械以柴油为燃料，会产生一定量的废气，包括CO、NO</w:t>
            </w:r>
            <w:r>
              <w:rPr>
                <w:rFonts w:hAnsi="宋体"/>
                <w:sz w:val="24"/>
                <w:vertAlign w:val="subscript"/>
              </w:rPr>
              <w:t>x</w:t>
            </w:r>
            <w:r>
              <w:rPr>
                <w:rFonts w:hAnsi="宋体"/>
                <w:sz w:val="24"/>
              </w:rPr>
              <w:t>、SO</w:t>
            </w:r>
            <w:r>
              <w:rPr>
                <w:rFonts w:hAnsi="宋体"/>
                <w:sz w:val="24"/>
                <w:vertAlign w:val="subscript"/>
              </w:rPr>
              <w:t>2</w:t>
            </w:r>
            <w:r>
              <w:rPr>
                <w:rFonts w:hAnsi="宋体"/>
                <w:sz w:val="24"/>
              </w:rPr>
              <w:t>等，其产生量与施工方式、施工机械功率大小、运行工况等因素有关。</w:t>
            </w:r>
          </w:p>
          <w:p>
            <w:pPr>
              <w:autoSpaceDE w:val="0"/>
              <w:autoSpaceDN w:val="0"/>
              <w:adjustRightInd w:val="0"/>
              <w:spacing w:line="360" w:lineRule="auto"/>
              <w:ind w:right="-23" w:firstLine="480" w:firstLineChars="200"/>
              <w:jc w:val="left"/>
              <w:rPr>
                <w:rFonts w:hAnsi="宋体"/>
                <w:sz w:val="24"/>
              </w:rPr>
            </w:pPr>
            <w:r>
              <w:rPr>
                <w:rFonts w:hint="eastAsia" w:hAnsi="宋体"/>
                <w:sz w:val="24"/>
              </w:rPr>
              <w:t>③沥青烟气</w:t>
            </w:r>
          </w:p>
          <w:p>
            <w:pPr>
              <w:autoSpaceDE w:val="0"/>
              <w:autoSpaceDN w:val="0"/>
              <w:adjustRightInd w:val="0"/>
              <w:spacing w:line="360" w:lineRule="auto"/>
              <w:ind w:right="-23" w:firstLine="480" w:firstLineChars="200"/>
              <w:jc w:val="left"/>
              <w:rPr>
                <w:rFonts w:hAnsi="宋体"/>
                <w:sz w:val="24"/>
              </w:rPr>
            </w:pPr>
            <w:r>
              <w:rPr>
                <w:rFonts w:hAnsi="宋体"/>
                <w:sz w:val="24"/>
              </w:rPr>
              <w:t>沥青搅拌及铺设过程产生的沥青烟气，主要来源于路面施工阶段的沥青熔融、搅拌、摊铺过程，该气体中含有THC、TSP及苯并芘等有害物质。本项目沥青为石油沥青，不使用未熬炼的生沥青，仅在拌合站进行沥青混凝土热拌，再用无热源或高温容器将沥青运至铺浇工地。</w:t>
            </w:r>
            <w:r>
              <w:rPr>
                <w:rFonts w:hint="eastAsia" w:hAnsi="宋体"/>
                <w:sz w:val="24"/>
              </w:rPr>
              <w:t>本项目工程量小，不建设临时拌合站，为外购商品沥青。</w:t>
            </w:r>
            <w:r>
              <w:rPr>
                <w:rFonts w:hAnsi="宋体"/>
                <w:sz w:val="24"/>
              </w:rPr>
              <w:t>因此本项目道路施工期间沥青烟气产生环节主要在路面铺浇过程。</w:t>
            </w:r>
          </w:p>
          <w:p>
            <w:pPr>
              <w:autoSpaceDE w:val="0"/>
              <w:autoSpaceDN w:val="0"/>
              <w:adjustRightInd w:val="0"/>
              <w:spacing w:line="360" w:lineRule="auto"/>
              <w:ind w:right="-23" w:firstLine="480" w:firstLineChars="200"/>
              <w:jc w:val="left"/>
              <w:rPr>
                <w:rFonts w:hAnsi="宋体"/>
                <w:sz w:val="24"/>
              </w:rPr>
            </w:pPr>
            <w:r>
              <w:rPr>
                <w:rFonts w:hAnsi="宋体"/>
                <w:sz w:val="24"/>
              </w:rPr>
              <w:t>3</w:t>
            </w:r>
            <w:r>
              <w:rPr>
                <w:rFonts w:hint="eastAsia" w:hAnsi="宋体"/>
                <w:sz w:val="24"/>
              </w:rPr>
              <w:t>、噪声</w:t>
            </w:r>
          </w:p>
          <w:p>
            <w:pPr>
              <w:spacing w:line="360" w:lineRule="auto"/>
              <w:ind w:firstLine="480" w:firstLineChars="200"/>
              <w:rPr>
                <w:kern w:val="0"/>
                <w:sz w:val="24"/>
                <w:szCs w:val="24"/>
              </w:rPr>
            </w:pPr>
            <w:r>
              <w:rPr>
                <w:kern w:val="0"/>
                <w:sz w:val="24"/>
                <w:szCs w:val="24"/>
              </w:rPr>
              <w:t>施工期声环境的主要影响因素是施工机械和运输车辆产生的强噪声，噪声源主要有：装载机、推土机及挖掘机等。噪声源若不采取措施则会对周围声环境产生一定的影响。各种作业机械运行时，在距声源1.5m处的噪声值在81～90dB(A)之间，联合作业时叠加影响更加突出。这些非稳态噪声源将对周围声环境产生较大影响，但该影响是短期的。施工常用机械的噪声实测资料见表</w:t>
            </w:r>
            <w:r>
              <w:rPr>
                <w:rFonts w:hint="eastAsia"/>
                <w:kern w:val="0"/>
                <w:sz w:val="24"/>
                <w:szCs w:val="24"/>
              </w:rPr>
              <w:t>34</w:t>
            </w:r>
            <w:r>
              <w:rPr>
                <w:kern w:val="0"/>
                <w:sz w:val="24"/>
                <w:szCs w:val="24"/>
              </w:rPr>
              <w:t>。</w:t>
            </w:r>
          </w:p>
          <w:p>
            <w:pPr>
              <w:spacing w:line="440" w:lineRule="exact"/>
              <w:ind w:firstLine="413" w:firstLineChars="196"/>
              <w:jc w:val="center"/>
              <w:rPr>
                <w:b/>
                <w:szCs w:val="21"/>
              </w:rPr>
            </w:pPr>
            <w:r>
              <w:rPr>
                <w:rFonts w:hAnsi="宋体"/>
                <w:b/>
                <w:szCs w:val="21"/>
              </w:rPr>
              <w:t>表</w:t>
            </w:r>
            <w:r>
              <w:rPr>
                <w:rFonts w:hint="eastAsia"/>
                <w:b/>
                <w:szCs w:val="21"/>
              </w:rPr>
              <w:t>34</w:t>
            </w:r>
            <w:r>
              <w:rPr>
                <w:b/>
                <w:szCs w:val="21"/>
              </w:rPr>
              <w:t xml:space="preserve">   </w:t>
            </w:r>
            <w:r>
              <w:rPr>
                <w:rFonts w:hAnsi="宋体"/>
                <w:b/>
                <w:szCs w:val="21"/>
              </w:rPr>
              <w:t>主要施工机械不同距离处的噪声级</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987"/>
              <w:gridCol w:w="1558"/>
              <w:gridCol w:w="1415"/>
              <w:gridCol w:w="1567"/>
              <w:gridCol w:w="166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3" w:hRule="atLeast"/>
                <w:tblHeader/>
              </w:trPr>
              <w:tc>
                <w:tcPr>
                  <w:tcW w:w="710" w:type="dxa"/>
                  <w:vAlign w:val="center"/>
                </w:tcPr>
                <w:p>
                  <w:pPr>
                    <w:adjustRightInd w:val="0"/>
                    <w:jc w:val="center"/>
                    <w:textAlignment w:val="baseline"/>
                    <w:rPr>
                      <w:b/>
                      <w:kern w:val="0"/>
                      <w:szCs w:val="21"/>
                    </w:rPr>
                  </w:pPr>
                  <w:r>
                    <w:rPr>
                      <w:rFonts w:hAnsi="宋体"/>
                      <w:b/>
                      <w:kern w:val="0"/>
                      <w:szCs w:val="21"/>
                    </w:rPr>
                    <w:t>序号</w:t>
                  </w:r>
                </w:p>
              </w:tc>
              <w:tc>
                <w:tcPr>
                  <w:tcW w:w="1987" w:type="dxa"/>
                  <w:vAlign w:val="center"/>
                </w:tcPr>
                <w:p>
                  <w:pPr>
                    <w:adjustRightInd w:val="0"/>
                    <w:jc w:val="center"/>
                    <w:textAlignment w:val="baseline"/>
                    <w:rPr>
                      <w:b/>
                      <w:kern w:val="0"/>
                      <w:szCs w:val="21"/>
                    </w:rPr>
                  </w:pPr>
                  <w:r>
                    <w:rPr>
                      <w:rFonts w:hAnsi="宋体"/>
                      <w:b/>
                      <w:kern w:val="0"/>
                      <w:szCs w:val="21"/>
                    </w:rPr>
                    <w:t>机</w:t>
                  </w:r>
                  <w:r>
                    <w:rPr>
                      <w:b/>
                      <w:kern w:val="0"/>
                      <w:szCs w:val="21"/>
                    </w:rPr>
                    <w:t xml:space="preserve"> </w:t>
                  </w:r>
                  <w:r>
                    <w:rPr>
                      <w:rFonts w:hAnsi="宋体"/>
                      <w:b/>
                      <w:kern w:val="0"/>
                      <w:szCs w:val="21"/>
                    </w:rPr>
                    <w:t>械</w:t>
                  </w:r>
                  <w:r>
                    <w:rPr>
                      <w:b/>
                      <w:kern w:val="0"/>
                      <w:szCs w:val="21"/>
                    </w:rPr>
                    <w:t xml:space="preserve"> </w:t>
                  </w:r>
                  <w:r>
                    <w:rPr>
                      <w:rFonts w:hAnsi="宋体"/>
                      <w:b/>
                      <w:kern w:val="0"/>
                      <w:szCs w:val="21"/>
                    </w:rPr>
                    <w:t>类</w:t>
                  </w:r>
                  <w:r>
                    <w:rPr>
                      <w:b/>
                      <w:kern w:val="0"/>
                      <w:szCs w:val="21"/>
                    </w:rPr>
                    <w:t xml:space="preserve"> </w:t>
                  </w:r>
                  <w:r>
                    <w:rPr>
                      <w:rFonts w:hAnsi="宋体"/>
                      <w:b/>
                      <w:kern w:val="0"/>
                      <w:szCs w:val="21"/>
                    </w:rPr>
                    <w:t>型</w:t>
                  </w:r>
                </w:p>
              </w:tc>
              <w:tc>
                <w:tcPr>
                  <w:tcW w:w="1558" w:type="dxa"/>
                  <w:vAlign w:val="center"/>
                </w:tcPr>
                <w:p>
                  <w:pPr>
                    <w:adjustRightInd w:val="0"/>
                    <w:jc w:val="center"/>
                    <w:textAlignment w:val="baseline"/>
                    <w:rPr>
                      <w:b/>
                      <w:kern w:val="0"/>
                      <w:szCs w:val="21"/>
                    </w:rPr>
                  </w:pPr>
                  <w:r>
                    <w:rPr>
                      <w:rFonts w:hAnsi="宋体"/>
                      <w:b/>
                      <w:kern w:val="0"/>
                      <w:szCs w:val="21"/>
                    </w:rPr>
                    <w:t>型号</w:t>
                  </w:r>
                </w:p>
              </w:tc>
              <w:tc>
                <w:tcPr>
                  <w:tcW w:w="1415" w:type="dxa"/>
                  <w:vAlign w:val="center"/>
                </w:tcPr>
                <w:p>
                  <w:pPr>
                    <w:adjustRightInd w:val="0"/>
                    <w:jc w:val="center"/>
                    <w:textAlignment w:val="baseline"/>
                    <w:rPr>
                      <w:b/>
                      <w:kern w:val="0"/>
                      <w:szCs w:val="21"/>
                    </w:rPr>
                  </w:pPr>
                  <w:r>
                    <w:rPr>
                      <w:rFonts w:hAnsi="宋体"/>
                      <w:b/>
                      <w:kern w:val="0"/>
                      <w:szCs w:val="21"/>
                    </w:rPr>
                    <w:t>测点距机械距离（</w:t>
                  </w:r>
                  <w:r>
                    <w:rPr>
                      <w:b/>
                      <w:kern w:val="0"/>
                      <w:szCs w:val="21"/>
                    </w:rPr>
                    <w:t>m</w:t>
                  </w:r>
                  <w:r>
                    <w:rPr>
                      <w:rFonts w:hAnsi="宋体"/>
                      <w:b/>
                      <w:kern w:val="0"/>
                      <w:szCs w:val="21"/>
                    </w:rPr>
                    <w:t>）</w:t>
                  </w:r>
                </w:p>
              </w:tc>
              <w:tc>
                <w:tcPr>
                  <w:tcW w:w="1567" w:type="dxa"/>
                  <w:vAlign w:val="center"/>
                </w:tcPr>
                <w:p>
                  <w:pPr>
                    <w:adjustRightInd w:val="0"/>
                    <w:jc w:val="center"/>
                    <w:textAlignment w:val="baseline"/>
                    <w:rPr>
                      <w:b/>
                      <w:kern w:val="0"/>
                      <w:szCs w:val="21"/>
                    </w:rPr>
                  </w:pPr>
                  <w:r>
                    <w:rPr>
                      <w:rFonts w:hAnsi="宋体"/>
                      <w:b/>
                      <w:kern w:val="0"/>
                      <w:szCs w:val="21"/>
                    </w:rPr>
                    <w:t>声源特点</w:t>
                  </w:r>
                </w:p>
              </w:tc>
              <w:tc>
                <w:tcPr>
                  <w:tcW w:w="1664" w:type="dxa"/>
                  <w:vAlign w:val="center"/>
                </w:tcPr>
                <w:p>
                  <w:pPr>
                    <w:adjustRightInd w:val="0"/>
                    <w:jc w:val="center"/>
                    <w:textAlignment w:val="baseline"/>
                    <w:rPr>
                      <w:b/>
                      <w:kern w:val="0"/>
                      <w:szCs w:val="21"/>
                    </w:rPr>
                  </w:pPr>
                  <w:r>
                    <w:rPr>
                      <w:rFonts w:hAnsi="宋体"/>
                      <w:b/>
                      <w:kern w:val="0"/>
                      <w:szCs w:val="21"/>
                    </w:rPr>
                    <w:t>最大声</w:t>
                  </w:r>
                  <w:r>
                    <w:rPr>
                      <w:b/>
                      <w:kern w:val="0"/>
                      <w:szCs w:val="21"/>
                    </w:rPr>
                    <w:t>Lmax</w:t>
                  </w:r>
                  <w:r>
                    <w:rPr>
                      <w:rFonts w:hAnsi="宋体"/>
                      <w:b/>
                      <w:kern w:val="0"/>
                      <w:szCs w:val="21"/>
                    </w:rPr>
                    <w:t>（</w:t>
                  </w:r>
                  <w:r>
                    <w:rPr>
                      <w:b/>
                      <w:kern w:val="0"/>
                      <w:szCs w:val="21"/>
                    </w:rPr>
                    <w:t>dB(A)</w:t>
                  </w:r>
                  <w:r>
                    <w:rPr>
                      <w:rFonts w:hAnsi="宋体"/>
                      <w:b/>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3" w:hRule="atLeast"/>
              </w:trPr>
              <w:tc>
                <w:tcPr>
                  <w:tcW w:w="710" w:type="dxa"/>
                  <w:vAlign w:val="center"/>
                </w:tcPr>
                <w:p>
                  <w:pPr>
                    <w:widowControl/>
                    <w:jc w:val="center"/>
                    <w:rPr>
                      <w:szCs w:val="21"/>
                    </w:rPr>
                  </w:pPr>
                  <w:r>
                    <w:rPr>
                      <w:szCs w:val="21"/>
                    </w:rPr>
                    <w:t>1</w:t>
                  </w:r>
                </w:p>
              </w:tc>
              <w:tc>
                <w:tcPr>
                  <w:tcW w:w="1987" w:type="dxa"/>
                  <w:vAlign w:val="center"/>
                </w:tcPr>
                <w:p>
                  <w:pPr>
                    <w:widowControl/>
                    <w:jc w:val="center"/>
                    <w:rPr>
                      <w:szCs w:val="21"/>
                    </w:rPr>
                  </w:pPr>
                  <w:r>
                    <w:rPr>
                      <w:rFonts w:hAnsi="宋体"/>
                      <w:szCs w:val="21"/>
                    </w:rPr>
                    <w:t>轮胎式液压挖掘机</w:t>
                  </w:r>
                </w:p>
              </w:tc>
              <w:tc>
                <w:tcPr>
                  <w:tcW w:w="1558" w:type="dxa"/>
                  <w:vAlign w:val="center"/>
                </w:tcPr>
                <w:p>
                  <w:pPr>
                    <w:widowControl/>
                    <w:jc w:val="center"/>
                    <w:rPr>
                      <w:szCs w:val="21"/>
                    </w:rPr>
                  </w:pPr>
                  <w:r>
                    <w:rPr>
                      <w:szCs w:val="21"/>
                    </w:rPr>
                    <w:t>W4-60C</w:t>
                  </w:r>
                  <w:r>
                    <w:rPr>
                      <w:rFonts w:hAnsi="宋体"/>
                      <w:szCs w:val="21"/>
                    </w:rPr>
                    <w:t>型</w:t>
                  </w:r>
                </w:p>
              </w:tc>
              <w:tc>
                <w:tcPr>
                  <w:tcW w:w="1415" w:type="dxa"/>
                  <w:vAlign w:val="center"/>
                </w:tcPr>
                <w:p>
                  <w:pPr>
                    <w:widowControl/>
                    <w:jc w:val="center"/>
                    <w:rPr>
                      <w:szCs w:val="21"/>
                    </w:rPr>
                  </w:pPr>
                  <w:r>
                    <w:rPr>
                      <w:szCs w:val="21"/>
                    </w:rPr>
                    <w:t>5</w:t>
                  </w:r>
                </w:p>
              </w:tc>
              <w:tc>
                <w:tcPr>
                  <w:tcW w:w="1567" w:type="dxa"/>
                  <w:vAlign w:val="center"/>
                </w:tcPr>
                <w:p>
                  <w:pPr>
                    <w:widowControl/>
                    <w:jc w:val="center"/>
                    <w:rPr>
                      <w:szCs w:val="21"/>
                    </w:rPr>
                  </w:pPr>
                  <w:r>
                    <w:rPr>
                      <w:rFonts w:hAnsi="宋体"/>
                      <w:szCs w:val="21"/>
                    </w:rPr>
                    <w:t>不稳定源</w:t>
                  </w:r>
                </w:p>
              </w:tc>
              <w:tc>
                <w:tcPr>
                  <w:tcW w:w="1664" w:type="dxa"/>
                  <w:vAlign w:val="center"/>
                </w:tcPr>
                <w:p>
                  <w:pPr>
                    <w:widowControl/>
                    <w:jc w:val="center"/>
                    <w:rPr>
                      <w:szCs w:val="21"/>
                    </w:rPr>
                  </w:pPr>
                  <w:r>
                    <w:rPr>
                      <w:szCs w:val="21"/>
                    </w:rPr>
                    <w:t>84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3" w:hRule="atLeast"/>
              </w:trPr>
              <w:tc>
                <w:tcPr>
                  <w:tcW w:w="710" w:type="dxa"/>
                  <w:vAlign w:val="center"/>
                </w:tcPr>
                <w:p>
                  <w:pPr>
                    <w:widowControl/>
                    <w:jc w:val="center"/>
                    <w:rPr>
                      <w:szCs w:val="21"/>
                    </w:rPr>
                  </w:pPr>
                  <w:r>
                    <w:rPr>
                      <w:szCs w:val="21"/>
                    </w:rPr>
                    <w:t>2</w:t>
                  </w:r>
                </w:p>
              </w:tc>
              <w:tc>
                <w:tcPr>
                  <w:tcW w:w="1987" w:type="dxa"/>
                  <w:vAlign w:val="center"/>
                </w:tcPr>
                <w:p>
                  <w:pPr>
                    <w:widowControl/>
                    <w:jc w:val="center"/>
                    <w:rPr>
                      <w:szCs w:val="21"/>
                    </w:rPr>
                  </w:pPr>
                  <w:r>
                    <w:rPr>
                      <w:rFonts w:hAnsi="宋体"/>
                      <w:szCs w:val="21"/>
                    </w:rPr>
                    <w:t>电焊机</w:t>
                  </w:r>
                </w:p>
              </w:tc>
              <w:tc>
                <w:tcPr>
                  <w:tcW w:w="1558" w:type="dxa"/>
                  <w:vAlign w:val="center"/>
                </w:tcPr>
                <w:p>
                  <w:pPr>
                    <w:widowControl/>
                    <w:jc w:val="center"/>
                    <w:rPr>
                      <w:szCs w:val="21"/>
                    </w:rPr>
                  </w:pPr>
                  <w:r>
                    <w:rPr>
                      <w:rFonts w:hint="eastAsia"/>
                      <w:szCs w:val="21"/>
                    </w:rPr>
                    <w:t>/</w:t>
                  </w:r>
                </w:p>
              </w:tc>
              <w:tc>
                <w:tcPr>
                  <w:tcW w:w="1415" w:type="dxa"/>
                  <w:vAlign w:val="center"/>
                </w:tcPr>
                <w:p>
                  <w:pPr>
                    <w:widowControl/>
                    <w:jc w:val="center"/>
                    <w:rPr>
                      <w:szCs w:val="21"/>
                    </w:rPr>
                  </w:pPr>
                  <w:r>
                    <w:rPr>
                      <w:szCs w:val="21"/>
                    </w:rPr>
                    <w:t>1</w:t>
                  </w:r>
                </w:p>
              </w:tc>
              <w:tc>
                <w:tcPr>
                  <w:tcW w:w="1567" w:type="dxa"/>
                  <w:vAlign w:val="center"/>
                </w:tcPr>
                <w:p>
                  <w:pPr>
                    <w:widowControl/>
                    <w:jc w:val="center"/>
                    <w:rPr>
                      <w:szCs w:val="21"/>
                    </w:rPr>
                  </w:pPr>
                  <w:r>
                    <w:rPr>
                      <w:rFonts w:hAnsi="宋体"/>
                      <w:szCs w:val="21"/>
                    </w:rPr>
                    <w:t>固定稳定源</w:t>
                  </w:r>
                </w:p>
              </w:tc>
              <w:tc>
                <w:tcPr>
                  <w:tcW w:w="1664" w:type="dxa"/>
                  <w:vAlign w:val="center"/>
                </w:tcPr>
                <w:p>
                  <w:pPr>
                    <w:widowControl/>
                    <w:jc w:val="center"/>
                    <w:rPr>
                      <w:szCs w:val="21"/>
                    </w:rPr>
                  </w:pPr>
                  <w:r>
                    <w:rPr>
                      <w:szCs w:val="21"/>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trPr>
              <w:tc>
                <w:tcPr>
                  <w:tcW w:w="710" w:type="dxa"/>
                  <w:vAlign w:val="center"/>
                </w:tcPr>
                <w:p>
                  <w:pPr>
                    <w:widowControl/>
                    <w:jc w:val="center"/>
                    <w:rPr>
                      <w:szCs w:val="21"/>
                    </w:rPr>
                  </w:pPr>
                  <w:r>
                    <w:rPr>
                      <w:szCs w:val="21"/>
                    </w:rPr>
                    <w:t>3</w:t>
                  </w:r>
                </w:p>
              </w:tc>
              <w:tc>
                <w:tcPr>
                  <w:tcW w:w="1987" w:type="dxa"/>
                  <w:vAlign w:val="center"/>
                </w:tcPr>
                <w:p>
                  <w:pPr>
                    <w:widowControl/>
                    <w:jc w:val="center"/>
                    <w:rPr>
                      <w:kern w:val="11"/>
                      <w:szCs w:val="21"/>
                    </w:rPr>
                  </w:pPr>
                  <w:r>
                    <w:rPr>
                      <w:rFonts w:hAnsi="宋体"/>
                      <w:kern w:val="11"/>
                      <w:szCs w:val="21"/>
                    </w:rPr>
                    <w:t>轮式装载机</w:t>
                  </w:r>
                </w:p>
              </w:tc>
              <w:tc>
                <w:tcPr>
                  <w:tcW w:w="1558" w:type="dxa"/>
                  <w:vAlign w:val="center"/>
                </w:tcPr>
                <w:p>
                  <w:pPr>
                    <w:widowControl/>
                    <w:jc w:val="center"/>
                    <w:rPr>
                      <w:szCs w:val="21"/>
                    </w:rPr>
                  </w:pPr>
                  <w:r>
                    <w:rPr>
                      <w:szCs w:val="21"/>
                    </w:rPr>
                    <w:t>AL40/ZL50</w:t>
                  </w:r>
                  <w:r>
                    <w:rPr>
                      <w:rFonts w:hAnsi="宋体"/>
                      <w:szCs w:val="21"/>
                    </w:rPr>
                    <w:t>型</w:t>
                  </w:r>
                </w:p>
              </w:tc>
              <w:tc>
                <w:tcPr>
                  <w:tcW w:w="1415" w:type="dxa"/>
                  <w:vAlign w:val="center"/>
                </w:tcPr>
                <w:p>
                  <w:pPr>
                    <w:widowControl/>
                    <w:jc w:val="center"/>
                    <w:rPr>
                      <w:szCs w:val="21"/>
                    </w:rPr>
                  </w:pPr>
                  <w:r>
                    <w:rPr>
                      <w:szCs w:val="21"/>
                    </w:rPr>
                    <w:t>5</w:t>
                  </w:r>
                </w:p>
              </w:tc>
              <w:tc>
                <w:tcPr>
                  <w:tcW w:w="1567" w:type="dxa"/>
                  <w:vAlign w:val="center"/>
                </w:tcPr>
                <w:p>
                  <w:pPr>
                    <w:widowControl/>
                    <w:jc w:val="center"/>
                    <w:rPr>
                      <w:szCs w:val="21"/>
                    </w:rPr>
                  </w:pPr>
                  <w:r>
                    <w:rPr>
                      <w:rFonts w:hAnsi="宋体"/>
                      <w:szCs w:val="21"/>
                    </w:rPr>
                    <w:t>不稳定源</w:t>
                  </w:r>
                </w:p>
              </w:tc>
              <w:tc>
                <w:tcPr>
                  <w:tcW w:w="1664" w:type="dxa"/>
                  <w:vAlign w:val="center"/>
                </w:tcPr>
                <w:p>
                  <w:pPr>
                    <w:widowControl/>
                    <w:jc w:val="center"/>
                    <w:rPr>
                      <w:szCs w:val="21"/>
                    </w:rPr>
                  </w:pPr>
                  <w:r>
                    <w:rPr>
                      <w:szCs w:val="21"/>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9" w:hRule="atLeast"/>
              </w:trPr>
              <w:tc>
                <w:tcPr>
                  <w:tcW w:w="710" w:type="dxa"/>
                  <w:vAlign w:val="center"/>
                </w:tcPr>
                <w:p>
                  <w:pPr>
                    <w:widowControl/>
                    <w:jc w:val="center"/>
                    <w:rPr>
                      <w:szCs w:val="21"/>
                    </w:rPr>
                  </w:pPr>
                  <w:r>
                    <w:rPr>
                      <w:szCs w:val="21"/>
                    </w:rPr>
                    <w:t>4</w:t>
                  </w:r>
                </w:p>
              </w:tc>
              <w:tc>
                <w:tcPr>
                  <w:tcW w:w="1987" w:type="dxa"/>
                  <w:vAlign w:val="center"/>
                </w:tcPr>
                <w:p>
                  <w:pPr>
                    <w:widowControl/>
                    <w:jc w:val="center"/>
                    <w:rPr>
                      <w:szCs w:val="21"/>
                    </w:rPr>
                  </w:pPr>
                  <w:r>
                    <w:rPr>
                      <w:rFonts w:hAnsi="宋体"/>
                      <w:szCs w:val="21"/>
                    </w:rPr>
                    <w:t>起重机</w:t>
                  </w:r>
                </w:p>
              </w:tc>
              <w:tc>
                <w:tcPr>
                  <w:tcW w:w="1558" w:type="dxa"/>
                  <w:vAlign w:val="center"/>
                </w:tcPr>
                <w:p>
                  <w:pPr>
                    <w:widowControl/>
                    <w:jc w:val="center"/>
                    <w:rPr>
                      <w:szCs w:val="21"/>
                    </w:rPr>
                  </w:pPr>
                  <w:r>
                    <w:rPr>
                      <w:szCs w:val="21"/>
                    </w:rPr>
                    <w:t>/</w:t>
                  </w:r>
                </w:p>
              </w:tc>
              <w:tc>
                <w:tcPr>
                  <w:tcW w:w="1415" w:type="dxa"/>
                  <w:vAlign w:val="center"/>
                </w:tcPr>
                <w:p>
                  <w:pPr>
                    <w:widowControl/>
                    <w:jc w:val="center"/>
                    <w:rPr>
                      <w:szCs w:val="21"/>
                    </w:rPr>
                  </w:pPr>
                  <w:r>
                    <w:rPr>
                      <w:szCs w:val="21"/>
                    </w:rPr>
                    <w:t>5</w:t>
                  </w:r>
                </w:p>
              </w:tc>
              <w:tc>
                <w:tcPr>
                  <w:tcW w:w="1567" w:type="dxa"/>
                  <w:vAlign w:val="center"/>
                </w:tcPr>
                <w:p>
                  <w:pPr>
                    <w:widowControl/>
                    <w:jc w:val="center"/>
                    <w:rPr>
                      <w:szCs w:val="21"/>
                    </w:rPr>
                  </w:pPr>
                  <w:r>
                    <w:rPr>
                      <w:rFonts w:hAnsi="宋体"/>
                      <w:szCs w:val="21"/>
                    </w:rPr>
                    <w:t>流动不稳定源</w:t>
                  </w:r>
                </w:p>
              </w:tc>
              <w:tc>
                <w:tcPr>
                  <w:tcW w:w="1664" w:type="dxa"/>
                  <w:vAlign w:val="center"/>
                </w:tcPr>
                <w:p>
                  <w:pPr>
                    <w:widowControl/>
                    <w:jc w:val="center"/>
                    <w:rPr>
                      <w:szCs w:val="21"/>
                    </w:rPr>
                  </w:pPr>
                  <w:r>
                    <w:rPr>
                      <w:szCs w:val="21"/>
                    </w:rPr>
                    <w:t>81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trPr>
              <w:tc>
                <w:tcPr>
                  <w:tcW w:w="710" w:type="dxa"/>
                  <w:vAlign w:val="center"/>
                </w:tcPr>
                <w:p>
                  <w:pPr>
                    <w:widowControl/>
                    <w:jc w:val="center"/>
                    <w:rPr>
                      <w:szCs w:val="21"/>
                    </w:rPr>
                  </w:pPr>
                  <w:r>
                    <w:rPr>
                      <w:szCs w:val="21"/>
                    </w:rPr>
                    <w:t>5</w:t>
                  </w:r>
                </w:p>
              </w:tc>
              <w:tc>
                <w:tcPr>
                  <w:tcW w:w="1987" w:type="dxa"/>
                  <w:vAlign w:val="center"/>
                </w:tcPr>
                <w:p>
                  <w:pPr>
                    <w:widowControl/>
                    <w:jc w:val="center"/>
                    <w:rPr>
                      <w:szCs w:val="21"/>
                    </w:rPr>
                  </w:pPr>
                  <w:r>
                    <w:rPr>
                      <w:rFonts w:hAnsi="宋体"/>
                      <w:szCs w:val="21"/>
                    </w:rPr>
                    <w:t>运输车辆</w:t>
                  </w:r>
                </w:p>
              </w:tc>
              <w:tc>
                <w:tcPr>
                  <w:tcW w:w="1558" w:type="dxa"/>
                  <w:vAlign w:val="center"/>
                </w:tcPr>
                <w:p>
                  <w:pPr>
                    <w:widowControl/>
                    <w:jc w:val="center"/>
                    <w:rPr>
                      <w:szCs w:val="21"/>
                    </w:rPr>
                  </w:pPr>
                  <w:r>
                    <w:rPr>
                      <w:rFonts w:hint="eastAsia"/>
                      <w:szCs w:val="21"/>
                    </w:rPr>
                    <w:t>/</w:t>
                  </w:r>
                </w:p>
              </w:tc>
              <w:tc>
                <w:tcPr>
                  <w:tcW w:w="1415" w:type="dxa"/>
                  <w:vAlign w:val="center"/>
                </w:tcPr>
                <w:p>
                  <w:pPr>
                    <w:widowControl/>
                    <w:jc w:val="center"/>
                    <w:rPr>
                      <w:szCs w:val="21"/>
                    </w:rPr>
                  </w:pPr>
                  <w:r>
                    <w:rPr>
                      <w:rFonts w:hint="eastAsia"/>
                      <w:szCs w:val="21"/>
                    </w:rPr>
                    <w:t>/</w:t>
                  </w:r>
                </w:p>
              </w:tc>
              <w:tc>
                <w:tcPr>
                  <w:tcW w:w="1567" w:type="dxa"/>
                  <w:vAlign w:val="center"/>
                </w:tcPr>
                <w:p>
                  <w:pPr>
                    <w:widowControl/>
                    <w:jc w:val="center"/>
                    <w:rPr>
                      <w:szCs w:val="21"/>
                    </w:rPr>
                  </w:pPr>
                  <w:r>
                    <w:rPr>
                      <w:rFonts w:hAnsi="宋体"/>
                      <w:szCs w:val="21"/>
                    </w:rPr>
                    <w:t>流动不稳定源</w:t>
                  </w:r>
                </w:p>
              </w:tc>
              <w:tc>
                <w:tcPr>
                  <w:tcW w:w="1664" w:type="dxa"/>
                  <w:vAlign w:val="center"/>
                </w:tcPr>
                <w:p>
                  <w:pPr>
                    <w:widowControl/>
                    <w:jc w:val="center"/>
                    <w:rPr>
                      <w:szCs w:val="21"/>
                    </w:rPr>
                  </w:pPr>
                  <w:r>
                    <w:rPr>
                      <w:szCs w:val="21"/>
                    </w:rPr>
                    <w:t>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9" w:hRule="atLeast"/>
              </w:trPr>
              <w:tc>
                <w:tcPr>
                  <w:tcW w:w="710" w:type="dxa"/>
                  <w:vAlign w:val="center"/>
                </w:tcPr>
                <w:p>
                  <w:pPr>
                    <w:widowControl/>
                    <w:jc w:val="center"/>
                    <w:rPr>
                      <w:szCs w:val="21"/>
                    </w:rPr>
                  </w:pPr>
                  <w:r>
                    <w:rPr>
                      <w:szCs w:val="21"/>
                    </w:rPr>
                    <w:t>6</w:t>
                  </w:r>
                </w:p>
              </w:tc>
              <w:tc>
                <w:tcPr>
                  <w:tcW w:w="1987" w:type="dxa"/>
                  <w:vAlign w:val="center"/>
                </w:tcPr>
                <w:p>
                  <w:pPr>
                    <w:widowControl/>
                    <w:jc w:val="center"/>
                    <w:rPr>
                      <w:szCs w:val="21"/>
                    </w:rPr>
                  </w:pPr>
                  <w:r>
                    <w:rPr>
                      <w:rFonts w:hAnsi="宋体"/>
                      <w:szCs w:val="21"/>
                    </w:rPr>
                    <w:t>吊车</w:t>
                  </w:r>
                </w:p>
              </w:tc>
              <w:tc>
                <w:tcPr>
                  <w:tcW w:w="1558" w:type="dxa"/>
                  <w:vAlign w:val="center"/>
                </w:tcPr>
                <w:p>
                  <w:pPr>
                    <w:widowControl/>
                    <w:jc w:val="center"/>
                    <w:rPr>
                      <w:szCs w:val="21"/>
                    </w:rPr>
                  </w:pPr>
                  <w:r>
                    <w:rPr>
                      <w:rFonts w:hint="eastAsia"/>
                      <w:szCs w:val="21"/>
                    </w:rPr>
                    <w:t>/</w:t>
                  </w:r>
                </w:p>
              </w:tc>
              <w:tc>
                <w:tcPr>
                  <w:tcW w:w="1415" w:type="dxa"/>
                  <w:vAlign w:val="center"/>
                </w:tcPr>
                <w:p>
                  <w:pPr>
                    <w:widowControl/>
                    <w:jc w:val="center"/>
                    <w:rPr>
                      <w:szCs w:val="21"/>
                    </w:rPr>
                  </w:pPr>
                  <w:r>
                    <w:rPr>
                      <w:rFonts w:hint="eastAsia"/>
                      <w:szCs w:val="21"/>
                    </w:rPr>
                    <w:t>/</w:t>
                  </w:r>
                </w:p>
              </w:tc>
              <w:tc>
                <w:tcPr>
                  <w:tcW w:w="1567" w:type="dxa"/>
                  <w:vAlign w:val="center"/>
                </w:tcPr>
                <w:p>
                  <w:pPr>
                    <w:widowControl/>
                    <w:jc w:val="center"/>
                    <w:rPr>
                      <w:szCs w:val="21"/>
                    </w:rPr>
                  </w:pPr>
                  <w:r>
                    <w:rPr>
                      <w:rFonts w:hAnsi="宋体"/>
                      <w:szCs w:val="21"/>
                    </w:rPr>
                    <w:t>流动不稳定源</w:t>
                  </w:r>
                </w:p>
              </w:tc>
              <w:tc>
                <w:tcPr>
                  <w:tcW w:w="1664" w:type="dxa"/>
                  <w:vAlign w:val="center"/>
                </w:tcPr>
                <w:p>
                  <w:pPr>
                    <w:widowControl/>
                    <w:jc w:val="center"/>
                    <w:rPr>
                      <w:szCs w:val="21"/>
                    </w:rPr>
                  </w:pPr>
                  <w:r>
                    <w:rPr>
                      <w:szCs w:val="21"/>
                    </w:rPr>
                    <w:t>87</w:t>
                  </w:r>
                </w:p>
              </w:tc>
            </w:tr>
          </w:tbl>
          <w:p>
            <w:pPr>
              <w:autoSpaceDE w:val="0"/>
              <w:autoSpaceDN w:val="0"/>
              <w:adjustRightInd w:val="0"/>
              <w:spacing w:line="360" w:lineRule="auto"/>
              <w:ind w:right="-23" w:firstLine="480" w:firstLineChars="200"/>
              <w:jc w:val="left"/>
              <w:rPr>
                <w:rFonts w:hAnsi="宋体"/>
                <w:sz w:val="24"/>
              </w:rPr>
            </w:pPr>
            <w:r>
              <w:rPr>
                <w:rFonts w:hAnsi="宋体"/>
                <w:sz w:val="24"/>
              </w:rPr>
              <w:t>4</w:t>
            </w:r>
            <w:r>
              <w:rPr>
                <w:rFonts w:hint="eastAsia" w:hAnsi="宋体"/>
                <w:sz w:val="24"/>
              </w:rPr>
              <w:t>、固体废物</w:t>
            </w:r>
          </w:p>
          <w:p>
            <w:pPr>
              <w:autoSpaceDE w:val="0"/>
              <w:autoSpaceDN w:val="0"/>
              <w:adjustRightInd w:val="0"/>
              <w:spacing w:line="360" w:lineRule="auto"/>
              <w:ind w:right="-23" w:firstLine="480" w:firstLineChars="200"/>
              <w:jc w:val="left"/>
              <w:rPr>
                <w:rFonts w:hAnsi="宋体"/>
                <w:sz w:val="24"/>
              </w:rPr>
            </w:pPr>
            <w:r>
              <w:rPr>
                <w:rFonts w:hint="eastAsia" w:hAnsi="宋体"/>
                <w:sz w:val="24"/>
              </w:rPr>
              <w:t>项目施工期产生固体废物主要有路面拆除产生的废建筑垃圾，</w:t>
            </w:r>
            <w:r>
              <w:rPr>
                <w:rFonts w:hAnsi="宋体"/>
                <w:bCs/>
                <w:sz w:val="24"/>
              </w:rPr>
              <w:t>废弃的碎砖、石块、冲洗残渣以及各类建材的包装箱、袋</w:t>
            </w:r>
            <w:r>
              <w:rPr>
                <w:rFonts w:hint="eastAsia" w:hAnsi="宋体"/>
                <w:sz w:val="24"/>
              </w:rPr>
              <w:t>等建筑垃圾及施工人员生活垃圾。</w:t>
            </w:r>
          </w:p>
          <w:p>
            <w:pPr>
              <w:autoSpaceDE w:val="0"/>
              <w:autoSpaceDN w:val="0"/>
              <w:adjustRightInd w:val="0"/>
              <w:spacing w:line="360" w:lineRule="auto"/>
              <w:ind w:right="-23" w:firstLine="480" w:firstLineChars="200"/>
              <w:jc w:val="left"/>
              <w:rPr>
                <w:rFonts w:hAnsi="宋体"/>
                <w:sz w:val="24"/>
              </w:rPr>
            </w:pPr>
            <w:r>
              <w:rPr>
                <w:rFonts w:hint="eastAsia" w:hAnsi="宋体"/>
                <w:sz w:val="24"/>
              </w:rPr>
              <w:t>本项目施工期土石方平衡见表35，废方拉运至宁县建筑管理部门指定弃土场。</w:t>
            </w:r>
          </w:p>
          <w:p>
            <w:pPr>
              <w:autoSpaceDE w:val="0"/>
              <w:autoSpaceDN w:val="0"/>
              <w:adjustRightInd w:val="0"/>
              <w:spacing w:line="360" w:lineRule="auto"/>
              <w:ind w:right="-23" w:firstLine="480" w:firstLineChars="200"/>
              <w:jc w:val="left"/>
              <w:rPr>
                <w:rFonts w:hAnsi="宋体"/>
                <w:sz w:val="24"/>
              </w:rPr>
            </w:pPr>
            <w:r>
              <w:rPr>
                <w:rFonts w:hint="eastAsia" w:hAnsi="宋体"/>
                <w:sz w:val="24"/>
              </w:rPr>
              <w:t>施工人员生活垃圾按</w:t>
            </w:r>
            <w:r>
              <w:rPr>
                <w:rFonts w:hAnsi="宋体"/>
                <w:sz w:val="24"/>
              </w:rPr>
              <w:t>0.5kg/</w:t>
            </w:r>
            <w:r>
              <w:rPr>
                <w:rFonts w:hint="eastAsia" w:hAnsi="宋体"/>
                <w:sz w:val="24"/>
              </w:rPr>
              <w:t>人</w:t>
            </w:r>
            <w:r>
              <w:rPr>
                <w:rFonts w:hAnsi="宋体"/>
                <w:sz w:val="24"/>
              </w:rPr>
              <w:t>·d</w:t>
            </w:r>
            <w:r>
              <w:rPr>
                <w:rFonts w:hint="eastAsia" w:hAnsi="宋体"/>
                <w:sz w:val="24"/>
              </w:rPr>
              <w:t>计，高峰施工人员按30人计，则生活垃圾产生量为15</w:t>
            </w:r>
            <w:r>
              <w:rPr>
                <w:rFonts w:hAnsi="宋体"/>
                <w:sz w:val="24"/>
              </w:rPr>
              <w:t>kg/d</w:t>
            </w:r>
            <w:r>
              <w:rPr>
                <w:rFonts w:hint="eastAsia" w:hAnsi="宋体"/>
                <w:sz w:val="24"/>
              </w:rPr>
              <w:t>，预计施工8个月，则施工期生活垃圾总产生量为3.6</w:t>
            </w:r>
            <w:r>
              <w:rPr>
                <w:rFonts w:hAnsi="宋体"/>
                <w:sz w:val="24"/>
              </w:rPr>
              <w:t>t</w:t>
            </w:r>
            <w:r>
              <w:rPr>
                <w:rFonts w:hint="eastAsia" w:hAnsi="宋体"/>
                <w:sz w:val="24"/>
              </w:rPr>
              <w:t>。</w:t>
            </w:r>
          </w:p>
          <w:p>
            <w:pPr>
              <w:autoSpaceDE w:val="0"/>
              <w:autoSpaceDN w:val="0"/>
              <w:adjustRightInd w:val="0"/>
              <w:spacing w:line="360" w:lineRule="auto"/>
              <w:ind w:right="-23" w:firstLine="480" w:firstLineChars="200"/>
              <w:jc w:val="left"/>
              <w:rPr>
                <w:rFonts w:hAnsi="宋体"/>
                <w:sz w:val="24"/>
              </w:rPr>
            </w:pPr>
            <w:r>
              <w:rPr>
                <w:rFonts w:hint="eastAsia" w:hAnsi="宋体"/>
                <w:sz w:val="24"/>
              </w:rPr>
              <w:t>根据项目建设工程内容可知，项目总共拆除沥青混凝土路面及透水砖人行道4797.64m</w:t>
            </w:r>
            <w:r>
              <w:rPr>
                <w:rFonts w:hint="eastAsia" w:hAnsi="宋体"/>
                <w:sz w:val="24"/>
                <w:vertAlign w:val="superscript"/>
              </w:rPr>
              <w:t>2</w:t>
            </w:r>
            <w:r>
              <w:rPr>
                <w:rFonts w:hint="eastAsia" w:hAnsi="宋体"/>
                <w:sz w:val="24"/>
              </w:rPr>
              <w:t>。</w:t>
            </w:r>
          </w:p>
          <w:p>
            <w:pPr>
              <w:autoSpaceDE w:val="0"/>
              <w:autoSpaceDN w:val="0"/>
              <w:adjustRightInd w:val="0"/>
              <w:spacing w:line="360" w:lineRule="auto"/>
              <w:ind w:right="-23" w:firstLine="480" w:firstLineChars="200"/>
              <w:jc w:val="left"/>
              <w:rPr>
                <w:rFonts w:hAnsi="宋体"/>
                <w:bCs/>
                <w:sz w:val="24"/>
              </w:rPr>
            </w:pPr>
            <w:r>
              <w:rPr>
                <w:rFonts w:hAnsi="宋体"/>
                <w:sz w:val="24"/>
              </w:rPr>
              <w:t>根据《建筑垃圾的产生与循环利用管理》（陈</w:t>
            </w:r>
            <w:r>
              <w:rPr>
                <w:rFonts w:hint="eastAsia" w:hAnsi="宋体"/>
                <w:sz w:val="24"/>
              </w:rPr>
              <w:t>军</w:t>
            </w:r>
            <w:r>
              <w:rPr>
                <w:rFonts w:hAnsi="宋体"/>
                <w:sz w:val="24"/>
              </w:rPr>
              <w:t>，何</w:t>
            </w:r>
            <w:r>
              <w:rPr>
                <w:rFonts w:hint="eastAsia" w:hAnsi="宋体"/>
                <w:sz w:val="24"/>
              </w:rPr>
              <w:t>品</w:t>
            </w:r>
            <w:r>
              <w:rPr>
                <w:rFonts w:hAnsi="宋体"/>
                <w:sz w:val="24"/>
              </w:rPr>
              <w:t>晶等人，同济大学，污染控制与资源化研究国家重点实验室），单位建筑面积的建筑垃圾产生量为20</w:t>
            </w:r>
            <w:r>
              <w:rPr>
                <w:rFonts w:hint="eastAsia" w:hAnsi="宋体"/>
                <w:sz w:val="24"/>
              </w:rPr>
              <w:t>~</w:t>
            </w:r>
            <w:r>
              <w:rPr>
                <w:rFonts w:hAnsi="宋体"/>
                <w:sz w:val="24"/>
              </w:rPr>
              <w:t>50kg/m</w:t>
            </w:r>
            <w:r>
              <w:rPr>
                <w:rFonts w:hint="eastAsia" w:hAnsi="宋体"/>
                <w:sz w:val="24"/>
                <w:vertAlign w:val="superscript"/>
              </w:rPr>
              <w:t>2</w:t>
            </w:r>
            <w:r>
              <w:rPr>
                <w:rFonts w:hAnsi="宋体"/>
                <w:sz w:val="24"/>
              </w:rPr>
              <w:t>，以</w:t>
            </w:r>
            <w:r>
              <w:rPr>
                <w:rFonts w:hint="eastAsia" w:hAnsi="宋体"/>
                <w:sz w:val="24"/>
              </w:rPr>
              <w:t>3</w:t>
            </w:r>
            <w:r>
              <w:rPr>
                <w:rFonts w:hAnsi="宋体"/>
                <w:sz w:val="24"/>
              </w:rPr>
              <w:t>0kg/m</w:t>
            </w:r>
            <w:r>
              <w:rPr>
                <w:rFonts w:hint="eastAsia" w:hAnsi="宋体"/>
                <w:sz w:val="24"/>
                <w:vertAlign w:val="superscript"/>
              </w:rPr>
              <w:t>2</w:t>
            </w:r>
            <w:r>
              <w:rPr>
                <w:rFonts w:hAnsi="宋体"/>
                <w:sz w:val="24"/>
              </w:rPr>
              <w:t>计算</w:t>
            </w:r>
            <w:r>
              <w:rPr>
                <w:rFonts w:hint="eastAsia" w:hAnsi="宋体"/>
                <w:sz w:val="24"/>
              </w:rPr>
              <w:t>，项目施工面积</w:t>
            </w:r>
            <w:r>
              <w:rPr>
                <w:rFonts w:hint="eastAsia" w:hAnsi="宋体"/>
                <w:bCs/>
                <w:sz w:val="24"/>
              </w:rPr>
              <w:t>16959.08m</w:t>
            </w:r>
            <w:r>
              <w:rPr>
                <w:rFonts w:hint="eastAsia" w:hAnsi="宋体"/>
                <w:bCs/>
                <w:sz w:val="24"/>
                <w:vertAlign w:val="superscript"/>
              </w:rPr>
              <w:t>2</w:t>
            </w:r>
            <w:r>
              <w:rPr>
                <w:rFonts w:hint="eastAsia" w:hAnsi="宋体"/>
                <w:bCs/>
                <w:sz w:val="24"/>
              </w:rPr>
              <w:t>，则项目施工期产生建筑垃圾508.8t。</w:t>
            </w:r>
          </w:p>
          <w:p>
            <w:pPr>
              <w:autoSpaceDE w:val="0"/>
              <w:autoSpaceDN w:val="0"/>
              <w:adjustRightInd w:val="0"/>
              <w:spacing w:line="360" w:lineRule="auto"/>
              <w:ind w:right="-23" w:firstLine="480" w:firstLineChars="200"/>
              <w:jc w:val="left"/>
              <w:rPr>
                <w:rFonts w:hAnsi="宋体"/>
                <w:bCs/>
                <w:sz w:val="24"/>
              </w:rPr>
            </w:pPr>
            <w:r>
              <w:rPr>
                <w:rFonts w:hint="eastAsia" w:hAnsi="宋体"/>
                <w:bCs/>
                <w:sz w:val="24"/>
              </w:rPr>
              <w:t>施工期固体废物产生情况见表36。</w:t>
            </w:r>
          </w:p>
          <w:p>
            <w:pPr>
              <w:spacing w:line="360" w:lineRule="auto"/>
              <w:jc w:val="center"/>
              <w:rPr>
                <w:b/>
                <w:szCs w:val="21"/>
              </w:rPr>
            </w:pPr>
            <w:r>
              <w:rPr>
                <w:rFonts w:hint="eastAsia"/>
                <w:b/>
                <w:szCs w:val="21"/>
              </w:rPr>
              <w:t>表35</w:t>
            </w:r>
            <w:r>
              <w:rPr>
                <w:b/>
                <w:szCs w:val="21"/>
              </w:rPr>
              <w:t xml:space="preserve">   </w:t>
            </w:r>
            <w:r>
              <w:rPr>
                <w:rFonts w:hint="eastAsia"/>
                <w:b/>
                <w:szCs w:val="21"/>
              </w:rPr>
              <w:t>本项目土石方平衡表</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73"/>
              <w:gridCol w:w="1965"/>
              <w:gridCol w:w="2021"/>
              <w:gridCol w:w="2021"/>
              <w:gridCol w:w="20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73" w:type="dxa"/>
                  <w:vAlign w:val="center"/>
                </w:tcPr>
                <w:p>
                  <w:pPr>
                    <w:jc w:val="center"/>
                    <w:rPr>
                      <w:b/>
                      <w:szCs w:val="21"/>
                    </w:rPr>
                  </w:pPr>
                  <w:r>
                    <w:rPr>
                      <w:rFonts w:hint="eastAsia"/>
                      <w:b/>
                      <w:szCs w:val="21"/>
                    </w:rPr>
                    <w:t>序号</w:t>
                  </w:r>
                </w:p>
              </w:tc>
              <w:tc>
                <w:tcPr>
                  <w:tcW w:w="1965" w:type="dxa"/>
                  <w:vAlign w:val="center"/>
                </w:tcPr>
                <w:p>
                  <w:pPr>
                    <w:jc w:val="center"/>
                    <w:rPr>
                      <w:b/>
                      <w:szCs w:val="21"/>
                    </w:rPr>
                  </w:pPr>
                  <w:r>
                    <w:rPr>
                      <w:rFonts w:hint="eastAsia"/>
                      <w:b/>
                      <w:szCs w:val="21"/>
                    </w:rPr>
                    <w:t>建设内容</w:t>
                  </w:r>
                </w:p>
              </w:tc>
              <w:tc>
                <w:tcPr>
                  <w:tcW w:w="2021" w:type="dxa"/>
                  <w:vAlign w:val="center"/>
                </w:tcPr>
                <w:p>
                  <w:pPr>
                    <w:jc w:val="center"/>
                    <w:rPr>
                      <w:b/>
                      <w:szCs w:val="21"/>
                    </w:rPr>
                  </w:pPr>
                  <w:r>
                    <w:rPr>
                      <w:rFonts w:hint="eastAsia"/>
                      <w:b/>
                      <w:szCs w:val="21"/>
                    </w:rPr>
                    <w:t>挖方量（</w:t>
                  </w:r>
                  <w:r>
                    <w:rPr>
                      <w:b/>
                      <w:szCs w:val="21"/>
                    </w:rPr>
                    <w:t>m</w:t>
                  </w:r>
                  <w:r>
                    <w:rPr>
                      <w:b/>
                      <w:szCs w:val="21"/>
                      <w:vertAlign w:val="superscript"/>
                    </w:rPr>
                    <w:t>3</w:t>
                  </w:r>
                  <w:r>
                    <w:rPr>
                      <w:rFonts w:hint="eastAsia"/>
                      <w:b/>
                      <w:szCs w:val="21"/>
                    </w:rPr>
                    <w:t>）</w:t>
                  </w:r>
                </w:p>
              </w:tc>
              <w:tc>
                <w:tcPr>
                  <w:tcW w:w="2021" w:type="dxa"/>
                  <w:vAlign w:val="center"/>
                </w:tcPr>
                <w:p>
                  <w:pPr>
                    <w:jc w:val="center"/>
                    <w:rPr>
                      <w:b/>
                      <w:szCs w:val="21"/>
                    </w:rPr>
                  </w:pPr>
                  <w:r>
                    <w:rPr>
                      <w:rFonts w:hint="eastAsia"/>
                      <w:b/>
                      <w:szCs w:val="21"/>
                    </w:rPr>
                    <w:t>填方量（</w:t>
                  </w:r>
                  <w:r>
                    <w:rPr>
                      <w:b/>
                      <w:szCs w:val="21"/>
                    </w:rPr>
                    <w:t>m</w:t>
                  </w:r>
                  <w:r>
                    <w:rPr>
                      <w:b/>
                      <w:szCs w:val="21"/>
                      <w:vertAlign w:val="superscript"/>
                    </w:rPr>
                    <w:t>3</w:t>
                  </w:r>
                  <w:r>
                    <w:rPr>
                      <w:rFonts w:hint="eastAsia"/>
                      <w:b/>
                      <w:szCs w:val="21"/>
                    </w:rPr>
                    <w:t>）</w:t>
                  </w:r>
                </w:p>
              </w:tc>
              <w:tc>
                <w:tcPr>
                  <w:tcW w:w="2021" w:type="dxa"/>
                  <w:vAlign w:val="center"/>
                </w:tcPr>
                <w:p>
                  <w:pPr>
                    <w:jc w:val="center"/>
                    <w:rPr>
                      <w:b/>
                      <w:szCs w:val="21"/>
                    </w:rPr>
                  </w:pPr>
                  <w:r>
                    <w:rPr>
                      <w:rFonts w:hint="eastAsia"/>
                      <w:b/>
                      <w:szCs w:val="21"/>
                    </w:rPr>
                    <w:t>弃方量（</w:t>
                  </w:r>
                  <w:r>
                    <w:rPr>
                      <w:b/>
                      <w:szCs w:val="21"/>
                    </w:rPr>
                    <w:t>m</w:t>
                  </w:r>
                  <w:r>
                    <w:rPr>
                      <w:b/>
                      <w:szCs w:val="21"/>
                      <w:vertAlign w:val="superscript"/>
                    </w:rPr>
                    <w:t>3</w:t>
                  </w:r>
                  <w:r>
                    <w:rPr>
                      <w:rFonts w:hint="eastAsia"/>
                      <w:b/>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2" w:hRule="atLeast"/>
                <w:jc w:val="center"/>
              </w:trPr>
              <w:tc>
                <w:tcPr>
                  <w:tcW w:w="873" w:type="dxa"/>
                  <w:vAlign w:val="center"/>
                </w:tcPr>
                <w:p>
                  <w:pPr>
                    <w:jc w:val="center"/>
                    <w:rPr>
                      <w:szCs w:val="21"/>
                    </w:rPr>
                  </w:pPr>
                  <w:r>
                    <w:rPr>
                      <w:rFonts w:hint="eastAsia"/>
                      <w:szCs w:val="21"/>
                    </w:rPr>
                    <w:t>1</w:t>
                  </w:r>
                </w:p>
              </w:tc>
              <w:tc>
                <w:tcPr>
                  <w:tcW w:w="1965" w:type="dxa"/>
                  <w:vAlign w:val="center"/>
                </w:tcPr>
                <w:p>
                  <w:pPr>
                    <w:jc w:val="center"/>
                    <w:rPr>
                      <w:szCs w:val="21"/>
                    </w:rPr>
                  </w:pPr>
                  <w:r>
                    <w:rPr>
                      <w:rFonts w:hint="eastAsia"/>
                      <w:szCs w:val="21"/>
                    </w:rPr>
                    <w:t>道路工程</w:t>
                  </w:r>
                </w:p>
              </w:tc>
              <w:tc>
                <w:tcPr>
                  <w:tcW w:w="2021" w:type="dxa"/>
                  <w:vAlign w:val="center"/>
                </w:tcPr>
                <w:p>
                  <w:pPr>
                    <w:jc w:val="center"/>
                    <w:rPr>
                      <w:szCs w:val="21"/>
                    </w:rPr>
                  </w:pPr>
                  <w:r>
                    <w:rPr>
                      <w:rFonts w:hint="eastAsia"/>
                      <w:szCs w:val="21"/>
                    </w:rPr>
                    <w:t>6581.0</w:t>
                  </w:r>
                </w:p>
              </w:tc>
              <w:tc>
                <w:tcPr>
                  <w:tcW w:w="2021" w:type="dxa"/>
                  <w:vAlign w:val="center"/>
                </w:tcPr>
                <w:p>
                  <w:pPr>
                    <w:jc w:val="center"/>
                    <w:rPr>
                      <w:szCs w:val="21"/>
                    </w:rPr>
                  </w:pPr>
                  <w:r>
                    <w:rPr>
                      <w:rFonts w:hint="eastAsia"/>
                      <w:szCs w:val="21"/>
                    </w:rPr>
                    <w:t>5264.8</w:t>
                  </w:r>
                </w:p>
              </w:tc>
              <w:tc>
                <w:tcPr>
                  <w:tcW w:w="2021" w:type="dxa"/>
                  <w:vAlign w:val="center"/>
                </w:tcPr>
                <w:p>
                  <w:pPr>
                    <w:jc w:val="center"/>
                    <w:rPr>
                      <w:szCs w:val="21"/>
                    </w:rPr>
                  </w:pPr>
                  <w:r>
                    <w:rPr>
                      <w:rFonts w:hint="eastAsia"/>
                      <w:szCs w:val="21"/>
                    </w:rPr>
                    <w:t>1316.2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67" w:hRule="atLeast"/>
                <w:jc w:val="center"/>
              </w:trPr>
              <w:tc>
                <w:tcPr>
                  <w:tcW w:w="873" w:type="dxa"/>
                  <w:vAlign w:val="center"/>
                </w:tcPr>
                <w:p>
                  <w:pPr>
                    <w:jc w:val="center"/>
                    <w:rPr>
                      <w:szCs w:val="21"/>
                    </w:rPr>
                  </w:pPr>
                  <w:r>
                    <w:rPr>
                      <w:szCs w:val="21"/>
                    </w:rPr>
                    <w:t>2</w:t>
                  </w:r>
                </w:p>
              </w:tc>
              <w:tc>
                <w:tcPr>
                  <w:tcW w:w="1965" w:type="dxa"/>
                  <w:vAlign w:val="center"/>
                </w:tcPr>
                <w:p>
                  <w:pPr>
                    <w:jc w:val="center"/>
                    <w:rPr>
                      <w:szCs w:val="21"/>
                    </w:rPr>
                  </w:pPr>
                  <w:r>
                    <w:rPr>
                      <w:rFonts w:hint="eastAsia"/>
                      <w:szCs w:val="21"/>
                    </w:rPr>
                    <w:t>广场工程</w:t>
                  </w:r>
                </w:p>
              </w:tc>
              <w:tc>
                <w:tcPr>
                  <w:tcW w:w="2021" w:type="dxa"/>
                  <w:vAlign w:val="center"/>
                </w:tcPr>
                <w:p>
                  <w:pPr>
                    <w:jc w:val="center"/>
                    <w:rPr>
                      <w:szCs w:val="21"/>
                    </w:rPr>
                  </w:pPr>
                  <w:r>
                    <w:rPr>
                      <w:rFonts w:hint="eastAsia"/>
                      <w:szCs w:val="21"/>
                    </w:rPr>
                    <w:t>562.74</w:t>
                  </w:r>
                </w:p>
              </w:tc>
              <w:tc>
                <w:tcPr>
                  <w:tcW w:w="2021" w:type="dxa"/>
                  <w:vAlign w:val="center"/>
                </w:tcPr>
                <w:p>
                  <w:pPr>
                    <w:jc w:val="center"/>
                    <w:rPr>
                      <w:szCs w:val="21"/>
                    </w:rPr>
                  </w:pPr>
                  <w:r>
                    <w:rPr>
                      <w:rFonts w:hint="eastAsia"/>
                      <w:szCs w:val="21"/>
                    </w:rPr>
                    <w:t>675.3</w:t>
                  </w:r>
                </w:p>
              </w:tc>
              <w:tc>
                <w:tcPr>
                  <w:tcW w:w="2021" w:type="dxa"/>
                  <w:vAlign w:val="center"/>
                </w:tcPr>
                <w:p>
                  <w:pPr>
                    <w:jc w:val="center"/>
                    <w:rPr>
                      <w:szCs w:val="21"/>
                    </w:rPr>
                  </w:pPr>
                  <w:r>
                    <w:rPr>
                      <w:rFonts w:hint="eastAsia"/>
                      <w:szCs w:val="21"/>
                    </w:rPr>
                    <w:t>-112.56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72" w:hRule="atLeast"/>
                <w:jc w:val="center"/>
              </w:trPr>
              <w:tc>
                <w:tcPr>
                  <w:tcW w:w="873" w:type="dxa"/>
                  <w:vAlign w:val="center"/>
                </w:tcPr>
                <w:p>
                  <w:pPr>
                    <w:jc w:val="center"/>
                    <w:rPr>
                      <w:szCs w:val="21"/>
                    </w:rPr>
                  </w:pPr>
                  <w:r>
                    <w:rPr>
                      <w:szCs w:val="21"/>
                    </w:rPr>
                    <w:t>3</w:t>
                  </w:r>
                </w:p>
              </w:tc>
              <w:tc>
                <w:tcPr>
                  <w:tcW w:w="1965" w:type="dxa"/>
                  <w:vAlign w:val="center"/>
                </w:tcPr>
                <w:p>
                  <w:pPr>
                    <w:jc w:val="center"/>
                    <w:rPr>
                      <w:szCs w:val="21"/>
                    </w:rPr>
                  </w:pPr>
                  <w:r>
                    <w:rPr>
                      <w:rFonts w:hint="eastAsia"/>
                      <w:szCs w:val="21"/>
                    </w:rPr>
                    <w:t>给排水工程</w:t>
                  </w:r>
                </w:p>
              </w:tc>
              <w:tc>
                <w:tcPr>
                  <w:tcW w:w="2021" w:type="dxa"/>
                  <w:vAlign w:val="center"/>
                </w:tcPr>
                <w:p>
                  <w:pPr>
                    <w:jc w:val="center"/>
                    <w:rPr>
                      <w:szCs w:val="21"/>
                    </w:rPr>
                  </w:pPr>
                  <w:r>
                    <w:rPr>
                      <w:rFonts w:hint="eastAsia"/>
                      <w:szCs w:val="21"/>
                    </w:rPr>
                    <w:t>5002.5</w:t>
                  </w:r>
                </w:p>
              </w:tc>
              <w:tc>
                <w:tcPr>
                  <w:tcW w:w="2021" w:type="dxa"/>
                  <w:vAlign w:val="center"/>
                </w:tcPr>
                <w:p>
                  <w:pPr>
                    <w:jc w:val="center"/>
                    <w:rPr>
                      <w:szCs w:val="21"/>
                    </w:rPr>
                  </w:pPr>
                  <w:r>
                    <w:rPr>
                      <w:rFonts w:hint="eastAsia"/>
                      <w:szCs w:val="21"/>
                    </w:rPr>
                    <w:t>3713</w:t>
                  </w:r>
                </w:p>
              </w:tc>
              <w:tc>
                <w:tcPr>
                  <w:tcW w:w="2021" w:type="dxa"/>
                  <w:vAlign w:val="center"/>
                </w:tcPr>
                <w:p>
                  <w:pPr>
                    <w:jc w:val="center"/>
                    <w:rPr>
                      <w:szCs w:val="21"/>
                    </w:rPr>
                  </w:pPr>
                  <w:r>
                    <w:rPr>
                      <w:rFonts w:hint="eastAsia"/>
                      <w:szCs w:val="21"/>
                    </w:rPr>
                    <w:t>1289.5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62" w:hRule="atLeast"/>
                <w:jc w:val="center"/>
              </w:trPr>
              <w:tc>
                <w:tcPr>
                  <w:tcW w:w="873" w:type="dxa"/>
                  <w:vAlign w:val="center"/>
                </w:tcPr>
                <w:p>
                  <w:pPr>
                    <w:jc w:val="center"/>
                    <w:rPr>
                      <w:szCs w:val="21"/>
                    </w:rPr>
                  </w:pPr>
                  <w:r>
                    <w:rPr>
                      <w:rFonts w:hint="eastAsia"/>
                      <w:szCs w:val="21"/>
                    </w:rPr>
                    <w:t>4</w:t>
                  </w:r>
                </w:p>
              </w:tc>
              <w:tc>
                <w:tcPr>
                  <w:tcW w:w="1965" w:type="dxa"/>
                  <w:vAlign w:val="center"/>
                </w:tcPr>
                <w:p>
                  <w:pPr>
                    <w:jc w:val="center"/>
                    <w:rPr>
                      <w:szCs w:val="21"/>
                    </w:rPr>
                  </w:pPr>
                  <w:r>
                    <w:rPr>
                      <w:rFonts w:hint="eastAsia"/>
                      <w:szCs w:val="21"/>
                    </w:rPr>
                    <w:t>照明工程</w:t>
                  </w:r>
                </w:p>
              </w:tc>
              <w:tc>
                <w:tcPr>
                  <w:tcW w:w="2021" w:type="dxa"/>
                  <w:vAlign w:val="center"/>
                </w:tcPr>
                <w:p>
                  <w:pPr>
                    <w:jc w:val="center"/>
                    <w:rPr>
                      <w:szCs w:val="21"/>
                    </w:rPr>
                  </w:pPr>
                  <w:r>
                    <w:rPr>
                      <w:rFonts w:hint="eastAsia"/>
                      <w:szCs w:val="21"/>
                    </w:rPr>
                    <w:t>140</w:t>
                  </w:r>
                </w:p>
              </w:tc>
              <w:tc>
                <w:tcPr>
                  <w:tcW w:w="2021" w:type="dxa"/>
                  <w:vAlign w:val="center"/>
                </w:tcPr>
                <w:p>
                  <w:pPr>
                    <w:jc w:val="center"/>
                    <w:rPr>
                      <w:szCs w:val="21"/>
                    </w:rPr>
                  </w:pPr>
                  <w:r>
                    <w:rPr>
                      <w:rFonts w:hint="eastAsia"/>
                      <w:szCs w:val="21"/>
                    </w:rPr>
                    <w:t>126</w:t>
                  </w:r>
                </w:p>
              </w:tc>
              <w:tc>
                <w:tcPr>
                  <w:tcW w:w="2021" w:type="dxa"/>
                  <w:vAlign w:val="center"/>
                </w:tcPr>
                <w:p>
                  <w:pPr>
                    <w:jc w:val="center"/>
                    <w:rPr>
                      <w:szCs w:val="21"/>
                    </w:rPr>
                  </w:pPr>
                  <w:r>
                    <w:rPr>
                      <w:rFonts w:hint="eastAsia"/>
                      <w:szCs w:val="21"/>
                    </w:rPr>
                    <w:t>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52" w:hRule="atLeast"/>
                <w:jc w:val="center"/>
              </w:trPr>
              <w:tc>
                <w:tcPr>
                  <w:tcW w:w="873" w:type="dxa"/>
                  <w:vAlign w:val="center"/>
                </w:tcPr>
                <w:p>
                  <w:pPr>
                    <w:jc w:val="center"/>
                    <w:rPr>
                      <w:szCs w:val="21"/>
                    </w:rPr>
                  </w:pPr>
                  <w:r>
                    <w:rPr>
                      <w:rFonts w:hint="eastAsia"/>
                      <w:szCs w:val="21"/>
                    </w:rPr>
                    <w:t>5</w:t>
                  </w:r>
                </w:p>
              </w:tc>
              <w:tc>
                <w:tcPr>
                  <w:tcW w:w="1965" w:type="dxa"/>
                  <w:vAlign w:val="center"/>
                </w:tcPr>
                <w:p>
                  <w:pPr>
                    <w:jc w:val="center"/>
                    <w:rPr>
                      <w:szCs w:val="21"/>
                    </w:rPr>
                  </w:pPr>
                  <w:r>
                    <w:rPr>
                      <w:rFonts w:hint="eastAsia"/>
                      <w:szCs w:val="21"/>
                    </w:rPr>
                    <w:t>污水处理站</w:t>
                  </w:r>
                </w:p>
              </w:tc>
              <w:tc>
                <w:tcPr>
                  <w:tcW w:w="2021" w:type="dxa"/>
                  <w:vAlign w:val="center"/>
                </w:tcPr>
                <w:p>
                  <w:pPr>
                    <w:jc w:val="center"/>
                    <w:rPr>
                      <w:szCs w:val="21"/>
                    </w:rPr>
                  </w:pPr>
                  <w:r>
                    <w:rPr>
                      <w:rFonts w:hint="eastAsia"/>
                      <w:szCs w:val="21"/>
                    </w:rPr>
                    <w:t>172.3</w:t>
                  </w:r>
                </w:p>
              </w:tc>
              <w:tc>
                <w:tcPr>
                  <w:tcW w:w="2021" w:type="dxa"/>
                  <w:vAlign w:val="center"/>
                </w:tcPr>
                <w:p>
                  <w:pPr>
                    <w:jc w:val="center"/>
                    <w:rPr>
                      <w:szCs w:val="21"/>
                    </w:rPr>
                  </w:pPr>
                  <w:r>
                    <w:rPr>
                      <w:rFonts w:hint="eastAsia"/>
                      <w:szCs w:val="21"/>
                    </w:rPr>
                    <w:t>155</w:t>
                  </w:r>
                </w:p>
              </w:tc>
              <w:tc>
                <w:tcPr>
                  <w:tcW w:w="2021" w:type="dxa"/>
                  <w:vAlign w:val="center"/>
                </w:tcPr>
                <w:p>
                  <w:pPr>
                    <w:jc w:val="center"/>
                    <w:rPr>
                      <w:szCs w:val="21"/>
                    </w:rPr>
                  </w:pPr>
                  <w:r>
                    <w:rPr>
                      <w:rFonts w:hint="eastAsia"/>
                      <w:szCs w:val="21"/>
                    </w:rPr>
                    <w:t>17.3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56" w:hRule="atLeast"/>
                <w:jc w:val="center"/>
              </w:trPr>
              <w:tc>
                <w:tcPr>
                  <w:tcW w:w="873" w:type="dxa"/>
                  <w:vAlign w:val="center"/>
                </w:tcPr>
                <w:p>
                  <w:pPr>
                    <w:jc w:val="center"/>
                    <w:rPr>
                      <w:szCs w:val="21"/>
                    </w:rPr>
                  </w:pPr>
                  <w:r>
                    <w:rPr>
                      <w:rFonts w:hint="eastAsia"/>
                      <w:szCs w:val="21"/>
                    </w:rPr>
                    <w:t>6</w:t>
                  </w:r>
                </w:p>
              </w:tc>
              <w:tc>
                <w:tcPr>
                  <w:tcW w:w="1965" w:type="dxa"/>
                  <w:vAlign w:val="center"/>
                </w:tcPr>
                <w:p>
                  <w:pPr>
                    <w:jc w:val="center"/>
                    <w:rPr>
                      <w:szCs w:val="21"/>
                    </w:rPr>
                  </w:pPr>
                  <w:r>
                    <w:rPr>
                      <w:rFonts w:hint="eastAsia"/>
                      <w:szCs w:val="21"/>
                    </w:rPr>
                    <w:t>合计</w:t>
                  </w:r>
                </w:p>
              </w:tc>
              <w:tc>
                <w:tcPr>
                  <w:tcW w:w="2021" w:type="dxa"/>
                  <w:vAlign w:val="center"/>
                </w:tcPr>
                <w:p>
                  <w:pPr>
                    <w:jc w:val="center"/>
                    <w:rPr>
                      <w:szCs w:val="21"/>
                    </w:rPr>
                  </w:pPr>
                  <w:r>
                    <w:rPr>
                      <w:rFonts w:hint="eastAsia"/>
                      <w:szCs w:val="21"/>
                    </w:rPr>
                    <w:t>12458.54</w:t>
                  </w:r>
                </w:p>
              </w:tc>
              <w:tc>
                <w:tcPr>
                  <w:tcW w:w="2021" w:type="dxa"/>
                  <w:vAlign w:val="center"/>
                </w:tcPr>
                <w:p>
                  <w:pPr>
                    <w:jc w:val="center"/>
                    <w:rPr>
                      <w:szCs w:val="21"/>
                    </w:rPr>
                  </w:pPr>
                  <w:r>
                    <w:rPr>
                      <w:rFonts w:hint="eastAsia"/>
                      <w:szCs w:val="21"/>
                    </w:rPr>
                    <w:t>9934.1</w:t>
                  </w:r>
                </w:p>
              </w:tc>
              <w:tc>
                <w:tcPr>
                  <w:tcW w:w="2021" w:type="dxa"/>
                  <w:vAlign w:val="center"/>
                </w:tcPr>
                <w:p>
                  <w:pPr>
                    <w:jc w:val="center"/>
                    <w:rPr>
                      <w:szCs w:val="21"/>
                    </w:rPr>
                  </w:pPr>
                  <w:r>
                    <w:rPr>
                      <w:rFonts w:hint="eastAsia"/>
                      <w:szCs w:val="21"/>
                    </w:rPr>
                    <w:t>2524.44</w:t>
                  </w:r>
                </w:p>
              </w:tc>
            </w:tr>
          </w:tbl>
          <w:p>
            <w:pPr>
              <w:spacing w:line="460" w:lineRule="exact"/>
              <w:ind w:firstLine="422" w:firstLineChars="200"/>
              <w:jc w:val="center"/>
              <w:rPr>
                <w:rFonts w:hAnsi="宋体"/>
                <w:b/>
                <w:szCs w:val="21"/>
              </w:rPr>
            </w:pPr>
            <w:r>
              <w:rPr>
                <w:rFonts w:hint="eastAsia" w:hAnsi="宋体"/>
                <w:b/>
                <w:szCs w:val="21"/>
              </w:rPr>
              <w:t>表36  项目施工期固废产生情况一览表</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28"/>
              <w:gridCol w:w="1132"/>
              <w:gridCol w:w="1116"/>
              <w:gridCol w:w="482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06" w:hRule="atLeast"/>
              </w:trPr>
              <w:tc>
                <w:tcPr>
                  <w:tcW w:w="1828"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污染物</w:t>
                  </w:r>
                </w:p>
              </w:tc>
              <w:tc>
                <w:tcPr>
                  <w:tcW w:w="1132"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产生量</w:t>
                  </w:r>
                </w:p>
              </w:tc>
              <w:tc>
                <w:tcPr>
                  <w:tcW w:w="1116"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排放量</w:t>
                  </w:r>
                </w:p>
              </w:tc>
              <w:tc>
                <w:tcPr>
                  <w:tcW w:w="4825"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处理措施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1828"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生活垃圾</w:t>
                  </w:r>
                </w:p>
              </w:tc>
              <w:tc>
                <w:tcPr>
                  <w:tcW w:w="1132" w:type="dxa"/>
                  <w:vAlign w:val="center"/>
                </w:tcPr>
                <w:p>
                  <w:pPr>
                    <w:pStyle w:val="161"/>
                    <w:snapToGrid w:val="0"/>
                    <w:jc w:val="center"/>
                    <w:rPr>
                      <w:rFonts w:ascii="Times New Roman" w:cs="Times New Roman"/>
                      <w:color w:val="auto"/>
                      <w:sz w:val="21"/>
                      <w:szCs w:val="21"/>
                    </w:rPr>
                  </w:pPr>
                  <w:r>
                    <w:rPr>
                      <w:rFonts w:hint="eastAsia" w:ascii="Times New Roman" w:cs="Times New Roman"/>
                      <w:color w:val="auto"/>
                      <w:sz w:val="21"/>
                      <w:szCs w:val="21"/>
                    </w:rPr>
                    <w:t>3.6</w:t>
                  </w:r>
                  <w:r>
                    <w:rPr>
                      <w:rFonts w:ascii="Times New Roman" w:cs="Times New Roman"/>
                      <w:color w:val="auto"/>
                      <w:sz w:val="21"/>
                      <w:szCs w:val="21"/>
                    </w:rPr>
                    <w:t>t</w:t>
                  </w:r>
                </w:p>
              </w:tc>
              <w:tc>
                <w:tcPr>
                  <w:tcW w:w="1116"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0</w:t>
                  </w:r>
                </w:p>
              </w:tc>
              <w:tc>
                <w:tcPr>
                  <w:tcW w:w="4825"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集中清运至指定的生活垃圾填埋场进行处置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11" w:hRule="atLeast"/>
              </w:trPr>
              <w:tc>
                <w:tcPr>
                  <w:tcW w:w="1828" w:type="dxa"/>
                  <w:vAlign w:val="center"/>
                </w:tcPr>
                <w:p>
                  <w:pPr>
                    <w:pStyle w:val="161"/>
                    <w:snapToGrid w:val="0"/>
                    <w:jc w:val="center"/>
                    <w:rPr>
                      <w:rFonts w:ascii="Times New Roman" w:cs="Times New Roman"/>
                      <w:color w:val="auto"/>
                      <w:sz w:val="21"/>
                      <w:szCs w:val="21"/>
                    </w:rPr>
                  </w:pPr>
                  <w:r>
                    <w:rPr>
                      <w:rFonts w:hint="eastAsia" w:ascii="Times New Roman" w:cs="Times New Roman"/>
                      <w:color w:val="auto"/>
                      <w:sz w:val="21"/>
                      <w:szCs w:val="21"/>
                    </w:rPr>
                    <w:t>拆除</w:t>
                  </w:r>
                  <w:r>
                    <w:rPr>
                      <w:rFonts w:ascii="Times New Roman" w:cs="Times New Roman"/>
                      <w:color w:val="auto"/>
                      <w:sz w:val="21"/>
                      <w:szCs w:val="21"/>
                    </w:rPr>
                    <w:t>路面</w:t>
                  </w:r>
                </w:p>
              </w:tc>
              <w:tc>
                <w:tcPr>
                  <w:tcW w:w="1132" w:type="dxa"/>
                  <w:vAlign w:val="center"/>
                </w:tcPr>
                <w:p>
                  <w:pPr>
                    <w:pStyle w:val="161"/>
                    <w:snapToGrid w:val="0"/>
                    <w:jc w:val="center"/>
                    <w:rPr>
                      <w:rFonts w:ascii="Times New Roman" w:cs="Times New Roman"/>
                      <w:color w:val="auto"/>
                      <w:sz w:val="21"/>
                      <w:szCs w:val="21"/>
                    </w:rPr>
                  </w:pPr>
                  <w:r>
                    <w:rPr>
                      <w:rFonts w:hint="eastAsia" w:ascii="Times New Roman" w:cs="Times New Roman"/>
                      <w:color w:val="auto"/>
                      <w:sz w:val="21"/>
                      <w:szCs w:val="21"/>
                    </w:rPr>
                    <w:t>4797.64</w:t>
                  </w:r>
                  <w:r>
                    <w:rPr>
                      <w:rFonts w:ascii="Times New Roman" w:cs="Times New Roman"/>
                      <w:color w:val="auto"/>
                      <w:sz w:val="21"/>
                      <w:szCs w:val="21"/>
                    </w:rPr>
                    <w:t>m</w:t>
                  </w:r>
                  <w:r>
                    <w:rPr>
                      <w:rFonts w:hint="eastAsia" w:ascii="Times New Roman" w:cs="Times New Roman"/>
                      <w:color w:val="auto"/>
                      <w:sz w:val="21"/>
                      <w:szCs w:val="21"/>
                      <w:vertAlign w:val="superscript"/>
                    </w:rPr>
                    <w:t>2</w:t>
                  </w:r>
                </w:p>
              </w:tc>
              <w:tc>
                <w:tcPr>
                  <w:tcW w:w="1116"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0</w:t>
                  </w:r>
                </w:p>
              </w:tc>
              <w:tc>
                <w:tcPr>
                  <w:tcW w:w="4825" w:type="dxa"/>
                  <w:vAlign w:val="center"/>
                </w:tcPr>
                <w:p>
                  <w:pPr>
                    <w:pStyle w:val="161"/>
                    <w:snapToGrid w:val="0"/>
                    <w:jc w:val="center"/>
                    <w:rPr>
                      <w:rFonts w:ascii="Times New Roman" w:cs="Times New Roman"/>
                      <w:color w:val="auto"/>
                      <w:sz w:val="21"/>
                      <w:szCs w:val="21"/>
                    </w:rPr>
                  </w:pPr>
                  <w:r>
                    <w:rPr>
                      <w:rFonts w:hint="eastAsia" w:ascii="Times New Roman" w:cs="Times New Roman"/>
                      <w:color w:val="auto"/>
                      <w:sz w:val="21"/>
                      <w:szCs w:val="21"/>
                    </w:rPr>
                    <w:t>用于施工道路填方和填沟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1828" w:type="dxa"/>
                  <w:vAlign w:val="center"/>
                </w:tcPr>
                <w:p>
                  <w:pPr>
                    <w:pStyle w:val="161"/>
                    <w:snapToGrid w:val="0"/>
                    <w:jc w:val="center"/>
                    <w:rPr>
                      <w:rFonts w:ascii="Times New Roman" w:cs="Times New Roman"/>
                      <w:color w:val="auto"/>
                      <w:sz w:val="21"/>
                      <w:szCs w:val="21"/>
                    </w:rPr>
                  </w:pPr>
                  <w:r>
                    <w:rPr>
                      <w:rFonts w:hint="eastAsia" w:ascii="Times New Roman" w:cs="Times New Roman"/>
                      <w:color w:val="auto"/>
                      <w:sz w:val="21"/>
                      <w:szCs w:val="21"/>
                    </w:rPr>
                    <w:t>建筑垃圾</w:t>
                  </w:r>
                </w:p>
              </w:tc>
              <w:tc>
                <w:tcPr>
                  <w:tcW w:w="1132" w:type="dxa"/>
                  <w:vAlign w:val="center"/>
                </w:tcPr>
                <w:p>
                  <w:pPr>
                    <w:pStyle w:val="161"/>
                    <w:snapToGrid w:val="0"/>
                    <w:jc w:val="center"/>
                    <w:rPr>
                      <w:rFonts w:ascii="Times New Roman" w:cs="Times New Roman"/>
                      <w:color w:val="auto"/>
                      <w:sz w:val="21"/>
                      <w:szCs w:val="21"/>
                    </w:rPr>
                  </w:pPr>
                  <w:r>
                    <w:rPr>
                      <w:rFonts w:hint="eastAsia" w:ascii="Times New Roman" w:cs="Times New Roman"/>
                      <w:bCs/>
                      <w:color w:val="auto"/>
                      <w:sz w:val="21"/>
                      <w:szCs w:val="21"/>
                    </w:rPr>
                    <w:t>508.8t</w:t>
                  </w:r>
                </w:p>
              </w:tc>
              <w:tc>
                <w:tcPr>
                  <w:tcW w:w="1116"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0</w:t>
                  </w:r>
                </w:p>
              </w:tc>
              <w:tc>
                <w:tcPr>
                  <w:tcW w:w="4825" w:type="dxa"/>
                  <w:vAlign w:val="center"/>
                </w:tcPr>
                <w:p>
                  <w:pPr>
                    <w:pStyle w:val="161"/>
                    <w:snapToGrid w:val="0"/>
                    <w:jc w:val="center"/>
                    <w:rPr>
                      <w:rFonts w:ascii="Times New Roman" w:cs="Times New Roman"/>
                      <w:color w:val="auto"/>
                      <w:sz w:val="21"/>
                      <w:szCs w:val="21"/>
                    </w:rPr>
                  </w:pPr>
                  <w:r>
                    <w:rPr>
                      <w:rFonts w:hint="eastAsia" w:ascii="Times New Roman" w:cs="Times New Roman"/>
                      <w:color w:val="auto"/>
                      <w:sz w:val="21"/>
                      <w:szCs w:val="21"/>
                    </w:rPr>
                    <w:t>经过分拣回收后运往建筑垃圾管理部门指定地点堆放</w:t>
                  </w:r>
                </w:p>
              </w:tc>
            </w:tr>
          </w:tbl>
          <w:p>
            <w:pPr>
              <w:spacing w:line="460" w:lineRule="exact"/>
              <w:ind w:firstLine="480" w:firstLineChars="200"/>
              <w:rPr>
                <w:sz w:val="24"/>
              </w:rPr>
            </w:pPr>
            <w:r>
              <w:rPr>
                <w:rFonts w:hint="eastAsia" w:hAnsi="宋体"/>
                <w:sz w:val="24"/>
              </w:rPr>
              <w:t>5、</w:t>
            </w:r>
            <w:r>
              <w:rPr>
                <w:rFonts w:hAnsi="宋体"/>
                <w:sz w:val="24"/>
              </w:rPr>
              <w:t>生态</w:t>
            </w:r>
            <w:r>
              <w:rPr>
                <w:rFonts w:hint="eastAsia" w:hAnsi="宋体"/>
                <w:sz w:val="24"/>
              </w:rPr>
              <w:t>污染源分析</w:t>
            </w:r>
          </w:p>
          <w:p>
            <w:pPr>
              <w:spacing w:line="460" w:lineRule="exact"/>
              <w:rPr>
                <w:b/>
                <w:sz w:val="24"/>
              </w:rPr>
            </w:pPr>
            <w:r>
              <w:rPr>
                <w:sz w:val="24"/>
              </w:rPr>
              <w:t xml:space="preserve">   </w:t>
            </w:r>
            <w:r>
              <w:rPr>
                <w:rFonts w:hint="eastAsia" w:hAnsi="宋体"/>
                <w:sz w:val="24"/>
              </w:rPr>
              <w:t>拟建项目</w:t>
            </w:r>
            <w:r>
              <w:rPr>
                <w:rFonts w:hAnsi="宋体"/>
                <w:sz w:val="24"/>
              </w:rPr>
              <w:t>施工过程中基础开挖、</w:t>
            </w:r>
            <w:r>
              <w:rPr>
                <w:rFonts w:hint="eastAsia" w:hAnsi="宋体"/>
                <w:sz w:val="24"/>
              </w:rPr>
              <w:t>管道开挖、</w:t>
            </w:r>
            <w:r>
              <w:rPr>
                <w:rFonts w:hAnsi="宋体"/>
                <w:sz w:val="24"/>
              </w:rPr>
              <w:t>土石方、建筑材料的堆放、尤其是建筑垃圾的临时堆放等都会影响卫生环境和景观环境</w:t>
            </w:r>
            <w:r>
              <w:rPr>
                <w:rFonts w:hint="eastAsia" w:hAnsi="宋体"/>
                <w:sz w:val="24"/>
              </w:rPr>
              <w:t>，</w:t>
            </w:r>
            <w:r>
              <w:rPr>
                <w:rFonts w:hAnsi="宋体"/>
                <w:sz w:val="24"/>
              </w:rPr>
              <w:t>施工过程中设置护栏、围布等隔离措施，将会</w:t>
            </w:r>
            <w:r>
              <w:rPr>
                <w:rFonts w:hint="eastAsia" w:hAnsi="宋体"/>
                <w:sz w:val="24"/>
              </w:rPr>
              <w:t>降低对</w:t>
            </w:r>
            <w:r>
              <w:rPr>
                <w:rFonts w:hAnsi="宋体"/>
                <w:sz w:val="24"/>
              </w:rPr>
              <w:t>景观环境带来的影响。</w:t>
            </w:r>
          </w:p>
          <w:p>
            <w:pPr>
              <w:spacing w:before="50" w:line="360" w:lineRule="auto"/>
              <w:ind w:firstLine="482" w:firstLineChars="200"/>
              <w:rPr>
                <w:b/>
                <w:sz w:val="24"/>
              </w:rPr>
            </w:pPr>
            <w:r>
              <w:rPr>
                <w:rFonts w:hint="eastAsia"/>
                <w:b/>
                <w:sz w:val="24"/>
              </w:rPr>
              <w:t>二、运营期</w:t>
            </w:r>
          </w:p>
          <w:p>
            <w:pPr>
              <w:adjustRightInd w:val="0"/>
              <w:snapToGrid w:val="0"/>
              <w:spacing w:line="360" w:lineRule="auto"/>
              <w:ind w:firstLine="480" w:firstLineChars="200"/>
              <w:rPr>
                <w:b/>
                <w:sz w:val="24"/>
              </w:rPr>
            </w:pPr>
            <w:r>
              <w:rPr>
                <w:rFonts w:hint="eastAsia"/>
                <w:sz w:val="24"/>
              </w:rPr>
              <w:t>项目道路工程仅为路面维修及绿化，不增加交通量。广场工程建成运营后自身不产生污染物，主要为周围居民娱乐活动产生的生活垃圾及噪声。照明工程建成运行后自身不产生污染物。给排水工程建成运行后自身不产生污染物，只是定期清理管道淤泥。</w:t>
            </w:r>
          </w:p>
          <w:p>
            <w:pPr>
              <w:adjustRightInd w:val="0"/>
              <w:snapToGrid w:val="0"/>
              <w:spacing w:line="360" w:lineRule="auto"/>
              <w:ind w:firstLine="482" w:firstLineChars="200"/>
              <w:rPr>
                <w:b/>
                <w:sz w:val="24"/>
              </w:rPr>
            </w:pPr>
            <w:r>
              <w:rPr>
                <w:rFonts w:hint="eastAsia"/>
                <w:b/>
                <w:sz w:val="24"/>
              </w:rPr>
              <w:t>1、废气</w:t>
            </w:r>
          </w:p>
          <w:p>
            <w:pPr>
              <w:adjustRightInd w:val="0"/>
              <w:snapToGrid w:val="0"/>
              <w:spacing w:line="360" w:lineRule="auto"/>
              <w:ind w:firstLine="480" w:firstLineChars="200"/>
              <w:rPr>
                <w:sz w:val="24"/>
              </w:rPr>
            </w:pPr>
            <w:r>
              <w:rPr>
                <w:rFonts w:hint="eastAsia"/>
                <w:sz w:val="24"/>
              </w:rPr>
              <w:t>拟建项目废气主要为污水站各处理单元处理系统逸出的恶臭、道路汽车尾气及扬尘。</w:t>
            </w:r>
          </w:p>
          <w:p>
            <w:pPr>
              <w:adjustRightInd w:val="0"/>
              <w:snapToGrid w:val="0"/>
              <w:spacing w:line="360" w:lineRule="auto"/>
              <w:ind w:firstLine="480" w:firstLineChars="200"/>
              <w:rPr>
                <w:sz w:val="24"/>
              </w:rPr>
            </w:pPr>
            <w:r>
              <w:rPr>
                <w:rFonts w:hint="eastAsia"/>
                <w:sz w:val="24"/>
              </w:rPr>
              <w:t>（1）恶臭</w:t>
            </w:r>
          </w:p>
          <w:p>
            <w:pPr>
              <w:adjustRightInd w:val="0"/>
              <w:snapToGrid w:val="0"/>
              <w:spacing w:line="360" w:lineRule="auto"/>
              <w:ind w:firstLine="480" w:firstLineChars="200"/>
              <w:rPr>
                <w:sz w:val="24"/>
              </w:rPr>
            </w:pPr>
            <w:r>
              <w:rPr>
                <w:rFonts w:hint="eastAsia"/>
                <w:sz w:val="24"/>
              </w:rPr>
              <w:t>拟建项目污水站废气主要为各处理单元系统逸出的恶臭。</w:t>
            </w:r>
          </w:p>
          <w:p>
            <w:pPr>
              <w:adjustRightInd w:val="0"/>
              <w:snapToGrid w:val="0"/>
              <w:spacing w:line="360" w:lineRule="auto"/>
              <w:ind w:firstLine="480" w:firstLineChars="200"/>
              <w:rPr>
                <w:sz w:val="24"/>
              </w:rPr>
            </w:pPr>
            <w:r>
              <w:rPr>
                <w:sz w:val="24"/>
              </w:rPr>
              <w:t>恶臭是城市污水处理</w:t>
            </w:r>
            <w:r>
              <w:rPr>
                <w:rFonts w:hint="eastAsia"/>
                <w:sz w:val="24"/>
              </w:rPr>
              <w:t>厂</w:t>
            </w:r>
            <w:r>
              <w:rPr>
                <w:sz w:val="24"/>
              </w:rPr>
              <w:t>的主要大气污染物。污水中异味气体的产生，来自污水中大量污染物相互物理化学作用。比如，有机物中含有氮、磷或硫，在缺氧的情况下，有机物分解会产生H</w:t>
            </w:r>
            <w:r>
              <w:rPr>
                <w:sz w:val="24"/>
                <w:vertAlign w:val="subscript"/>
              </w:rPr>
              <w:t>2</w:t>
            </w:r>
            <w:r>
              <w:rPr>
                <w:sz w:val="24"/>
              </w:rPr>
              <w:t>S、NH</w:t>
            </w:r>
            <w:r>
              <w:rPr>
                <w:sz w:val="24"/>
                <w:vertAlign w:val="subscript"/>
              </w:rPr>
              <w:t>3</w:t>
            </w:r>
            <w:r>
              <w:rPr>
                <w:sz w:val="24"/>
              </w:rPr>
              <w:t>等气体，这些气体逸出后会使人感到难闻的恶臭。在城市污水处理</w:t>
            </w:r>
            <w:r>
              <w:rPr>
                <w:rFonts w:hint="eastAsia"/>
                <w:sz w:val="24"/>
              </w:rPr>
              <w:t>厂</w:t>
            </w:r>
            <w:r>
              <w:rPr>
                <w:sz w:val="24"/>
              </w:rPr>
              <w:t>区周围形成特有的臭味，弥漫于污水</w:t>
            </w:r>
            <w:r>
              <w:rPr>
                <w:rFonts w:hint="eastAsia"/>
                <w:sz w:val="24"/>
              </w:rPr>
              <w:t>厂</w:t>
            </w:r>
            <w:r>
              <w:rPr>
                <w:sz w:val="24"/>
              </w:rPr>
              <w:t>区周围，之后随风由近而远向下风向扩散。浓度随扩散距离的增加而逐渐被稀释降低，最后在大气自净作用下消失。</w:t>
            </w:r>
          </w:p>
          <w:p>
            <w:pPr>
              <w:adjustRightInd w:val="0"/>
              <w:snapToGrid w:val="0"/>
              <w:spacing w:line="360" w:lineRule="auto"/>
              <w:ind w:firstLine="480" w:firstLineChars="200"/>
              <w:rPr>
                <w:sz w:val="24"/>
              </w:rPr>
            </w:pPr>
            <w:r>
              <w:rPr>
                <w:rFonts w:hint="eastAsia"/>
                <w:sz w:val="24"/>
              </w:rPr>
              <w:t>恶臭是大气、水、废弃物等物质中的异味通过空气介质，作用于人的嗅觉而被感知的一种嗅觉污染。用嗅觉感觉出来的臭气强度，最常用的也是最基本的“阈值”来表示。所谓嗅觉阈值就是人所能嗅觉到某种物质的最小刺激量。恶臭强度是以臭味的嗅觉值为基准划分等级的，恶臭强度划分为6级，详见表37。</w:t>
            </w:r>
          </w:p>
          <w:p>
            <w:pPr>
              <w:adjustRightInd w:val="0"/>
              <w:snapToGrid w:val="0"/>
              <w:spacing w:line="360" w:lineRule="auto"/>
              <w:ind w:firstLine="422" w:firstLineChars="200"/>
              <w:jc w:val="center"/>
              <w:rPr>
                <w:b/>
                <w:szCs w:val="21"/>
              </w:rPr>
            </w:pPr>
            <w:r>
              <w:rPr>
                <w:rFonts w:hint="eastAsia"/>
                <w:b/>
                <w:szCs w:val="21"/>
              </w:rPr>
              <w:t>表37     恶臭强度等级划分</w:t>
            </w:r>
          </w:p>
          <w:tbl>
            <w:tblPr>
              <w:tblStyle w:val="36"/>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92"/>
              <w:gridCol w:w="70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892" w:type="dxa"/>
                  <w:vAlign w:val="center"/>
                </w:tcPr>
                <w:p>
                  <w:pPr>
                    <w:jc w:val="center"/>
                    <w:rPr>
                      <w:b/>
                      <w:szCs w:val="21"/>
                    </w:rPr>
                  </w:pPr>
                  <w:r>
                    <w:rPr>
                      <w:b/>
                      <w:szCs w:val="21"/>
                    </w:rPr>
                    <w:t>强度分类</w:t>
                  </w:r>
                </w:p>
              </w:tc>
              <w:tc>
                <w:tcPr>
                  <w:tcW w:w="7009" w:type="dxa"/>
                  <w:vAlign w:val="center"/>
                </w:tcPr>
                <w:p>
                  <w:pPr>
                    <w:jc w:val="center"/>
                    <w:rPr>
                      <w:b/>
                      <w:szCs w:val="21"/>
                    </w:rPr>
                  </w:pPr>
                  <w:r>
                    <w:rPr>
                      <w:rFonts w:hint="eastAsia"/>
                      <w:b/>
                      <w:szCs w:val="21"/>
                    </w:rPr>
                    <w:t>臭气感觉程度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892" w:type="dxa"/>
                  <w:vAlign w:val="center"/>
                </w:tcPr>
                <w:p>
                  <w:pPr>
                    <w:jc w:val="center"/>
                    <w:rPr>
                      <w:szCs w:val="21"/>
                    </w:rPr>
                  </w:pPr>
                  <w:r>
                    <w:rPr>
                      <w:rFonts w:hint="eastAsia"/>
                      <w:szCs w:val="21"/>
                    </w:rPr>
                    <w:t>0</w:t>
                  </w:r>
                </w:p>
              </w:tc>
              <w:tc>
                <w:tcPr>
                  <w:tcW w:w="7009" w:type="dxa"/>
                  <w:vAlign w:val="center"/>
                </w:tcPr>
                <w:p>
                  <w:pPr>
                    <w:jc w:val="center"/>
                    <w:rPr>
                      <w:szCs w:val="21"/>
                    </w:rPr>
                  </w:pPr>
                  <w:r>
                    <w:rPr>
                      <w:rFonts w:hint="eastAsia"/>
                      <w:szCs w:val="21"/>
                    </w:rPr>
                    <w:t>未闻到任何气味，无反应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892" w:type="dxa"/>
                  <w:vAlign w:val="center"/>
                </w:tcPr>
                <w:p>
                  <w:pPr>
                    <w:jc w:val="center"/>
                    <w:rPr>
                      <w:szCs w:val="21"/>
                    </w:rPr>
                  </w:pPr>
                  <w:r>
                    <w:rPr>
                      <w:rFonts w:hint="eastAsia"/>
                      <w:szCs w:val="21"/>
                    </w:rPr>
                    <w:t>1</w:t>
                  </w:r>
                </w:p>
              </w:tc>
              <w:tc>
                <w:tcPr>
                  <w:tcW w:w="7009" w:type="dxa"/>
                  <w:vAlign w:val="center"/>
                </w:tcPr>
                <w:p>
                  <w:pPr>
                    <w:jc w:val="center"/>
                    <w:rPr>
                      <w:szCs w:val="21"/>
                    </w:rPr>
                  </w:pPr>
                  <w:r>
                    <w:rPr>
                      <w:rFonts w:hint="eastAsia"/>
                      <w:szCs w:val="21"/>
                    </w:rPr>
                    <w:t>勉强感觉到气味，检知阈值浓度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892" w:type="dxa"/>
                  <w:vAlign w:val="center"/>
                </w:tcPr>
                <w:p>
                  <w:pPr>
                    <w:jc w:val="center"/>
                    <w:rPr>
                      <w:szCs w:val="21"/>
                    </w:rPr>
                  </w:pPr>
                  <w:r>
                    <w:rPr>
                      <w:rFonts w:hint="eastAsia"/>
                      <w:szCs w:val="21"/>
                    </w:rPr>
                    <w:t>2</w:t>
                  </w:r>
                </w:p>
              </w:tc>
              <w:tc>
                <w:tcPr>
                  <w:tcW w:w="7009" w:type="dxa"/>
                  <w:vAlign w:val="center"/>
                </w:tcPr>
                <w:p>
                  <w:pPr>
                    <w:jc w:val="center"/>
                    <w:rPr>
                      <w:szCs w:val="21"/>
                    </w:rPr>
                  </w:pPr>
                  <w:r>
                    <w:rPr>
                      <w:rFonts w:hint="eastAsia"/>
                      <w:szCs w:val="21"/>
                    </w:rPr>
                    <w:t>能够确定气味性质的较弱气体，确定阈值浓度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892" w:type="dxa"/>
                  <w:vAlign w:val="center"/>
                </w:tcPr>
                <w:p>
                  <w:pPr>
                    <w:jc w:val="center"/>
                    <w:rPr>
                      <w:szCs w:val="21"/>
                    </w:rPr>
                  </w:pPr>
                  <w:r>
                    <w:rPr>
                      <w:rFonts w:hint="eastAsia"/>
                      <w:szCs w:val="21"/>
                    </w:rPr>
                    <w:t>3</w:t>
                  </w:r>
                </w:p>
              </w:tc>
              <w:tc>
                <w:tcPr>
                  <w:tcW w:w="7009" w:type="dxa"/>
                  <w:vAlign w:val="center"/>
                </w:tcPr>
                <w:p>
                  <w:pPr>
                    <w:jc w:val="center"/>
                    <w:rPr>
                      <w:szCs w:val="21"/>
                    </w:rPr>
                  </w:pPr>
                  <w:r>
                    <w:rPr>
                      <w:rFonts w:hint="eastAsia"/>
                      <w:szCs w:val="21"/>
                    </w:rPr>
                    <w:t>易闻到有明显气味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892" w:type="dxa"/>
                  <w:vAlign w:val="center"/>
                </w:tcPr>
                <w:p>
                  <w:pPr>
                    <w:jc w:val="center"/>
                    <w:rPr>
                      <w:szCs w:val="21"/>
                    </w:rPr>
                  </w:pPr>
                  <w:r>
                    <w:rPr>
                      <w:rFonts w:hint="eastAsia"/>
                      <w:szCs w:val="21"/>
                    </w:rPr>
                    <w:t>4</w:t>
                  </w:r>
                </w:p>
              </w:tc>
              <w:tc>
                <w:tcPr>
                  <w:tcW w:w="7009" w:type="dxa"/>
                  <w:vAlign w:val="center"/>
                </w:tcPr>
                <w:p>
                  <w:pPr>
                    <w:jc w:val="center"/>
                    <w:rPr>
                      <w:szCs w:val="21"/>
                    </w:rPr>
                  </w:pPr>
                  <w:r>
                    <w:rPr>
                      <w:rFonts w:hint="eastAsia"/>
                      <w:szCs w:val="21"/>
                    </w:rPr>
                    <w:t>有很强的气味，很反感，想离开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892" w:type="dxa"/>
                  <w:vAlign w:val="center"/>
                </w:tcPr>
                <w:p>
                  <w:pPr>
                    <w:jc w:val="center"/>
                    <w:rPr>
                      <w:szCs w:val="21"/>
                    </w:rPr>
                  </w:pPr>
                  <w:r>
                    <w:rPr>
                      <w:rFonts w:hint="eastAsia"/>
                      <w:szCs w:val="21"/>
                    </w:rPr>
                    <w:t>5</w:t>
                  </w:r>
                </w:p>
              </w:tc>
              <w:tc>
                <w:tcPr>
                  <w:tcW w:w="7009" w:type="dxa"/>
                  <w:vAlign w:val="center"/>
                </w:tcPr>
                <w:p>
                  <w:pPr>
                    <w:jc w:val="center"/>
                    <w:rPr>
                      <w:szCs w:val="21"/>
                    </w:rPr>
                  </w:pPr>
                  <w:r>
                    <w:rPr>
                      <w:rFonts w:hint="eastAsia"/>
                      <w:szCs w:val="21"/>
                    </w:rPr>
                    <w:t>有极强的气味，无法忍受，立即离开</w:t>
                  </w:r>
                </w:p>
              </w:tc>
            </w:tr>
          </w:tbl>
          <w:p>
            <w:pPr>
              <w:adjustRightInd w:val="0"/>
              <w:snapToGrid w:val="0"/>
              <w:spacing w:line="360" w:lineRule="auto"/>
              <w:ind w:firstLine="480" w:firstLineChars="200"/>
              <w:rPr>
                <w:sz w:val="24"/>
              </w:rPr>
            </w:pPr>
            <w:r>
              <w:rPr>
                <w:rFonts w:hint="eastAsia"/>
                <w:sz w:val="24"/>
              </w:rPr>
              <w:t>恶臭气体来自氧化处理过程中的腐化污水和污泥由微生物分解有机物产生的还原性恶臭物质，通过表面散发进入大气环境，其排放方式为无组织面源排放。由于恶臭物质的成分复杂，按现有监测手段，主要考虑H</w:t>
            </w:r>
            <w:r>
              <w:rPr>
                <w:rFonts w:hint="eastAsia"/>
                <w:sz w:val="24"/>
                <w:vertAlign w:val="subscript"/>
              </w:rPr>
              <w:t>2</w:t>
            </w:r>
            <w:r>
              <w:rPr>
                <w:rFonts w:hint="eastAsia"/>
                <w:sz w:val="24"/>
              </w:rPr>
              <w:t>S、NH</w:t>
            </w:r>
            <w:r>
              <w:rPr>
                <w:rFonts w:hint="eastAsia"/>
                <w:sz w:val="24"/>
                <w:vertAlign w:val="subscript"/>
              </w:rPr>
              <w:t>3</w:t>
            </w:r>
            <w:r>
              <w:rPr>
                <w:rFonts w:hint="eastAsia"/>
                <w:sz w:val="24"/>
              </w:rPr>
              <w:t>。根据美国EPA（环境保护署）对污水处理厂恶臭污染物产生情况的研究，每去除1g的BOD</w:t>
            </w:r>
            <w:r>
              <w:rPr>
                <w:rFonts w:hint="eastAsia"/>
                <w:sz w:val="24"/>
                <w:vertAlign w:val="subscript"/>
              </w:rPr>
              <w:t>5</w:t>
            </w:r>
            <w:r>
              <w:rPr>
                <w:rFonts w:hint="eastAsia"/>
                <w:sz w:val="24"/>
              </w:rPr>
              <w:t>可产生0.0031g的NH</w:t>
            </w:r>
            <w:r>
              <w:rPr>
                <w:rFonts w:hint="eastAsia"/>
                <w:sz w:val="24"/>
                <w:vertAlign w:val="subscript"/>
              </w:rPr>
              <w:t>3</w:t>
            </w:r>
            <w:r>
              <w:rPr>
                <w:rFonts w:hint="eastAsia"/>
                <w:sz w:val="24"/>
              </w:rPr>
              <w:t>、0.00012g的H</w:t>
            </w:r>
            <w:r>
              <w:rPr>
                <w:rFonts w:hint="eastAsia"/>
                <w:sz w:val="24"/>
                <w:vertAlign w:val="subscript"/>
              </w:rPr>
              <w:t>2</w:t>
            </w:r>
            <w:r>
              <w:rPr>
                <w:rFonts w:hint="eastAsia"/>
                <w:sz w:val="24"/>
              </w:rPr>
              <w:t>S。本项目污水处理站BOD</w:t>
            </w:r>
            <w:r>
              <w:rPr>
                <w:rFonts w:hint="eastAsia"/>
                <w:sz w:val="24"/>
                <w:vertAlign w:val="subscript"/>
              </w:rPr>
              <w:t>5</w:t>
            </w:r>
            <w:r>
              <w:rPr>
                <w:rFonts w:hint="eastAsia"/>
                <w:sz w:val="24"/>
              </w:rPr>
              <w:t>削减量为4.745t，本项目运营期大气污染物产生量NH</w:t>
            </w:r>
            <w:r>
              <w:rPr>
                <w:rFonts w:hint="eastAsia"/>
                <w:sz w:val="24"/>
                <w:vertAlign w:val="subscript"/>
              </w:rPr>
              <w:t>3</w:t>
            </w:r>
            <w:r>
              <w:rPr>
                <w:rFonts w:hint="eastAsia"/>
                <w:sz w:val="24"/>
              </w:rPr>
              <w:t>为14.7kg/a，H</w:t>
            </w:r>
            <w:r>
              <w:rPr>
                <w:rFonts w:hint="eastAsia"/>
                <w:sz w:val="24"/>
                <w:vertAlign w:val="subscript"/>
              </w:rPr>
              <w:t>2</w:t>
            </w:r>
            <w:r>
              <w:rPr>
                <w:rFonts w:hint="eastAsia"/>
                <w:sz w:val="24"/>
              </w:rPr>
              <w:t>S为0.57kg/a。</w:t>
            </w:r>
          </w:p>
          <w:p>
            <w:pPr>
              <w:adjustRightInd w:val="0"/>
              <w:snapToGrid w:val="0"/>
              <w:spacing w:line="360" w:lineRule="auto"/>
              <w:ind w:firstLine="480" w:firstLineChars="200"/>
              <w:rPr>
                <w:sz w:val="24"/>
              </w:rPr>
            </w:pPr>
            <w:r>
              <w:rPr>
                <w:rFonts w:hint="eastAsia"/>
                <w:sz w:val="24"/>
              </w:rPr>
              <w:t>目前乡镇污水处理站恶臭气体主要通过优化布局及对污水处理构筑物加盖封闭等方式进行处理。</w:t>
            </w:r>
          </w:p>
          <w:p>
            <w:pPr>
              <w:adjustRightInd w:val="0"/>
              <w:snapToGrid w:val="0"/>
              <w:spacing w:line="360" w:lineRule="auto"/>
              <w:ind w:firstLine="480" w:firstLineChars="200"/>
              <w:rPr>
                <w:sz w:val="24"/>
              </w:rPr>
            </w:pPr>
            <w:r>
              <w:rPr>
                <w:rFonts w:hint="eastAsia"/>
                <w:sz w:val="24"/>
              </w:rPr>
              <w:t>本项目污水处理站规模为100m</w:t>
            </w:r>
            <w:r>
              <w:rPr>
                <w:rFonts w:hint="eastAsia"/>
                <w:sz w:val="24"/>
                <w:vertAlign w:val="superscript"/>
              </w:rPr>
              <w:t>3</w:t>
            </w:r>
            <w:r>
              <w:rPr>
                <w:rFonts w:hint="eastAsia"/>
                <w:sz w:val="24"/>
              </w:rPr>
              <w:t>/d，占地面积为240m</w:t>
            </w:r>
            <w:r>
              <w:rPr>
                <w:rFonts w:hint="eastAsia"/>
                <w:sz w:val="24"/>
                <w:vertAlign w:val="superscript"/>
              </w:rPr>
              <w:t>2</w:t>
            </w:r>
            <w:r>
              <w:rPr>
                <w:rFonts w:hint="eastAsia"/>
                <w:sz w:val="24"/>
              </w:rPr>
              <w:t>，年运行8760h。项目采用加盖、密封措施，废气逸出量以10%计，排放高度以1.5m计，则NH</w:t>
            </w:r>
            <w:r>
              <w:rPr>
                <w:rFonts w:hint="eastAsia"/>
                <w:sz w:val="24"/>
                <w:vertAlign w:val="subscript"/>
              </w:rPr>
              <w:t>3</w:t>
            </w:r>
            <w:r>
              <w:rPr>
                <w:rFonts w:hint="eastAsia"/>
                <w:sz w:val="24"/>
              </w:rPr>
              <w:t>和H</w:t>
            </w:r>
            <w:r>
              <w:rPr>
                <w:rFonts w:hint="eastAsia"/>
                <w:sz w:val="24"/>
                <w:vertAlign w:val="subscript"/>
              </w:rPr>
              <w:t>2</w:t>
            </w:r>
            <w:r>
              <w:rPr>
                <w:rFonts w:hint="eastAsia"/>
                <w:sz w:val="24"/>
              </w:rPr>
              <w:t>S排放浓度分别为0.47</w:t>
            </w:r>
            <w:r>
              <w:rPr>
                <w:bCs/>
                <w:sz w:val="24"/>
              </w:rPr>
              <w:t>mg/m</w:t>
            </w:r>
            <w:r>
              <w:rPr>
                <w:bCs/>
                <w:sz w:val="24"/>
                <w:vertAlign w:val="superscript"/>
              </w:rPr>
              <w:t>3</w:t>
            </w:r>
            <w:r>
              <w:rPr>
                <w:rFonts w:hint="eastAsia"/>
                <w:sz w:val="24"/>
              </w:rPr>
              <w:t>、0.018</w:t>
            </w:r>
            <w:r>
              <w:rPr>
                <w:bCs/>
                <w:sz w:val="24"/>
              </w:rPr>
              <w:t>mg/m</w:t>
            </w:r>
            <w:r>
              <w:rPr>
                <w:bCs/>
                <w:sz w:val="24"/>
                <w:vertAlign w:val="superscript"/>
              </w:rPr>
              <w:t>3</w:t>
            </w:r>
            <w:r>
              <w:rPr>
                <w:rFonts w:hint="eastAsia"/>
                <w:bCs/>
                <w:sz w:val="24"/>
              </w:rPr>
              <w:t>，低于</w:t>
            </w:r>
            <w:r>
              <w:rPr>
                <w:bCs/>
                <w:sz w:val="24"/>
              </w:rPr>
              <w:t>《城镇污水处理厂污染物排放标准》（GB18918-2002）中表4排放标准</w:t>
            </w:r>
            <w:r>
              <w:rPr>
                <w:rFonts w:hint="eastAsia"/>
                <w:bCs/>
                <w:sz w:val="24"/>
              </w:rPr>
              <w:t>要求。</w:t>
            </w:r>
          </w:p>
          <w:p>
            <w:pPr>
              <w:adjustRightInd w:val="0"/>
              <w:snapToGrid w:val="0"/>
              <w:spacing w:line="360" w:lineRule="auto"/>
              <w:ind w:firstLine="480" w:firstLineChars="200"/>
              <w:rPr>
                <w:sz w:val="24"/>
              </w:rPr>
            </w:pPr>
            <w:r>
              <w:rPr>
                <w:rFonts w:hint="eastAsia"/>
                <w:sz w:val="24"/>
              </w:rPr>
              <w:t>（2）道路汽车尾气及扬尘</w:t>
            </w:r>
          </w:p>
          <w:p>
            <w:pPr>
              <w:adjustRightInd w:val="0"/>
              <w:snapToGrid w:val="0"/>
              <w:spacing w:line="360" w:lineRule="auto"/>
              <w:ind w:firstLine="480" w:firstLineChars="200"/>
              <w:rPr>
                <w:sz w:val="24"/>
              </w:rPr>
            </w:pPr>
            <w:r>
              <w:rPr>
                <w:rFonts w:hint="eastAsia"/>
                <w:sz w:val="24"/>
              </w:rPr>
              <w:t>道路汽车尾气及扬尘与车流量、车速、不同车型的耗油量及排放系数有关，</w:t>
            </w:r>
            <w:r>
              <w:rPr>
                <w:sz w:val="24"/>
              </w:rPr>
              <w:t>污染源源强随着交通量的增大而增加。</w:t>
            </w:r>
          </w:p>
          <w:p>
            <w:pPr>
              <w:spacing w:line="360" w:lineRule="auto"/>
              <w:ind w:firstLine="480"/>
              <w:rPr>
                <w:sz w:val="24"/>
              </w:rPr>
            </w:pPr>
            <w:r>
              <w:rPr>
                <w:sz w:val="24"/>
              </w:rPr>
              <w:t>汽车尾气污染物：主要源于曲轴箱漏气、燃油系数挥发和排气系统的排放，主要包括CO、NO</w:t>
            </w:r>
            <w:r>
              <w:rPr>
                <w:sz w:val="24"/>
                <w:vertAlign w:val="subscript"/>
              </w:rPr>
              <w:t>2</w:t>
            </w:r>
            <w:r>
              <w:rPr>
                <w:sz w:val="24"/>
              </w:rPr>
              <w:t>、NMHC。汽车尾气排出污染物浓度测定的平均结果见表</w:t>
            </w:r>
            <w:r>
              <w:rPr>
                <w:rFonts w:hint="eastAsia"/>
                <w:sz w:val="24"/>
              </w:rPr>
              <w:t>38</w:t>
            </w:r>
            <w:r>
              <w:rPr>
                <w:sz w:val="24"/>
              </w:rPr>
              <w:t>。</w:t>
            </w:r>
          </w:p>
          <w:p>
            <w:pPr>
              <w:adjustRightInd w:val="0"/>
              <w:snapToGrid w:val="0"/>
              <w:spacing w:line="360" w:lineRule="auto"/>
              <w:jc w:val="center"/>
              <w:rPr>
                <w:b/>
                <w:szCs w:val="21"/>
              </w:rPr>
            </w:pPr>
            <w:r>
              <w:rPr>
                <w:b/>
                <w:szCs w:val="21"/>
              </w:rPr>
              <w:t>表</w:t>
            </w:r>
            <w:r>
              <w:rPr>
                <w:rFonts w:hint="eastAsia"/>
                <w:b/>
                <w:szCs w:val="21"/>
              </w:rPr>
              <w:t>38</w:t>
            </w:r>
            <w:r>
              <w:rPr>
                <w:b/>
                <w:szCs w:val="21"/>
              </w:rPr>
              <w:t xml:space="preserve">   车辆尾气污染物排放情况</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57"/>
              <w:gridCol w:w="1729"/>
              <w:gridCol w:w="1043"/>
              <w:gridCol w:w="1043"/>
              <w:gridCol w:w="1043"/>
              <w:gridCol w:w="1043"/>
              <w:gridCol w:w="10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957"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污染物</w:t>
                  </w:r>
                </w:p>
              </w:tc>
              <w:tc>
                <w:tcPr>
                  <w:tcW w:w="1729"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浓度单位</w:t>
                  </w:r>
                </w:p>
              </w:tc>
              <w:tc>
                <w:tcPr>
                  <w:tcW w:w="1043"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空挡</w:t>
                  </w:r>
                </w:p>
              </w:tc>
              <w:tc>
                <w:tcPr>
                  <w:tcW w:w="1043"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低速</w:t>
                  </w:r>
                </w:p>
              </w:tc>
              <w:tc>
                <w:tcPr>
                  <w:tcW w:w="1043"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加速</w:t>
                  </w:r>
                </w:p>
              </w:tc>
              <w:tc>
                <w:tcPr>
                  <w:tcW w:w="1043"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定速</w:t>
                  </w:r>
                </w:p>
              </w:tc>
              <w:tc>
                <w:tcPr>
                  <w:tcW w:w="1043"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减速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957"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烃(己烷计)</w:t>
                  </w:r>
                </w:p>
              </w:tc>
              <w:tc>
                <w:tcPr>
                  <w:tcW w:w="1729"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ppm</w:t>
                  </w:r>
                </w:p>
              </w:tc>
              <w:tc>
                <w:tcPr>
                  <w:tcW w:w="104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800</w:t>
                  </w:r>
                </w:p>
              </w:tc>
              <w:tc>
                <w:tcPr>
                  <w:tcW w:w="104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670</w:t>
                  </w:r>
                </w:p>
              </w:tc>
              <w:tc>
                <w:tcPr>
                  <w:tcW w:w="104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540</w:t>
                  </w:r>
                </w:p>
              </w:tc>
              <w:tc>
                <w:tcPr>
                  <w:tcW w:w="104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485</w:t>
                  </w:r>
                </w:p>
              </w:tc>
              <w:tc>
                <w:tcPr>
                  <w:tcW w:w="104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5000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957"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NOx</w:t>
                  </w:r>
                </w:p>
              </w:tc>
              <w:tc>
                <w:tcPr>
                  <w:tcW w:w="1729"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ppm</w:t>
                  </w:r>
                </w:p>
              </w:tc>
              <w:tc>
                <w:tcPr>
                  <w:tcW w:w="104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23</w:t>
                  </w:r>
                </w:p>
              </w:tc>
              <w:tc>
                <w:tcPr>
                  <w:tcW w:w="104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191</w:t>
                  </w:r>
                </w:p>
              </w:tc>
              <w:tc>
                <w:tcPr>
                  <w:tcW w:w="104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543</w:t>
                  </w:r>
                </w:p>
              </w:tc>
              <w:tc>
                <w:tcPr>
                  <w:tcW w:w="104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1270</w:t>
                  </w:r>
                </w:p>
              </w:tc>
              <w:tc>
                <w:tcPr>
                  <w:tcW w:w="104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957"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CO</w:t>
                  </w:r>
                </w:p>
              </w:tc>
              <w:tc>
                <w:tcPr>
                  <w:tcW w:w="1729"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w:t>
                  </w:r>
                </w:p>
              </w:tc>
              <w:tc>
                <w:tcPr>
                  <w:tcW w:w="104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4.9</w:t>
                  </w:r>
                </w:p>
              </w:tc>
              <w:tc>
                <w:tcPr>
                  <w:tcW w:w="104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3.5</w:t>
                  </w:r>
                </w:p>
              </w:tc>
              <w:tc>
                <w:tcPr>
                  <w:tcW w:w="104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1.8</w:t>
                  </w:r>
                </w:p>
              </w:tc>
              <w:tc>
                <w:tcPr>
                  <w:tcW w:w="104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1.7</w:t>
                  </w:r>
                </w:p>
              </w:tc>
              <w:tc>
                <w:tcPr>
                  <w:tcW w:w="104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3.4</w:t>
                  </w:r>
                </w:p>
              </w:tc>
            </w:tr>
          </w:tbl>
          <w:p>
            <w:pPr>
              <w:adjustRightInd w:val="0"/>
              <w:snapToGrid w:val="0"/>
              <w:spacing w:line="360" w:lineRule="auto"/>
              <w:ind w:firstLine="480" w:firstLineChars="200"/>
              <w:rPr>
                <w:sz w:val="24"/>
              </w:rPr>
            </w:pPr>
            <w:r>
              <w:rPr>
                <w:rFonts w:hint="eastAsia"/>
                <w:sz w:val="24"/>
              </w:rPr>
              <w:t>扬尘：</w:t>
            </w:r>
            <w:r>
              <w:rPr>
                <w:sz w:val="24"/>
              </w:rPr>
              <w:t>行驶的汽车轮胎与地面的积尘接触，易产生扬尘污染。</w:t>
            </w:r>
          </w:p>
          <w:p>
            <w:pPr>
              <w:adjustRightInd w:val="0"/>
              <w:snapToGrid w:val="0"/>
              <w:spacing w:line="360" w:lineRule="auto"/>
              <w:ind w:firstLine="482" w:firstLineChars="200"/>
              <w:rPr>
                <w:b/>
                <w:sz w:val="24"/>
              </w:rPr>
            </w:pPr>
            <w:r>
              <w:rPr>
                <w:rFonts w:hint="eastAsia"/>
                <w:b/>
                <w:sz w:val="24"/>
              </w:rPr>
              <w:t>2、废水</w:t>
            </w:r>
          </w:p>
          <w:p>
            <w:pPr>
              <w:adjustRightInd w:val="0"/>
              <w:snapToGrid w:val="0"/>
              <w:spacing w:line="360" w:lineRule="auto"/>
              <w:ind w:firstLine="480" w:firstLineChars="200"/>
              <w:rPr>
                <w:sz w:val="24"/>
              </w:rPr>
            </w:pPr>
            <w:r>
              <w:rPr>
                <w:rFonts w:hint="eastAsia"/>
                <w:sz w:val="24"/>
              </w:rPr>
              <w:t>（1）污水站</w:t>
            </w:r>
          </w:p>
          <w:p>
            <w:pPr>
              <w:adjustRightInd w:val="0"/>
              <w:snapToGrid w:val="0"/>
              <w:spacing w:line="360" w:lineRule="auto"/>
              <w:ind w:firstLine="480" w:firstLineChars="200"/>
              <w:rPr>
                <w:sz w:val="24"/>
              </w:rPr>
            </w:pPr>
            <w:r>
              <w:rPr>
                <w:rFonts w:hint="eastAsia"/>
                <w:sz w:val="24"/>
              </w:rPr>
              <w:t>项目建设有污水站，其处理规模为100m</w:t>
            </w:r>
            <w:r>
              <w:rPr>
                <w:rFonts w:hint="eastAsia"/>
                <w:sz w:val="24"/>
                <w:vertAlign w:val="superscript"/>
              </w:rPr>
              <w:t>3</w:t>
            </w:r>
            <w:r>
              <w:rPr>
                <w:rFonts w:hint="eastAsia"/>
                <w:sz w:val="24"/>
              </w:rPr>
              <w:t>/d，污水经过处理后达到</w:t>
            </w:r>
            <w:r>
              <w:rPr>
                <w:sz w:val="24"/>
              </w:rPr>
              <w:t>《城镇污水处理厂污染物排放标准》（GB18918-2002）一</w:t>
            </w:r>
            <w:r>
              <w:rPr>
                <w:rFonts w:hint="eastAsia"/>
                <w:sz w:val="24"/>
              </w:rPr>
              <w:t>级A</w:t>
            </w:r>
            <w:r>
              <w:rPr>
                <w:sz w:val="24"/>
              </w:rPr>
              <w:t>标准后</w:t>
            </w:r>
            <w:r>
              <w:rPr>
                <w:rFonts w:hint="eastAsia"/>
                <w:sz w:val="24"/>
              </w:rPr>
              <w:t>排放</w:t>
            </w:r>
            <w:r>
              <w:rPr>
                <w:sz w:val="24"/>
              </w:rPr>
              <w:t>，主要污染物</w:t>
            </w:r>
            <w:r>
              <w:rPr>
                <w:rFonts w:hint="eastAsia"/>
                <w:sz w:val="24"/>
              </w:rPr>
              <w:t>产排</w:t>
            </w:r>
            <w:r>
              <w:rPr>
                <w:sz w:val="24"/>
              </w:rPr>
              <w:t>情况及削减量见表</w:t>
            </w:r>
            <w:r>
              <w:rPr>
                <w:rFonts w:hint="eastAsia"/>
                <w:sz w:val="24"/>
              </w:rPr>
              <w:t>39</w:t>
            </w:r>
            <w:r>
              <w:rPr>
                <w:sz w:val="24"/>
              </w:rPr>
              <w:t>。</w:t>
            </w:r>
          </w:p>
          <w:p>
            <w:pPr>
              <w:spacing w:line="460" w:lineRule="exact"/>
              <w:ind w:firstLine="422" w:firstLineChars="200"/>
              <w:jc w:val="center"/>
              <w:rPr>
                <w:b/>
                <w:szCs w:val="21"/>
              </w:rPr>
            </w:pPr>
            <w:r>
              <w:rPr>
                <w:b/>
                <w:szCs w:val="21"/>
              </w:rPr>
              <w:t>表</w:t>
            </w:r>
            <w:r>
              <w:rPr>
                <w:rFonts w:hint="eastAsia"/>
                <w:b/>
                <w:szCs w:val="21"/>
              </w:rPr>
              <w:t xml:space="preserve">39  </w:t>
            </w:r>
            <w:r>
              <w:rPr>
                <w:b/>
                <w:szCs w:val="21"/>
              </w:rPr>
              <w:t xml:space="preserve"> </w:t>
            </w:r>
            <w:r>
              <w:rPr>
                <w:rFonts w:hint="eastAsia"/>
                <w:b/>
                <w:szCs w:val="21"/>
              </w:rPr>
              <w:t>污水站</w:t>
            </w:r>
            <w:r>
              <w:rPr>
                <w:b/>
                <w:szCs w:val="21"/>
              </w:rPr>
              <w:t>主要污染物</w:t>
            </w:r>
            <w:r>
              <w:rPr>
                <w:rFonts w:hint="eastAsia"/>
                <w:b/>
                <w:szCs w:val="21"/>
              </w:rPr>
              <w:t>产排</w:t>
            </w:r>
            <w:r>
              <w:rPr>
                <w:b/>
                <w:szCs w:val="21"/>
              </w:rPr>
              <w:t>情况</w:t>
            </w:r>
          </w:p>
          <w:tbl>
            <w:tblPr>
              <w:tblStyle w:val="35"/>
              <w:tblW w:w="888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275"/>
              <w:gridCol w:w="975"/>
              <w:gridCol w:w="1286"/>
              <w:gridCol w:w="915"/>
              <w:gridCol w:w="1211"/>
              <w:gridCol w:w="996"/>
              <w:gridCol w:w="137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6" w:hRule="atLeast"/>
                <w:jc w:val="center"/>
              </w:trPr>
              <w:tc>
                <w:tcPr>
                  <w:tcW w:w="850" w:type="dxa"/>
                  <w:vMerge w:val="restart"/>
                  <w:vAlign w:val="center"/>
                </w:tcPr>
                <w:p>
                  <w:pPr>
                    <w:pStyle w:val="17"/>
                    <w:adjustRightInd w:val="0"/>
                    <w:snapToGrid w:val="0"/>
                    <w:jc w:val="center"/>
                    <w:rPr>
                      <w:rFonts w:ascii="Times New Roman" w:hAnsi="Times New Roman"/>
                      <w:b/>
                      <w:sz w:val="21"/>
                      <w:szCs w:val="21"/>
                    </w:rPr>
                  </w:pPr>
                  <w:r>
                    <w:rPr>
                      <w:rFonts w:ascii="Times New Roman" w:hAnsi="Times New Roman"/>
                      <w:b/>
                      <w:sz w:val="21"/>
                      <w:szCs w:val="21"/>
                    </w:rPr>
                    <w:t>项目</w:t>
                  </w:r>
                </w:p>
              </w:tc>
              <w:tc>
                <w:tcPr>
                  <w:tcW w:w="2250" w:type="dxa"/>
                  <w:gridSpan w:val="2"/>
                  <w:vAlign w:val="center"/>
                </w:tcPr>
                <w:p>
                  <w:pPr>
                    <w:pStyle w:val="17"/>
                    <w:adjustRightInd w:val="0"/>
                    <w:snapToGrid w:val="0"/>
                    <w:jc w:val="center"/>
                    <w:rPr>
                      <w:rFonts w:ascii="Times New Roman" w:hAnsi="Times New Roman"/>
                      <w:b/>
                      <w:sz w:val="21"/>
                      <w:szCs w:val="21"/>
                    </w:rPr>
                  </w:pPr>
                  <w:r>
                    <w:rPr>
                      <w:rFonts w:ascii="Times New Roman" w:hAnsi="Times New Roman"/>
                      <w:b/>
                      <w:sz w:val="21"/>
                      <w:szCs w:val="21"/>
                    </w:rPr>
                    <w:t>处理前</w:t>
                  </w:r>
                </w:p>
              </w:tc>
              <w:tc>
                <w:tcPr>
                  <w:tcW w:w="2201" w:type="dxa"/>
                  <w:gridSpan w:val="2"/>
                  <w:vAlign w:val="center"/>
                </w:tcPr>
                <w:p>
                  <w:pPr>
                    <w:pStyle w:val="17"/>
                    <w:adjustRightInd w:val="0"/>
                    <w:snapToGrid w:val="0"/>
                    <w:jc w:val="center"/>
                    <w:rPr>
                      <w:rFonts w:ascii="Times New Roman" w:hAnsi="Times New Roman"/>
                      <w:b/>
                      <w:sz w:val="21"/>
                      <w:szCs w:val="21"/>
                    </w:rPr>
                  </w:pPr>
                  <w:r>
                    <w:rPr>
                      <w:rFonts w:ascii="Times New Roman" w:hAnsi="Times New Roman"/>
                      <w:b/>
                      <w:sz w:val="21"/>
                      <w:szCs w:val="21"/>
                    </w:rPr>
                    <w:t>消减量</w:t>
                  </w:r>
                </w:p>
              </w:tc>
              <w:tc>
                <w:tcPr>
                  <w:tcW w:w="2207" w:type="dxa"/>
                  <w:gridSpan w:val="2"/>
                  <w:vAlign w:val="center"/>
                </w:tcPr>
                <w:p>
                  <w:pPr>
                    <w:pStyle w:val="17"/>
                    <w:adjustRightInd w:val="0"/>
                    <w:snapToGrid w:val="0"/>
                    <w:jc w:val="center"/>
                    <w:rPr>
                      <w:rFonts w:ascii="Times New Roman" w:hAnsi="Times New Roman"/>
                      <w:b/>
                      <w:sz w:val="21"/>
                      <w:szCs w:val="21"/>
                    </w:rPr>
                  </w:pPr>
                  <w:r>
                    <w:rPr>
                      <w:rFonts w:ascii="Times New Roman" w:hAnsi="Times New Roman"/>
                      <w:b/>
                      <w:sz w:val="21"/>
                      <w:szCs w:val="21"/>
                    </w:rPr>
                    <w:t>处理后</w:t>
                  </w:r>
                </w:p>
              </w:tc>
              <w:tc>
                <w:tcPr>
                  <w:tcW w:w="1373" w:type="dxa"/>
                  <w:vMerge w:val="restart"/>
                  <w:vAlign w:val="center"/>
                </w:tcPr>
                <w:p>
                  <w:pPr>
                    <w:pStyle w:val="17"/>
                    <w:adjustRightInd w:val="0"/>
                    <w:snapToGrid w:val="0"/>
                    <w:jc w:val="center"/>
                    <w:rPr>
                      <w:rFonts w:ascii="Times New Roman" w:hAnsi="Times New Roman"/>
                      <w:b/>
                      <w:sz w:val="21"/>
                      <w:szCs w:val="21"/>
                    </w:rPr>
                  </w:pPr>
                  <w:r>
                    <w:rPr>
                      <w:rFonts w:ascii="Times New Roman" w:hAnsi="Times New Roman"/>
                      <w:b/>
                      <w:sz w:val="21"/>
                      <w:szCs w:val="21"/>
                    </w:rPr>
                    <w:t>去除率（%）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94" w:hRule="atLeast"/>
                <w:jc w:val="center"/>
              </w:trPr>
              <w:tc>
                <w:tcPr>
                  <w:tcW w:w="850" w:type="dxa"/>
                  <w:vMerge w:val="continue"/>
                  <w:vAlign w:val="center"/>
                </w:tcPr>
                <w:p>
                  <w:pPr>
                    <w:pStyle w:val="17"/>
                    <w:adjustRightInd w:val="0"/>
                    <w:snapToGrid w:val="0"/>
                    <w:jc w:val="center"/>
                    <w:rPr>
                      <w:rFonts w:ascii="Times New Roman" w:hAnsi="Times New Roman"/>
                      <w:b/>
                      <w:sz w:val="21"/>
                      <w:szCs w:val="21"/>
                    </w:rPr>
                  </w:pPr>
                </w:p>
              </w:tc>
              <w:tc>
                <w:tcPr>
                  <w:tcW w:w="1275" w:type="dxa"/>
                  <w:vAlign w:val="center"/>
                </w:tcPr>
                <w:p>
                  <w:pPr>
                    <w:pStyle w:val="17"/>
                    <w:adjustRightInd w:val="0"/>
                    <w:snapToGrid w:val="0"/>
                    <w:jc w:val="center"/>
                    <w:rPr>
                      <w:rFonts w:ascii="Times New Roman" w:hAnsi="Times New Roman"/>
                      <w:b/>
                      <w:sz w:val="21"/>
                      <w:szCs w:val="21"/>
                    </w:rPr>
                  </w:pPr>
                  <w:r>
                    <w:rPr>
                      <w:rFonts w:ascii="Times New Roman" w:hAnsi="Times New Roman"/>
                      <w:b/>
                      <w:sz w:val="21"/>
                      <w:szCs w:val="21"/>
                    </w:rPr>
                    <w:t>浓度mg/L</w:t>
                  </w:r>
                </w:p>
              </w:tc>
              <w:tc>
                <w:tcPr>
                  <w:tcW w:w="975" w:type="dxa"/>
                  <w:vAlign w:val="center"/>
                </w:tcPr>
                <w:p>
                  <w:pPr>
                    <w:pStyle w:val="17"/>
                    <w:adjustRightInd w:val="0"/>
                    <w:snapToGrid w:val="0"/>
                    <w:jc w:val="center"/>
                    <w:rPr>
                      <w:rFonts w:ascii="Times New Roman" w:hAnsi="Times New Roman"/>
                      <w:b/>
                      <w:sz w:val="21"/>
                      <w:szCs w:val="21"/>
                    </w:rPr>
                  </w:pPr>
                  <w:r>
                    <w:rPr>
                      <w:rFonts w:ascii="Times New Roman" w:hAnsi="Times New Roman"/>
                      <w:b/>
                      <w:sz w:val="21"/>
                      <w:szCs w:val="21"/>
                    </w:rPr>
                    <w:t>量t/a</w:t>
                  </w:r>
                </w:p>
              </w:tc>
              <w:tc>
                <w:tcPr>
                  <w:tcW w:w="1286" w:type="dxa"/>
                  <w:vAlign w:val="center"/>
                </w:tcPr>
                <w:p>
                  <w:pPr>
                    <w:pStyle w:val="17"/>
                    <w:adjustRightInd w:val="0"/>
                    <w:snapToGrid w:val="0"/>
                    <w:jc w:val="center"/>
                    <w:rPr>
                      <w:rFonts w:ascii="Times New Roman" w:hAnsi="Times New Roman"/>
                      <w:b/>
                      <w:sz w:val="21"/>
                      <w:szCs w:val="21"/>
                    </w:rPr>
                  </w:pPr>
                  <w:r>
                    <w:rPr>
                      <w:rFonts w:ascii="Times New Roman" w:hAnsi="Times New Roman"/>
                      <w:b/>
                      <w:sz w:val="21"/>
                      <w:szCs w:val="21"/>
                    </w:rPr>
                    <w:t>浓度mg/L</w:t>
                  </w:r>
                </w:p>
              </w:tc>
              <w:tc>
                <w:tcPr>
                  <w:tcW w:w="915" w:type="dxa"/>
                  <w:vAlign w:val="center"/>
                </w:tcPr>
                <w:p>
                  <w:pPr>
                    <w:pStyle w:val="17"/>
                    <w:adjustRightInd w:val="0"/>
                    <w:snapToGrid w:val="0"/>
                    <w:jc w:val="center"/>
                    <w:rPr>
                      <w:rFonts w:ascii="Times New Roman" w:hAnsi="Times New Roman"/>
                      <w:b/>
                      <w:sz w:val="21"/>
                      <w:szCs w:val="21"/>
                    </w:rPr>
                  </w:pPr>
                  <w:r>
                    <w:rPr>
                      <w:rFonts w:ascii="Times New Roman" w:hAnsi="Times New Roman"/>
                      <w:b/>
                      <w:sz w:val="21"/>
                      <w:szCs w:val="21"/>
                    </w:rPr>
                    <w:t>量t/a</w:t>
                  </w:r>
                </w:p>
              </w:tc>
              <w:tc>
                <w:tcPr>
                  <w:tcW w:w="1211" w:type="dxa"/>
                  <w:vAlign w:val="center"/>
                </w:tcPr>
                <w:p>
                  <w:pPr>
                    <w:pStyle w:val="17"/>
                    <w:adjustRightInd w:val="0"/>
                    <w:snapToGrid w:val="0"/>
                    <w:jc w:val="center"/>
                    <w:rPr>
                      <w:rFonts w:ascii="Times New Roman" w:hAnsi="Times New Roman"/>
                      <w:b/>
                      <w:sz w:val="21"/>
                      <w:szCs w:val="21"/>
                    </w:rPr>
                  </w:pPr>
                  <w:r>
                    <w:rPr>
                      <w:rFonts w:ascii="Times New Roman" w:hAnsi="Times New Roman"/>
                      <w:b/>
                      <w:sz w:val="21"/>
                      <w:szCs w:val="21"/>
                    </w:rPr>
                    <w:t>浓度mg/L</w:t>
                  </w:r>
                </w:p>
              </w:tc>
              <w:tc>
                <w:tcPr>
                  <w:tcW w:w="996" w:type="dxa"/>
                  <w:vAlign w:val="center"/>
                </w:tcPr>
                <w:p>
                  <w:pPr>
                    <w:pStyle w:val="17"/>
                    <w:adjustRightInd w:val="0"/>
                    <w:snapToGrid w:val="0"/>
                    <w:jc w:val="center"/>
                    <w:rPr>
                      <w:rFonts w:ascii="Times New Roman" w:hAnsi="Times New Roman"/>
                      <w:b/>
                      <w:sz w:val="21"/>
                      <w:szCs w:val="21"/>
                    </w:rPr>
                  </w:pPr>
                  <w:r>
                    <w:rPr>
                      <w:rFonts w:ascii="Times New Roman" w:hAnsi="Times New Roman"/>
                      <w:b/>
                      <w:sz w:val="21"/>
                      <w:szCs w:val="21"/>
                    </w:rPr>
                    <w:t>量t/a</w:t>
                  </w:r>
                </w:p>
              </w:tc>
              <w:tc>
                <w:tcPr>
                  <w:tcW w:w="1373" w:type="dxa"/>
                  <w:vMerge w:val="continue"/>
                  <w:vAlign w:val="center"/>
                </w:tcPr>
                <w:p>
                  <w:pPr>
                    <w:pStyle w:val="17"/>
                    <w:adjustRightInd w:val="0"/>
                    <w:snapToGrid w:val="0"/>
                    <w:jc w:val="center"/>
                    <w:rPr>
                      <w:rFonts w:ascii="Times New Roman" w:hAnsi="Times New Roman"/>
                      <w:b/>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02" w:hRule="atLeast"/>
                <w:jc w:val="center"/>
              </w:trPr>
              <w:tc>
                <w:tcPr>
                  <w:tcW w:w="850" w:type="dxa"/>
                  <w:vAlign w:val="center"/>
                </w:tcPr>
                <w:p>
                  <w:pPr>
                    <w:pStyle w:val="17"/>
                    <w:adjustRightInd w:val="0"/>
                    <w:snapToGrid w:val="0"/>
                    <w:jc w:val="center"/>
                    <w:rPr>
                      <w:rFonts w:ascii="Times New Roman" w:hAnsi="Times New Roman"/>
                      <w:sz w:val="21"/>
                      <w:szCs w:val="21"/>
                      <w:vertAlign w:val="subscript"/>
                    </w:rPr>
                  </w:pPr>
                  <w:r>
                    <w:rPr>
                      <w:rFonts w:ascii="Times New Roman" w:hAnsi="Times New Roman"/>
                      <w:sz w:val="21"/>
                      <w:szCs w:val="21"/>
                    </w:rPr>
                    <w:t>COD</w:t>
                  </w:r>
                  <w:r>
                    <w:rPr>
                      <w:rFonts w:ascii="Times New Roman" w:hAnsi="Times New Roman"/>
                      <w:sz w:val="21"/>
                      <w:szCs w:val="21"/>
                      <w:vertAlign w:val="subscript"/>
                    </w:rPr>
                    <w:t>Cr</w:t>
                  </w:r>
                </w:p>
              </w:tc>
              <w:tc>
                <w:tcPr>
                  <w:tcW w:w="1275" w:type="dxa"/>
                  <w:vAlign w:val="center"/>
                </w:tcPr>
                <w:p>
                  <w:pPr>
                    <w:jc w:val="center"/>
                    <w:rPr>
                      <w:szCs w:val="21"/>
                    </w:rPr>
                  </w:pPr>
                  <w:r>
                    <w:rPr>
                      <w:rFonts w:hint="eastAsia"/>
                      <w:szCs w:val="21"/>
                    </w:rPr>
                    <w:t>300</w:t>
                  </w:r>
                </w:p>
              </w:tc>
              <w:tc>
                <w:tcPr>
                  <w:tcW w:w="975" w:type="dxa"/>
                  <w:vAlign w:val="center"/>
                </w:tcPr>
                <w:p>
                  <w:pPr>
                    <w:jc w:val="center"/>
                    <w:rPr>
                      <w:szCs w:val="21"/>
                    </w:rPr>
                  </w:pPr>
                  <w:r>
                    <w:rPr>
                      <w:rFonts w:hint="eastAsia"/>
                      <w:szCs w:val="21"/>
                    </w:rPr>
                    <w:t>10.95</w:t>
                  </w:r>
                </w:p>
              </w:tc>
              <w:tc>
                <w:tcPr>
                  <w:tcW w:w="1286" w:type="dxa"/>
                  <w:vAlign w:val="center"/>
                </w:tcPr>
                <w:p>
                  <w:pPr>
                    <w:jc w:val="center"/>
                    <w:rPr>
                      <w:szCs w:val="21"/>
                    </w:rPr>
                  </w:pPr>
                  <w:r>
                    <w:rPr>
                      <w:szCs w:val="21"/>
                    </w:rPr>
                    <w:t>45</w:t>
                  </w:r>
                  <w:r>
                    <w:rPr>
                      <w:rFonts w:hint="eastAsia"/>
                      <w:szCs w:val="21"/>
                    </w:rPr>
                    <w:t>0</w:t>
                  </w:r>
                </w:p>
              </w:tc>
              <w:tc>
                <w:tcPr>
                  <w:tcW w:w="915" w:type="dxa"/>
                  <w:vAlign w:val="center"/>
                </w:tcPr>
                <w:p>
                  <w:pPr>
                    <w:jc w:val="center"/>
                    <w:rPr>
                      <w:szCs w:val="21"/>
                    </w:rPr>
                  </w:pPr>
                  <w:r>
                    <w:rPr>
                      <w:rFonts w:hint="eastAsia"/>
                      <w:szCs w:val="21"/>
                    </w:rPr>
                    <w:t>9.125</w:t>
                  </w:r>
                </w:p>
              </w:tc>
              <w:tc>
                <w:tcPr>
                  <w:tcW w:w="1211" w:type="dxa"/>
                  <w:vAlign w:val="center"/>
                </w:tcPr>
                <w:p>
                  <w:pPr>
                    <w:jc w:val="center"/>
                    <w:rPr>
                      <w:szCs w:val="21"/>
                    </w:rPr>
                  </w:pPr>
                  <w:r>
                    <w:rPr>
                      <w:rFonts w:hint="eastAsia"/>
                      <w:szCs w:val="21"/>
                    </w:rPr>
                    <w:t>≤50</w:t>
                  </w:r>
                </w:p>
              </w:tc>
              <w:tc>
                <w:tcPr>
                  <w:tcW w:w="996" w:type="dxa"/>
                  <w:vAlign w:val="center"/>
                </w:tcPr>
                <w:p>
                  <w:pPr>
                    <w:jc w:val="center"/>
                    <w:rPr>
                      <w:szCs w:val="21"/>
                    </w:rPr>
                  </w:pPr>
                  <w:r>
                    <w:rPr>
                      <w:rFonts w:hint="eastAsia"/>
                      <w:szCs w:val="21"/>
                    </w:rPr>
                    <w:t>1.825</w:t>
                  </w:r>
                </w:p>
              </w:tc>
              <w:tc>
                <w:tcPr>
                  <w:tcW w:w="1373" w:type="dxa"/>
                  <w:vAlign w:val="center"/>
                </w:tcPr>
                <w:p>
                  <w:pPr>
                    <w:jc w:val="center"/>
                    <w:rPr>
                      <w:szCs w:val="21"/>
                    </w:rPr>
                  </w:pPr>
                  <w:r>
                    <w:rPr>
                      <w:rFonts w:hint="eastAsia"/>
                      <w:szCs w:val="21"/>
                    </w:rPr>
                    <w:t>90</w:t>
                  </w: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3" w:hRule="atLeast"/>
                <w:jc w:val="center"/>
              </w:trPr>
              <w:tc>
                <w:tcPr>
                  <w:tcW w:w="850" w:type="dxa"/>
                  <w:vAlign w:val="center"/>
                </w:tcPr>
                <w:p>
                  <w:pPr>
                    <w:pStyle w:val="17"/>
                    <w:adjustRightInd w:val="0"/>
                    <w:snapToGrid w:val="0"/>
                    <w:jc w:val="center"/>
                    <w:rPr>
                      <w:rFonts w:ascii="Times New Roman" w:hAnsi="Times New Roman"/>
                      <w:sz w:val="21"/>
                      <w:szCs w:val="21"/>
                    </w:rPr>
                  </w:pPr>
                  <w:r>
                    <w:rPr>
                      <w:rFonts w:ascii="Times New Roman" w:hAnsi="Times New Roman"/>
                      <w:sz w:val="21"/>
                      <w:szCs w:val="21"/>
                    </w:rPr>
                    <w:t>BOD</w:t>
                  </w:r>
                  <w:r>
                    <w:rPr>
                      <w:rFonts w:ascii="Times New Roman" w:hAnsi="Times New Roman"/>
                      <w:sz w:val="21"/>
                      <w:szCs w:val="21"/>
                      <w:vertAlign w:val="subscript"/>
                    </w:rPr>
                    <w:t>5</w:t>
                  </w:r>
                </w:p>
              </w:tc>
              <w:tc>
                <w:tcPr>
                  <w:tcW w:w="1275" w:type="dxa"/>
                  <w:vAlign w:val="center"/>
                </w:tcPr>
                <w:p>
                  <w:pPr>
                    <w:jc w:val="center"/>
                    <w:rPr>
                      <w:szCs w:val="21"/>
                    </w:rPr>
                  </w:pPr>
                  <w:r>
                    <w:rPr>
                      <w:rFonts w:hint="eastAsia"/>
                      <w:szCs w:val="21"/>
                    </w:rPr>
                    <w:t>140</w:t>
                  </w:r>
                </w:p>
              </w:tc>
              <w:tc>
                <w:tcPr>
                  <w:tcW w:w="975" w:type="dxa"/>
                  <w:vAlign w:val="center"/>
                </w:tcPr>
                <w:p>
                  <w:pPr>
                    <w:jc w:val="center"/>
                    <w:rPr>
                      <w:szCs w:val="21"/>
                    </w:rPr>
                  </w:pPr>
                  <w:r>
                    <w:rPr>
                      <w:rFonts w:hint="eastAsia"/>
                      <w:szCs w:val="21"/>
                    </w:rPr>
                    <w:t>5.11</w:t>
                  </w:r>
                </w:p>
              </w:tc>
              <w:tc>
                <w:tcPr>
                  <w:tcW w:w="1286" w:type="dxa"/>
                  <w:vAlign w:val="center"/>
                </w:tcPr>
                <w:p>
                  <w:pPr>
                    <w:jc w:val="center"/>
                    <w:rPr>
                      <w:szCs w:val="21"/>
                    </w:rPr>
                  </w:pPr>
                  <w:r>
                    <w:rPr>
                      <w:rFonts w:hint="eastAsia"/>
                      <w:szCs w:val="21"/>
                    </w:rPr>
                    <w:t>340</w:t>
                  </w:r>
                </w:p>
              </w:tc>
              <w:tc>
                <w:tcPr>
                  <w:tcW w:w="915" w:type="dxa"/>
                  <w:vAlign w:val="center"/>
                </w:tcPr>
                <w:p>
                  <w:pPr>
                    <w:jc w:val="center"/>
                    <w:rPr>
                      <w:szCs w:val="21"/>
                    </w:rPr>
                  </w:pPr>
                  <w:r>
                    <w:rPr>
                      <w:rFonts w:hint="eastAsia"/>
                      <w:szCs w:val="21"/>
                    </w:rPr>
                    <w:t>4.745</w:t>
                  </w:r>
                </w:p>
              </w:tc>
              <w:tc>
                <w:tcPr>
                  <w:tcW w:w="1211" w:type="dxa"/>
                  <w:vAlign w:val="center"/>
                </w:tcPr>
                <w:p>
                  <w:pPr>
                    <w:jc w:val="center"/>
                    <w:rPr>
                      <w:szCs w:val="21"/>
                    </w:rPr>
                  </w:pPr>
                  <w:r>
                    <w:rPr>
                      <w:rFonts w:hint="eastAsia"/>
                      <w:szCs w:val="21"/>
                    </w:rPr>
                    <w:t>≤10</w:t>
                  </w:r>
                </w:p>
              </w:tc>
              <w:tc>
                <w:tcPr>
                  <w:tcW w:w="996" w:type="dxa"/>
                  <w:vAlign w:val="center"/>
                </w:tcPr>
                <w:p>
                  <w:pPr>
                    <w:jc w:val="center"/>
                    <w:rPr>
                      <w:szCs w:val="21"/>
                    </w:rPr>
                  </w:pPr>
                  <w:r>
                    <w:rPr>
                      <w:rFonts w:hint="eastAsia"/>
                      <w:szCs w:val="21"/>
                    </w:rPr>
                    <w:t>0.365</w:t>
                  </w:r>
                </w:p>
              </w:tc>
              <w:tc>
                <w:tcPr>
                  <w:tcW w:w="1373" w:type="dxa"/>
                  <w:vAlign w:val="center"/>
                </w:tcPr>
                <w:p>
                  <w:pPr>
                    <w:jc w:val="center"/>
                    <w:rPr>
                      <w:szCs w:val="21"/>
                    </w:rPr>
                  </w:pPr>
                  <w:r>
                    <w:rPr>
                      <w:rFonts w:hint="eastAsia"/>
                      <w:szCs w:val="21"/>
                    </w:rPr>
                    <w:t>97.1</w:t>
                  </w: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7" w:hRule="atLeast"/>
                <w:jc w:val="center"/>
              </w:trPr>
              <w:tc>
                <w:tcPr>
                  <w:tcW w:w="850" w:type="dxa"/>
                  <w:vAlign w:val="center"/>
                </w:tcPr>
                <w:p>
                  <w:pPr>
                    <w:pStyle w:val="17"/>
                    <w:adjustRightInd w:val="0"/>
                    <w:snapToGrid w:val="0"/>
                    <w:jc w:val="center"/>
                    <w:rPr>
                      <w:rFonts w:ascii="Times New Roman" w:hAnsi="Times New Roman"/>
                      <w:sz w:val="21"/>
                      <w:szCs w:val="21"/>
                    </w:rPr>
                  </w:pPr>
                  <w:r>
                    <w:rPr>
                      <w:rFonts w:ascii="Times New Roman" w:hAnsi="Times New Roman"/>
                      <w:sz w:val="21"/>
                      <w:szCs w:val="21"/>
                    </w:rPr>
                    <w:t>SS</w:t>
                  </w:r>
                </w:p>
              </w:tc>
              <w:tc>
                <w:tcPr>
                  <w:tcW w:w="1275" w:type="dxa"/>
                  <w:vAlign w:val="center"/>
                </w:tcPr>
                <w:p>
                  <w:pPr>
                    <w:jc w:val="center"/>
                    <w:rPr>
                      <w:szCs w:val="21"/>
                    </w:rPr>
                  </w:pPr>
                  <w:r>
                    <w:rPr>
                      <w:rFonts w:hint="eastAsia"/>
                      <w:szCs w:val="21"/>
                    </w:rPr>
                    <w:t>180</w:t>
                  </w:r>
                </w:p>
              </w:tc>
              <w:tc>
                <w:tcPr>
                  <w:tcW w:w="975" w:type="dxa"/>
                  <w:vAlign w:val="center"/>
                </w:tcPr>
                <w:p>
                  <w:pPr>
                    <w:jc w:val="center"/>
                    <w:rPr>
                      <w:szCs w:val="21"/>
                    </w:rPr>
                  </w:pPr>
                  <w:r>
                    <w:rPr>
                      <w:rFonts w:hint="eastAsia"/>
                      <w:szCs w:val="21"/>
                    </w:rPr>
                    <w:t>6.57</w:t>
                  </w:r>
                </w:p>
              </w:tc>
              <w:tc>
                <w:tcPr>
                  <w:tcW w:w="1286" w:type="dxa"/>
                  <w:vAlign w:val="center"/>
                </w:tcPr>
                <w:p>
                  <w:pPr>
                    <w:jc w:val="center"/>
                    <w:rPr>
                      <w:szCs w:val="21"/>
                    </w:rPr>
                  </w:pPr>
                  <w:r>
                    <w:rPr>
                      <w:rFonts w:hint="eastAsia"/>
                      <w:szCs w:val="21"/>
                    </w:rPr>
                    <w:t>340</w:t>
                  </w:r>
                </w:p>
              </w:tc>
              <w:tc>
                <w:tcPr>
                  <w:tcW w:w="915" w:type="dxa"/>
                  <w:vAlign w:val="center"/>
                </w:tcPr>
                <w:p>
                  <w:pPr>
                    <w:jc w:val="center"/>
                    <w:rPr>
                      <w:szCs w:val="21"/>
                    </w:rPr>
                  </w:pPr>
                  <w:r>
                    <w:rPr>
                      <w:rFonts w:hint="eastAsia"/>
                      <w:szCs w:val="21"/>
                    </w:rPr>
                    <w:t>6.205</w:t>
                  </w:r>
                </w:p>
              </w:tc>
              <w:tc>
                <w:tcPr>
                  <w:tcW w:w="1211" w:type="dxa"/>
                  <w:vAlign w:val="center"/>
                </w:tcPr>
                <w:p>
                  <w:pPr>
                    <w:jc w:val="center"/>
                    <w:rPr>
                      <w:szCs w:val="21"/>
                    </w:rPr>
                  </w:pPr>
                  <w:r>
                    <w:rPr>
                      <w:rFonts w:hint="eastAsia"/>
                      <w:szCs w:val="21"/>
                    </w:rPr>
                    <w:t>≤10</w:t>
                  </w:r>
                </w:p>
              </w:tc>
              <w:tc>
                <w:tcPr>
                  <w:tcW w:w="996" w:type="dxa"/>
                  <w:vAlign w:val="center"/>
                </w:tcPr>
                <w:p>
                  <w:pPr>
                    <w:jc w:val="center"/>
                    <w:rPr>
                      <w:szCs w:val="21"/>
                    </w:rPr>
                  </w:pPr>
                  <w:r>
                    <w:rPr>
                      <w:rFonts w:hint="eastAsia"/>
                      <w:szCs w:val="21"/>
                    </w:rPr>
                    <w:t>0.365</w:t>
                  </w:r>
                </w:p>
              </w:tc>
              <w:tc>
                <w:tcPr>
                  <w:tcW w:w="1373" w:type="dxa"/>
                  <w:vAlign w:val="center"/>
                </w:tcPr>
                <w:p>
                  <w:pPr>
                    <w:jc w:val="center"/>
                    <w:rPr>
                      <w:szCs w:val="21"/>
                    </w:rPr>
                  </w:pPr>
                  <w:r>
                    <w:rPr>
                      <w:rFonts w:hint="eastAsia"/>
                      <w:szCs w:val="21"/>
                    </w:rPr>
                    <w:t>97.1</w:t>
                  </w: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8" w:hRule="atLeast"/>
                <w:jc w:val="center"/>
              </w:trPr>
              <w:tc>
                <w:tcPr>
                  <w:tcW w:w="850" w:type="dxa"/>
                  <w:vAlign w:val="center"/>
                </w:tcPr>
                <w:p>
                  <w:pPr>
                    <w:adjustRightInd w:val="0"/>
                    <w:snapToGrid w:val="0"/>
                    <w:jc w:val="center"/>
                    <w:rPr>
                      <w:szCs w:val="21"/>
                    </w:rPr>
                  </w:pPr>
                  <w:r>
                    <w:rPr>
                      <w:szCs w:val="21"/>
                    </w:rPr>
                    <w:t>NH</w:t>
                  </w:r>
                  <w:r>
                    <w:rPr>
                      <w:szCs w:val="21"/>
                      <w:vertAlign w:val="subscript"/>
                    </w:rPr>
                    <w:t>3</w:t>
                  </w:r>
                  <w:r>
                    <w:rPr>
                      <w:szCs w:val="21"/>
                    </w:rPr>
                    <w:t>-N</w:t>
                  </w:r>
                </w:p>
              </w:tc>
              <w:tc>
                <w:tcPr>
                  <w:tcW w:w="1275" w:type="dxa"/>
                  <w:vAlign w:val="center"/>
                </w:tcPr>
                <w:p>
                  <w:pPr>
                    <w:jc w:val="center"/>
                    <w:rPr>
                      <w:szCs w:val="21"/>
                    </w:rPr>
                  </w:pPr>
                  <w:r>
                    <w:rPr>
                      <w:rFonts w:hint="eastAsia"/>
                      <w:szCs w:val="21"/>
                    </w:rPr>
                    <w:t>32</w:t>
                  </w:r>
                </w:p>
              </w:tc>
              <w:tc>
                <w:tcPr>
                  <w:tcW w:w="975" w:type="dxa"/>
                  <w:vAlign w:val="center"/>
                </w:tcPr>
                <w:p>
                  <w:pPr>
                    <w:jc w:val="center"/>
                    <w:rPr>
                      <w:szCs w:val="21"/>
                    </w:rPr>
                  </w:pPr>
                  <w:r>
                    <w:rPr>
                      <w:rFonts w:hint="eastAsia"/>
                      <w:szCs w:val="21"/>
                    </w:rPr>
                    <w:t>1.168</w:t>
                  </w:r>
                </w:p>
              </w:tc>
              <w:tc>
                <w:tcPr>
                  <w:tcW w:w="1286" w:type="dxa"/>
                  <w:vAlign w:val="center"/>
                </w:tcPr>
                <w:p>
                  <w:pPr>
                    <w:jc w:val="center"/>
                    <w:rPr>
                      <w:szCs w:val="21"/>
                    </w:rPr>
                  </w:pPr>
                  <w:r>
                    <w:rPr>
                      <w:rFonts w:hint="eastAsia"/>
                      <w:szCs w:val="21"/>
                    </w:rPr>
                    <w:t>30</w:t>
                  </w:r>
                </w:p>
              </w:tc>
              <w:tc>
                <w:tcPr>
                  <w:tcW w:w="915" w:type="dxa"/>
                  <w:vAlign w:val="center"/>
                </w:tcPr>
                <w:p>
                  <w:pPr>
                    <w:jc w:val="center"/>
                    <w:rPr>
                      <w:szCs w:val="21"/>
                    </w:rPr>
                  </w:pPr>
                  <w:r>
                    <w:rPr>
                      <w:rFonts w:hint="eastAsia"/>
                      <w:szCs w:val="21"/>
                    </w:rPr>
                    <w:t>0.9855</w:t>
                  </w:r>
                </w:p>
              </w:tc>
              <w:tc>
                <w:tcPr>
                  <w:tcW w:w="1211" w:type="dxa"/>
                  <w:vAlign w:val="center"/>
                </w:tcPr>
                <w:p>
                  <w:pPr>
                    <w:jc w:val="center"/>
                    <w:rPr>
                      <w:szCs w:val="21"/>
                    </w:rPr>
                  </w:pPr>
                  <w:r>
                    <w:rPr>
                      <w:rFonts w:hint="eastAsia"/>
                      <w:szCs w:val="21"/>
                    </w:rPr>
                    <w:t>≤5</w:t>
                  </w:r>
                </w:p>
              </w:tc>
              <w:tc>
                <w:tcPr>
                  <w:tcW w:w="996" w:type="dxa"/>
                  <w:vAlign w:val="center"/>
                </w:tcPr>
                <w:p>
                  <w:pPr>
                    <w:jc w:val="center"/>
                    <w:rPr>
                      <w:szCs w:val="21"/>
                    </w:rPr>
                  </w:pPr>
                  <w:r>
                    <w:rPr>
                      <w:rFonts w:hint="eastAsia"/>
                      <w:szCs w:val="21"/>
                    </w:rPr>
                    <w:t>0.1825</w:t>
                  </w:r>
                </w:p>
              </w:tc>
              <w:tc>
                <w:tcPr>
                  <w:tcW w:w="1373" w:type="dxa"/>
                  <w:vAlign w:val="center"/>
                </w:tcPr>
                <w:p>
                  <w:pPr>
                    <w:jc w:val="center"/>
                    <w:rPr>
                      <w:szCs w:val="21"/>
                    </w:rPr>
                  </w:pPr>
                  <w:r>
                    <w:rPr>
                      <w:rFonts w:hint="eastAsia"/>
                      <w:szCs w:val="21"/>
                    </w:rPr>
                    <w:t>85.7</w:t>
                  </w: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8" w:hRule="atLeast"/>
                <w:jc w:val="center"/>
              </w:trPr>
              <w:tc>
                <w:tcPr>
                  <w:tcW w:w="850" w:type="dxa"/>
                  <w:vAlign w:val="center"/>
                </w:tcPr>
                <w:p>
                  <w:pPr>
                    <w:adjustRightInd w:val="0"/>
                    <w:snapToGrid w:val="0"/>
                    <w:jc w:val="center"/>
                    <w:rPr>
                      <w:szCs w:val="21"/>
                    </w:rPr>
                  </w:pPr>
                  <w:r>
                    <w:rPr>
                      <w:szCs w:val="21"/>
                    </w:rPr>
                    <w:t>TN</w:t>
                  </w:r>
                </w:p>
              </w:tc>
              <w:tc>
                <w:tcPr>
                  <w:tcW w:w="1275" w:type="dxa"/>
                  <w:vAlign w:val="center"/>
                </w:tcPr>
                <w:p>
                  <w:pPr>
                    <w:jc w:val="center"/>
                    <w:rPr>
                      <w:szCs w:val="21"/>
                    </w:rPr>
                  </w:pPr>
                  <w:r>
                    <w:rPr>
                      <w:rFonts w:hint="eastAsia"/>
                      <w:szCs w:val="21"/>
                    </w:rPr>
                    <w:t>35</w:t>
                  </w:r>
                </w:p>
              </w:tc>
              <w:tc>
                <w:tcPr>
                  <w:tcW w:w="975" w:type="dxa"/>
                  <w:vAlign w:val="center"/>
                </w:tcPr>
                <w:p>
                  <w:pPr>
                    <w:jc w:val="center"/>
                    <w:rPr>
                      <w:szCs w:val="21"/>
                    </w:rPr>
                  </w:pPr>
                  <w:r>
                    <w:rPr>
                      <w:rFonts w:hint="eastAsia"/>
                      <w:szCs w:val="21"/>
                    </w:rPr>
                    <w:t>1.2775</w:t>
                  </w:r>
                </w:p>
              </w:tc>
              <w:tc>
                <w:tcPr>
                  <w:tcW w:w="1286" w:type="dxa"/>
                  <w:vAlign w:val="center"/>
                </w:tcPr>
                <w:p>
                  <w:pPr>
                    <w:jc w:val="center"/>
                    <w:rPr>
                      <w:szCs w:val="21"/>
                    </w:rPr>
                  </w:pPr>
                  <w:r>
                    <w:rPr>
                      <w:rFonts w:hint="eastAsia"/>
                      <w:szCs w:val="21"/>
                    </w:rPr>
                    <w:t>40</w:t>
                  </w:r>
                </w:p>
              </w:tc>
              <w:tc>
                <w:tcPr>
                  <w:tcW w:w="915" w:type="dxa"/>
                  <w:vAlign w:val="center"/>
                </w:tcPr>
                <w:p>
                  <w:pPr>
                    <w:jc w:val="center"/>
                    <w:rPr>
                      <w:szCs w:val="21"/>
                    </w:rPr>
                  </w:pPr>
                  <w:r>
                    <w:rPr>
                      <w:rFonts w:hint="eastAsia"/>
                      <w:szCs w:val="21"/>
                    </w:rPr>
                    <w:t>0.73</w:t>
                  </w:r>
                </w:p>
              </w:tc>
              <w:tc>
                <w:tcPr>
                  <w:tcW w:w="1211" w:type="dxa"/>
                  <w:vAlign w:val="center"/>
                </w:tcPr>
                <w:p>
                  <w:pPr>
                    <w:jc w:val="center"/>
                    <w:rPr>
                      <w:szCs w:val="21"/>
                    </w:rPr>
                  </w:pPr>
                  <w:r>
                    <w:rPr>
                      <w:rFonts w:hint="eastAsia"/>
                      <w:szCs w:val="21"/>
                    </w:rPr>
                    <w:t>≤15</w:t>
                  </w:r>
                </w:p>
              </w:tc>
              <w:tc>
                <w:tcPr>
                  <w:tcW w:w="996" w:type="dxa"/>
                  <w:vAlign w:val="center"/>
                </w:tcPr>
                <w:p>
                  <w:pPr>
                    <w:jc w:val="center"/>
                    <w:rPr>
                      <w:szCs w:val="21"/>
                    </w:rPr>
                  </w:pPr>
                  <w:r>
                    <w:rPr>
                      <w:rFonts w:hint="eastAsia"/>
                      <w:szCs w:val="21"/>
                    </w:rPr>
                    <w:t>0.5475</w:t>
                  </w:r>
                </w:p>
              </w:tc>
              <w:tc>
                <w:tcPr>
                  <w:tcW w:w="1373" w:type="dxa"/>
                  <w:vAlign w:val="center"/>
                </w:tcPr>
                <w:p>
                  <w:pPr>
                    <w:jc w:val="center"/>
                    <w:rPr>
                      <w:szCs w:val="21"/>
                    </w:rPr>
                  </w:pPr>
                  <w:r>
                    <w:rPr>
                      <w:rFonts w:hint="eastAsia"/>
                      <w:szCs w:val="21"/>
                    </w:rPr>
                    <w:t>72.7</w:t>
                  </w: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8" w:hRule="atLeast"/>
                <w:jc w:val="center"/>
              </w:trPr>
              <w:tc>
                <w:tcPr>
                  <w:tcW w:w="850" w:type="dxa"/>
                  <w:vAlign w:val="center"/>
                </w:tcPr>
                <w:p>
                  <w:pPr>
                    <w:pStyle w:val="17"/>
                    <w:adjustRightInd w:val="0"/>
                    <w:snapToGrid w:val="0"/>
                    <w:jc w:val="center"/>
                    <w:rPr>
                      <w:rFonts w:ascii="Times New Roman" w:hAnsi="Times New Roman"/>
                      <w:sz w:val="21"/>
                      <w:szCs w:val="21"/>
                    </w:rPr>
                  </w:pPr>
                  <w:r>
                    <w:rPr>
                      <w:rFonts w:ascii="Times New Roman" w:hAnsi="Times New Roman"/>
                      <w:sz w:val="21"/>
                      <w:szCs w:val="21"/>
                    </w:rPr>
                    <w:t>TP</w:t>
                  </w:r>
                </w:p>
              </w:tc>
              <w:tc>
                <w:tcPr>
                  <w:tcW w:w="1275" w:type="dxa"/>
                  <w:vAlign w:val="center"/>
                </w:tcPr>
                <w:p>
                  <w:pPr>
                    <w:jc w:val="center"/>
                    <w:rPr>
                      <w:szCs w:val="21"/>
                    </w:rPr>
                  </w:pPr>
                  <w:r>
                    <w:rPr>
                      <w:rFonts w:hint="eastAsia"/>
                      <w:szCs w:val="21"/>
                    </w:rPr>
                    <w:t>3</w:t>
                  </w:r>
                </w:p>
              </w:tc>
              <w:tc>
                <w:tcPr>
                  <w:tcW w:w="975" w:type="dxa"/>
                  <w:vAlign w:val="center"/>
                </w:tcPr>
                <w:p>
                  <w:pPr>
                    <w:jc w:val="center"/>
                    <w:rPr>
                      <w:szCs w:val="21"/>
                    </w:rPr>
                  </w:pPr>
                  <w:r>
                    <w:rPr>
                      <w:rFonts w:hint="eastAsia"/>
                      <w:szCs w:val="21"/>
                    </w:rPr>
                    <w:t>0.1095</w:t>
                  </w:r>
                </w:p>
              </w:tc>
              <w:tc>
                <w:tcPr>
                  <w:tcW w:w="1286" w:type="dxa"/>
                  <w:vAlign w:val="center"/>
                </w:tcPr>
                <w:p>
                  <w:pPr>
                    <w:jc w:val="center"/>
                    <w:rPr>
                      <w:szCs w:val="21"/>
                    </w:rPr>
                  </w:pPr>
                  <w:r>
                    <w:rPr>
                      <w:rFonts w:hint="eastAsia"/>
                      <w:szCs w:val="21"/>
                    </w:rPr>
                    <w:t>2.5</w:t>
                  </w:r>
                </w:p>
              </w:tc>
              <w:tc>
                <w:tcPr>
                  <w:tcW w:w="915" w:type="dxa"/>
                  <w:vAlign w:val="center"/>
                </w:tcPr>
                <w:p>
                  <w:pPr>
                    <w:jc w:val="center"/>
                    <w:rPr>
                      <w:szCs w:val="21"/>
                    </w:rPr>
                  </w:pPr>
                  <w:r>
                    <w:rPr>
                      <w:rFonts w:hint="eastAsia"/>
                      <w:szCs w:val="21"/>
                    </w:rPr>
                    <w:t>0.09125</w:t>
                  </w:r>
                </w:p>
              </w:tc>
              <w:tc>
                <w:tcPr>
                  <w:tcW w:w="1211" w:type="dxa"/>
                  <w:vAlign w:val="center"/>
                </w:tcPr>
                <w:p>
                  <w:pPr>
                    <w:jc w:val="center"/>
                    <w:rPr>
                      <w:szCs w:val="21"/>
                    </w:rPr>
                  </w:pPr>
                  <w:r>
                    <w:rPr>
                      <w:rFonts w:hint="eastAsia"/>
                      <w:szCs w:val="21"/>
                    </w:rPr>
                    <w:t>≤0.5</w:t>
                  </w:r>
                </w:p>
              </w:tc>
              <w:tc>
                <w:tcPr>
                  <w:tcW w:w="996" w:type="dxa"/>
                  <w:vAlign w:val="center"/>
                </w:tcPr>
                <w:p>
                  <w:pPr>
                    <w:jc w:val="center"/>
                    <w:rPr>
                      <w:szCs w:val="21"/>
                    </w:rPr>
                  </w:pPr>
                  <w:r>
                    <w:rPr>
                      <w:rFonts w:hint="eastAsia"/>
                      <w:szCs w:val="21"/>
                    </w:rPr>
                    <w:t>0.01825</w:t>
                  </w:r>
                </w:p>
              </w:tc>
              <w:tc>
                <w:tcPr>
                  <w:tcW w:w="1373" w:type="dxa"/>
                  <w:vAlign w:val="center"/>
                </w:tcPr>
                <w:p>
                  <w:pPr>
                    <w:jc w:val="center"/>
                    <w:rPr>
                      <w:szCs w:val="21"/>
                    </w:rPr>
                  </w:pPr>
                  <w:r>
                    <w:rPr>
                      <w:rFonts w:hint="eastAsia"/>
                      <w:szCs w:val="21"/>
                    </w:rPr>
                    <w:t>83.3</w:t>
                  </w:r>
                  <w:r>
                    <w:rPr>
                      <w:szCs w:val="21"/>
                    </w:rPr>
                    <w:t>%</w:t>
                  </w:r>
                </w:p>
              </w:tc>
            </w:tr>
          </w:tbl>
          <w:p>
            <w:pPr>
              <w:adjustRightInd w:val="0"/>
              <w:snapToGrid w:val="0"/>
              <w:spacing w:line="360" w:lineRule="auto"/>
              <w:ind w:firstLine="480" w:firstLineChars="200"/>
              <w:rPr>
                <w:sz w:val="24"/>
              </w:rPr>
            </w:pPr>
            <w:r>
              <w:rPr>
                <w:sz w:val="24"/>
              </w:rPr>
              <w:t>由表可见，拟建污水处理站建成投产后，可使污染物COD</w:t>
            </w:r>
            <w:r>
              <w:rPr>
                <w:sz w:val="24"/>
                <w:vertAlign w:val="subscript"/>
              </w:rPr>
              <w:t>cr</w:t>
            </w:r>
            <w:r>
              <w:rPr>
                <w:sz w:val="24"/>
              </w:rPr>
              <w:t>、BOD</w:t>
            </w:r>
            <w:r>
              <w:rPr>
                <w:sz w:val="24"/>
                <w:vertAlign w:val="subscript"/>
              </w:rPr>
              <w:t>5</w:t>
            </w:r>
            <w:r>
              <w:rPr>
                <w:sz w:val="24"/>
              </w:rPr>
              <w:t>、SS、NH</w:t>
            </w:r>
            <w:r>
              <w:rPr>
                <w:sz w:val="24"/>
                <w:vertAlign w:val="subscript"/>
              </w:rPr>
              <w:t>3</w:t>
            </w:r>
            <w:r>
              <w:rPr>
                <w:sz w:val="24"/>
              </w:rPr>
              <w:t>-N、TN和TP分别减少</w:t>
            </w:r>
            <w:r>
              <w:rPr>
                <w:rFonts w:hint="eastAsia"/>
                <w:sz w:val="24"/>
              </w:rPr>
              <w:t>9.125</w:t>
            </w:r>
            <w:r>
              <w:rPr>
                <w:sz w:val="24"/>
              </w:rPr>
              <w:t>t/a、</w:t>
            </w:r>
            <w:r>
              <w:rPr>
                <w:rFonts w:hint="eastAsia"/>
                <w:sz w:val="24"/>
              </w:rPr>
              <w:t>4.745</w:t>
            </w:r>
            <w:r>
              <w:rPr>
                <w:sz w:val="24"/>
              </w:rPr>
              <w:t>t/a、</w:t>
            </w:r>
            <w:r>
              <w:rPr>
                <w:rFonts w:hint="eastAsia"/>
                <w:sz w:val="24"/>
              </w:rPr>
              <w:t>6.205</w:t>
            </w:r>
            <w:r>
              <w:rPr>
                <w:sz w:val="24"/>
              </w:rPr>
              <w:t>t/a、</w:t>
            </w:r>
            <w:r>
              <w:rPr>
                <w:rFonts w:hint="eastAsia"/>
                <w:sz w:val="24"/>
              </w:rPr>
              <w:t>0.9855</w:t>
            </w:r>
            <w:r>
              <w:rPr>
                <w:sz w:val="24"/>
              </w:rPr>
              <w:t>t/a、</w:t>
            </w:r>
            <w:r>
              <w:rPr>
                <w:rFonts w:hint="eastAsia"/>
                <w:sz w:val="24"/>
              </w:rPr>
              <w:t>0.73</w:t>
            </w:r>
            <w:r>
              <w:rPr>
                <w:sz w:val="24"/>
              </w:rPr>
              <w:t>t/a和</w:t>
            </w:r>
            <w:r>
              <w:rPr>
                <w:rFonts w:hint="eastAsia"/>
                <w:sz w:val="24"/>
              </w:rPr>
              <w:t>0.09125</w:t>
            </w:r>
            <w:r>
              <w:rPr>
                <w:sz w:val="24"/>
              </w:rPr>
              <w:t>t/a。污染物COD</w:t>
            </w:r>
            <w:r>
              <w:rPr>
                <w:sz w:val="24"/>
                <w:vertAlign w:val="subscript"/>
              </w:rPr>
              <w:t>cr</w:t>
            </w:r>
            <w:r>
              <w:rPr>
                <w:sz w:val="24"/>
              </w:rPr>
              <w:t>、BOD</w:t>
            </w:r>
            <w:r>
              <w:rPr>
                <w:sz w:val="24"/>
                <w:vertAlign w:val="subscript"/>
              </w:rPr>
              <w:t>5</w:t>
            </w:r>
            <w:r>
              <w:rPr>
                <w:sz w:val="24"/>
              </w:rPr>
              <w:t>、SS、NH</w:t>
            </w:r>
            <w:r>
              <w:rPr>
                <w:sz w:val="24"/>
                <w:vertAlign w:val="subscript"/>
              </w:rPr>
              <w:t>3</w:t>
            </w:r>
            <w:r>
              <w:rPr>
                <w:sz w:val="24"/>
              </w:rPr>
              <w:t>-N、TN和TP的排放量为</w:t>
            </w:r>
            <w:r>
              <w:rPr>
                <w:rFonts w:hint="eastAsia"/>
                <w:sz w:val="24"/>
              </w:rPr>
              <w:t>1.825</w:t>
            </w:r>
            <w:r>
              <w:rPr>
                <w:sz w:val="24"/>
              </w:rPr>
              <w:t>/a、</w:t>
            </w:r>
            <w:r>
              <w:rPr>
                <w:rFonts w:hint="eastAsia"/>
                <w:sz w:val="24"/>
              </w:rPr>
              <w:t>0.365</w:t>
            </w:r>
            <w:r>
              <w:rPr>
                <w:sz w:val="24"/>
              </w:rPr>
              <w:t>t/a、</w:t>
            </w:r>
            <w:r>
              <w:rPr>
                <w:rFonts w:hint="eastAsia"/>
                <w:sz w:val="24"/>
              </w:rPr>
              <w:t>0.365</w:t>
            </w:r>
            <w:r>
              <w:rPr>
                <w:sz w:val="24"/>
              </w:rPr>
              <w:t>t/a、</w:t>
            </w:r>
            <w:r>
              <w:rPr>
                <w:rFonts w:hint="eastAsia"/>
                <w:sz w:val="24"/>
              </w:rPr>
              <w:t>0.1825</w:t>
            </w:r>
            <w:r>
              <w:rPr>
                <w:sz w:val="24"/>
              </w:rPr>
              <w:t>t/a、</w:t>
            </w:r>
            <w:r>
              <w:rPr>
                <w:rFonts w:hint="eastAsia"/>
                <w:sz w:val="24"/>
              </w:rPr>
              <w:t>0.5475</w:t>
            </w:r>
            <w:r>
              <w:rPr>
                <w:sz w:val="24"/>
              </w:rPr>
              <w:t xml:space="preserve"> t/a和</w:t>
            </w:r>
            <w:r>
              <w:rPr>
                <w:rFonts w:hint="eastAsia"/>
                <w:sz w:val="24"/>
              </w:rPr>
              <w:t>0.01825</w:t>
            </w:r>
            <w:r>
              <w:rPr>
                <w:sz w:val="24"/>
              </w:rPr>
              <w:t>t/a</w:t>
            </w:r>
            <w:r>
              <w:rPr>
                <w:rFonts w:hint="eastAsia"/>
                <w:sz w:val="24"/>
              </w:rPr>
              <w:t>。</w:t>
            </w:r>
          </w:p>
          <w:p>
            <w:pPr>
              <w:adjustRightInd w:val="0"/>
              <w:snapToGrid w:val="0"/>
              <w:spacing w:line="360" w:lineRule="auto"/>
              <w:ind w:firstLine="482" w:firstLineChars="200"/>
              <w:rPr>
                <w:b/>
                <w:sz w:val="24"/>
              </w:rPr>
            </w:pPr>
            <w:r>
              <w:rPr>
                <w:rFonts w:hint="eastAsia"/>
                <w:b/>
                <w:sz w:val="24"/>
              </w:rPr>
              <w:t>事故排放源强分析：</w:t>
            </w:r>
          </w:p>
          <w:p>
            <w:pPr>
              <w:adjustRightInd w:val="0"/>
              <w:snapToGrid w:val="0"/>
              <w:spacing w:line="360" w:lineRule="auto"/>
              <w:ind w:firstLine="480" w:firstLineChars="200"/>
              <w:rPr>
                <w:sz w:val="24"/>
              </w:rPr>
            </w:pPr>
            <w:r>
              <w:rPr>
                <w:sz w:val="24"/>
              </w:rPr>
              <w:t>遇到突发事件，污水处理</w:t>
            </w:r>
            <w:r>
              <w:rPr>
                <w:rFonts w:hint="eastAsia"/>
                <w:sz w:val="24"/>
              </w:rPr>
              <w:t>站</w:t>
            </w:r>
            <w:r>
              <w:rPr>
                <w:sz w:val="24"/>
              </w:rPr>
              <w:t>停工，最长按</w:t>
            </w:r>
            <w:r>
              <w:rPr>
                <w:rFonts w:hint="eastAsia"/>
                <w:sz w:val="24"/>
              </w:rPr>
              <w:t>三</w:t>
            </w:r>
            <w:r>
              <w:rPr>
                <w:sz w:val="24"/>
              </w:rPr>
              <w:t>天计算，</w:t>
            </w:r>
            <w:r>
              <w:rPr>
                <w:rFonts w:hint="eastAsia"/>
                <w:sz w:val="24"/>
              </w:rPr>
              <w:t>三</w:t>
            </w:r>
            <w:r>
              <w:rPr>
                <w:sz w:val="24"/>
              </w:rPr>
              <w:t>日污水直接排放的量为</w:t>
            </w:r>
            <w:r>
              <w:rPr>
                <w:rFonts w:hint="eastAsia"/>
                <w:sz w:val="24"/>
              </w:rPr>
              <w:t>300</w:t>
            </w:r>
            <w:r>
              <w:rPr>
                <w:sz w:val="24"/>
              </w:rPr>
              <w:t>m</w:t>
            </w:r>
            <w:r>
              <w:rPr>
                <w:sz w:val="24"/>
                <w:vertAlign w:val="superscript"/>
              </w:rPr>
              <w:t>3</w:t>
            </w:r>
            <w:r>
              <w:rPr>
                <w:rFonts w:hint="eastAsia"/>
                <w:sz w:val="24"/>
              </w:rPr>
              <w:t>，</w:t>
            </w:r>
            <w:r>
              <w:rPr>
                <w:sz w:val="24"/>
              </w:rPr>
              <w:t>污水处理</w:t>
            </w:r>
            <w:r>
              <w:rPr>
                <w:rFonts w:hint="eastAsia"/>
                <w:sz w:val="24"/>
              </w:rPr>
              <w:t>站</w:t>
            </w:r>
            <w:r>
              <w:rPr>
                <w:sz w:val="24"/>
              </w:rPr>
              <w:t>因设备故障或检修导致部分或全部污水未经过处理直接排放，其最大排放量为全部进水量，其排放的污染物浓度为污水处理工程的原设计进水浓度，事故污染排放量见表</w:t>
            </w:r>
            <w:r>
              <w:rPr>
                <w:rFonts w:hint="eastAsia"/>
                <w:sz w:val="24"/>
              </w:rPr>
              <w:t>40</w:t>
            </w:r>
            <w:r>
              <w:rPr>
                <w:sz w:val="24"/>
              </w:rPr>
              <w:t>。</w:t>
            </w:r>
          </w:p>
          <w:p>
            <w:pPr>
              <w:adjustRightInd w:val="0"/>
              <w:snapToGrid w:val="0"/>
              <w:spacing w:line="360" w:lineRule="auto"/>
              <w:ind w:firstLine="422" w:firstLineChars="200"/>
              <w:jc w:val="center"/>
              <w:rPr>
                <w:b/>
                <w:szCs w:val="21"/>
              </w:rPr>
            </w:pPr>
            <w:r>
              <w:rPr>
                <w:b/>
                <w:szCs w:val="21"/>
              </w:rPr>
              <w:t>表</w:t>
            </w:r>
            <w:r>
              <w:rPr>
                <w:rFonts w:hint="eastAsia"/>
                <w:b/>
                <w:szCs w:val="21"/>
              </w:rPr>
              <w:t>40</w:t>
            </w:r>
            <w:r>
              <w:rPr>
                <w:b/>
                <w:szCs w:val="21"/>
              </w:rPr>
              <w:t xml:space="preserve">  污水处理工程事故排放源强</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29"/>
              <w:gridCol w:w="1120"/>
              <w:gridCol w:w="1111"/>
              <w:gridCol w:w="1098"/>
              <w:gridCol w:w="1118"/>
              <w:gridCol w:w="1114"/>
              <w:gridCol w:w="111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618" w:hRule="atLeast"/>
                <w:jc w:val="center"/>
              </w:trPr>
              <w:tc>
                <w:tcPr>
                  <w:tcW w:w="2229" w:type="dxa"/>
                  <w:tcBorders>
                    <w:tl2br w:val="single" w:color="auto" w:sz="12" w:space="0"/>
                  </w:tcBorders>
                  <w:vAlign w:val="center"/>
                </w:tcPr>
                <w:p>
                  <w:pPr>
                    <w:ind w:firstLine="1265" w:firstLineChars="600"/>
                    <w:rPr>
                      <w:b/>
                    </w:rPr>
                  </w:pPr>
                  <w:r>
                    <w:rPr>
                      <w:b/>
                    </w:rPr>
                    <w:t>污染物</w:t>
                  </w:r>
                </w:p>
                <w:p>
                  <w:pPr>
                    <w:ind w:firstLine="316" w:firstLineChars="150"/>
                    <w:rPr>
                      <w:b/>
                    </w:rPr>
                  </w:pPr>
                  <w:r>
                    <w:rPr>
                      <w:b/>
                    </w:rPr>
                    <w:t>项目</w:t>
                  </w:r>
                </w:p>
              </w:tc>
              <w:tc>
                <w:tcPr>
                  <w:tcW w:w="1120" w:type="dxa"/>
                  <w:vAlign w:val="center"/>
                </w:tcPr>
                <w:p>
                  <w:pPr>
                    <w:jc w:val="center"/>
                    <w:rPr>
                      <w:b/>
                    </w:rPr>
                  </w:pPr>
                  <w:r>
                    <w:rPr>
                      <w:b/>
                    </w:rPr>
                    <w:t>COD</w:t>
                  </w:r>
                  <w:r>
                    <w:rPr>
                      <w:b/>
                      <w:vertAlign w:val="subscript"/>
                    </w:rPr>
                    <w:t>Cr</w:t>
                  </w:r>
                </w:p>
              </w:tc>
              <w:tc>
                <w:tcPr>
                  <w:tcW w:w="1111" w:type="dxa"/>
                  <w:vAlign w:val="center"/>
                </w:tcPr>
                <w:p>
                  <w:pPr>
                    <w:jc w:val="center"/>
                    <w:rPr>
                      <w:b/>
                    </w:rPr>
                  </w:pPr>
                  <w:r>
                    <w:rPr>
                      <w:b/>
                    </w:rPr>
                    <w:t>BOD</w:t>
                  </w:r>
                  <w:r>
                    <w:rPr>
                      <w:b/>
                      <w:vertAlign w:val="subscript"/>
                    </w:rPr>
                    <w:t>5</w:t>
                  </w:r>
                </w:p>
              </w:tc>
              <w:tc>
                <w:tcPr>
                  <w:tcW w:w="1098" w:type="dxa"/>
                  <w:vAlign w:val="center"/>
                </w:tcPr>
                <w:p>
                  <w:pPr>
                    <w:jc w:val="center"/>
                    <w:rPr>
                      <w:b/>
                    </w:rPr>
                  </w:pPr>
                  <w:r>
                    <w:rPr>
                      <w:b/>
                    </w:rPr>
                    <w:t>SS</w:t>
                  </w:r>
                </w:p>
              </w:tc>
              <w:tc>
                <w:tcPr>
                  <w:tcW w:w="1118" w:type="dxa"/>
                  <w:vAlign w:val="center"/>
                </w:tcPr>
                <w:p>
                  <w:pPr>
                    <w:jc w:val="center"/>
                    <w:rPr>
                      <w:b/>
                    </w:rPr>
                  </w:pPr>
                  <w:r>
                    <w:rPr>
                      <w:b/>
                    </w:rPr>
                    <w:t>NH</w:t>
                  </w:r>
                  <w:r>
                    <w:rPr>
                      <w:b/>
                      <w:vertAlign w:val="subscript"/>
                    </w:rPr>
                    <w:t>3</w:t>
                  </w:r>
                  <w:r>
                    <w:rPr>
                      <w:b/>
                    </w:rPr>
                    <w:t>-N</w:t>
                  </w:r>
                </w:p>
              </w:tc>
              <w:tc>
                <w:tcPr>
                  <w:tcW w:w="1114" w:type="dxa"/>
                  <w:vAlign w:val="center"/>
                </w:tcPr>
                <w:p>
                  <w:pPr>
                    <w:jc w:val="center"/>
                    <w:rPr>
                      <w:b/>
                    </w:rPr>
                  </w:pPr>
                  <w:r>
                    <w:rPr>
                      <w:b/>
                    </w:rPr>
                    <w:t>TN</w:t>
                  </w:r>
                </w:p>
              </w:tc>
              <w:tc>
                <w:tcPr>
                  <w:tcW w:w="1111" w:type="dxa"/>
                  <w:vAlign w:val="center"/>
                </w:tcPr>
                <w:p>
                  <w:pPr>
                    <w:jc w:val="center"/>
                    <w:rPr>
                      <w:b/>
                    </w:rPr>
                  </w:pPr>
                  <w:r>
                    <w:rPr>
                      <w:b/>
                    </w:rPr>
                    <w:t>TP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8" w:hRule="atLeast"/>
                <w:jc w:val="center"/>
              </w:trPr>
              <w:tc>
                <w:tcPr>
                  <w:tcW w:w="2229" w:type="dxa"/>
                  <w:vAlign w:val="center"/>
                </w:tcPr>
                <w:p>
                  <w:pPr>
                    <w:jc w:val="center"/>
                  </w:pPr>
                  <w:r>
                    <w:t>排放浓度（mg/L）</w:t>
                  </w:r>
                </w:p>
              </w:tc>
              <w:tc>
                <w:tcPr>
                  <w:tcW w:w="1120" w:type="dxa"/>
                </w:tcPr>
                <w:p>
                  <w:pPr>
                    <w:jc w:val="center"/>
                    <w:rPr>
                      <w:szCs w:val="21"/>
                    </w:rPr>
                  </w:pPr>
                  <w:r>
                    <w:rPr>
                      <w:rFonts w:hint="eastAsia"/>
                      <w:szCs w:val="21"/>
                    </w:rPr>
                    <w:t>300</w:t>
                  </w:r>
                </w:p>
              </w:tc>
              <w:tc>
                <w:tcPr>
                  <w:tcW w:w="1111" w:type="dxa"/>
                </w:tcPr>
                <w:p>
                  <w:pPr>
                    <w:jc w:val="center"/>
                    <w:rPr>
                      <w:szCs w:val="21"/>
                    </w:rPr>
                  </w:pPr>
                  <w:r>
                    <w:rPr>
                      <w:rFonts w:hint="eastAsia"/>
                      <w:szCs w:val="21"/>
                    </w:rPr>
                    <w:t>140</w:t>
                  </w:r>
                </w:p>
              </w:tc>
              <w:tc>
                <w:tcPr>
                  <w:tcW w:w="1098" w:type="dxa"/>
                </w:tcPr>
                <w:p>
                  <w:pPr>
                    <w:jc w:val="center"/>
                    <w:rPr>
                      <w:szCs w:val="21"/>
                    </w:rPr>
                  </w:pPr>
                  <w:r>
                    <w:rPr>
                      <w:rFonts w:hint="eastAsia"/>
                      <w:szCs w:val="21"/>
                    </w:rPr>
                    <w:t>180</w:t>
                  </w:r>
                </w:p>
              </w:tc>
              <w:tc>
                <w:tcPr>
                  <w:tcW w:w="1118" w:type="dxa"/>
                </w:tcPr>
                <w:p>
                  <w:pPr>
                    <w:jc w:val="center"/>
                    <w:rPr>
                      <w:szCs w:val="21"/>
                    </w:rPr>
                  </w:pPr>
                  <w:r>
                    <w:rPr>
                      <w:rFonts w:hint="eastAsia"/>
                      <w:szCs w:val="21"/>
                    </w:rPr>
                    <w:t>32</w:t>
                  </w:r>
                </w:p>
              </w:tc>
              <w:tc>
                <w:tcPr>
                  <w:tcW w:w="1114" w:type="dxa"/>
                </w:tcPr>
                <w:p>
                  <w:pPr>
                    <w:jc w:val="center"/>
                    <w:rPr>
                      <w:szCs w:val="21"/>
                    </w:rPr>
                  </w:pPr>
                  <w:r>
                    <w:rPr>
                      <w:rFonts w:hint="eastAsia"/>
                      <w:szCs w:val="21"/>
                    </w:rPr>
                    <w:t>35</w:t>
                  </w:r>
                </w:p>
              </w:tc>
              <w:tc>
                <w:tcPr>
                  <w:tcW w:w="1111" w:type="dxa"/>
                </w:tcPr>
                <w:p>
                  <w:pPr>
                    <w:jc w:val="center"/>
                    <w:rPr>
                      <w:szCs w:val="21"/>
                    </w:rPr>
                  </w:pPr>
                  <w:r>
                    <w:rPr>
                      <w:rFonts w:hint="eastAsia"/>
                      <w:szCs w:val="21"/>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158" w:hRule="atLeast"/>
                <w:jc w:val="center"/>
              </w:trPr>
              <w:tc>
                <w:tcPr>
                  <w:tcW w:w="2229" w:type="dxa"/>
                  <w:vAlign w:val="center"/>
                </w:tcPr>
                <w:p>
                  <w:pPr>
                    <w:jc w:val="center"/>
                  </w:pPr>
                  <w:r>
                    <w:rPr>
                      <w:rFonts w:hint="eastAsia"/>
                    </w:rPr>
                    <w:t>三天</w:t>
                  </w:r>
                  <w:r>
                    <w:t>排放量（t）</w:t>
                  </w:r>
                </w:p>
              </w:tc>
              <w:tc>
                <w:tcPr>
                  <w:tcW w:w="1120" w:type="dxa"/>
                  <w:vAlign w:val="bottom"/>
                </w:tcPr>
                <w:p>
                  <w:pPr>
                    <w:jc w:val="center"/>
                    <w:rPr>
                      <w:rFonts w:ascii="宋体" w:hAnsi="宋体" w:cs="宋体"/>
                      <w:szCs w:val="21"/>
                    </w:rPr>
                  </w:pPr>
                  <w:r>
                    <w:rPr>
                      <w:rFonts w:hint="eastAsia"/>
                      <w:szCs w:val="21"/>
                    </w:rPr>
                    <w:t>0.09</w:t>
                  </w:r>
                </w:p>
              </w:tc>
              <w:tc>
                <w:tcPr>
                  <w:tcW w:w="1111" w:type="dxa"/>
                  <w:vAlign w:val="bottom"/>
                </w:tcPr>
                <w:p>
                  <w:pPr>
                    <w:jc w:val="center"/>
                    <w:rPr>
                      <w:rFonts w:ascii="宋体" w:hAnsi="宋体" w:cs="宋体"/>
                      <w:szCs w:val="21"/>
                    </w:rPr>
                  </w:pPr>
                  <w:r>
                    <w:rPr>
                      <w:rFonts w:hint="eastAsia"/>
                      <w:szCs w:val="21"/>
                    </w:rPr>
                    <w:t>0.042</w:t>
                  </w:r>
                </w:p>
              </w:tc>
              <w:tc>
                <w:tcPr>
                  <w:tcW w:w="1098" w:type="dxa"/>
                  <w:vAlign w:val="bottom"/>
                </w:tcPr>
                <w:p>
                  <w:pPr>
                    <w:jc w:val="center"/>
                    <w:rPr>
                      <w:rFonts w:ascii="宋体" w:hAnsi="宋体" w:cs="宋体"/>
                      <w:szCs w:val="21"/>
                    </w:rPr>
                  </w:pPr>
                  <w:r>
                    <w:rPr>
                      <w:rFonts w:hint="eastAsia"/>
                      <w:szCs w:val="21"/>
                    </w:rPr>
                    <w:t>0.054</w:t>
                  </w:r>
                </w:p>
              </w:tc>
              <w:tc>
                <w:tcPr>
                  <w:tcW w:w="1118" w:type="dxa"/>
                  <w:vAlign w:val="bottom"/>
                </w:tcPr>
                <w:p>
                  <w:pPr>
                    <w:jc w:val="center"/>
                    <w:rPr>
                      <w:rFonts w:ascii="宋体" w:hAnsi="宋体" w:cs="宋体"/>
                      <w:szCs w:val="21"/>
                    </w:rPr>
                  </w:pPr>
                  <w:r>
                    <w:rPr>
                      <w:rFonts w:hint="eastAsia"/>
                      <w:szCs w:val="21"/>
                    </w:rPr>
                    <w:t>0.0096</w:t>
                  </w:r>
                </w:p>
              </w:tc>
              <w:tc>
                <w:tcPr>
                  <w:tcW w:w="1114" w:type="dxa"/>
                  <w:vAlign w:val="bottom"/>
                </w:tcPr>
                <w:p>
                  <w:pPr>
                    <w:jc w:val="center"/>
                    <w:rPr>
                      <w:rFonts w:ascii="宋体" w:hAnsi="宋体" w:cs="宋体"/>
                      <w:szCs w:val="21"/>
                    </w:rPr>
                  </w:pPr>
                  <w:r>
                    <w:rPr>
                      <w:rFonts w:hint="eastAsia"/>
                      <w:szCs w:val="21"/>
                    </w:rPr>
                    <w:t>0.0105</w:t>
                  </w:r>
                </w:p>
              </w:tc>
              <w:tc>
                <w:tcPr>
                  <w:tcW w:w="1111" w:type="dxa"/>
                  <w:vAlign w:val="bottom"/>
                </w:tcPr>
                <w:p>
                  <w:pPr>
                    <w:jc w:val="center"/>
                    <w:rPr>
                      <w:rFonts w:ascii="宋体" w:hAnsi="宋体" w:cs="宋体"/>
                      <w:szCs w:val="21"/>
                    </w:rPr>
                  </w:pPr>
                  <w:r>
                    <w:rPr>
                      <w:rFonts w:hint="eastAsia"/>
                      <w:szCs w:val="21"/>
                    </w:rPr>
                    <w:t>0.0009</w:t>
                  </w:r>
                </w:p>
              </w:tc>
            </w:tr>
          </w:tbl>
          <w:p>
            <w:pPr>
              <w:adjustRightInd w:val="0"/>
              <w:snapToGrid w:val="0"/>
              <w:spacing w:line="360" w:lineRule="auto"/>
              <w:ind w:firstLine="480" w:firstLineChars="200"/>
              <w:rPr>
                <w:sz w:val="24"/>
              </w:rPr>
            </w:pPr>
            <w:r>
              <w:rPr>
                <w:rFonts w:hint="eastAsia"/>
                <w:sz w:val="24"/>
              </w:rPr>
              <w:t>（2）道路工程</w:t>
            </w:r>
          </w:p>
          <w:p>
            <w:pPr>
              <w:adjustRightInd w:val="0"/>
              <w:snapToGrid w:val="0"/>
              <w:spacing w:line="360" w:lineRule="auto"/>
              <w:ind w:firstLine="480" w:firstLineChars="200"/>
              <w:rPr>
                <w:sz w:val="24"/>
              </w:rPr>
            </w:pPr>
            <w:r>
              <w:rPr>
                <w:rFonts w:hint="eastAsia"/>
                <w:sz w:val="24"/>
              </w:rPr>
              <w:t>公路</w:t>
            </w:r>
            <w:r>
              <w:rPr>
                <w:sz w:val="24"/>
              </w:rPr>
              <w:t>运营期自身不产生废水，但由于机动车行驶过程中产生的粉尘、油污等污染物多扩散于大气或降落于道路路面上，随着降雨形成地表径流，进入所在地附近</w:t>
            </w:r>
            <w:r>
              <w:rPr>
                <w:rFonts w:hint="eastAsia"/>
                <w:sz w:val="24"/>
              </w:rPr>
              <w:t>沟壑</w:t>
            </w:r>
            <w:r>
              <w:rPr>
                <w:sz w:val="24"/>
              </w:rPr>
              <w:t>，可能对周围水体的水质产生影响，其主要污染物因子有SS、COD等。长安大学曾用人工降雨的方法在西安-三原公路上形成路面径流，在车流量已知的情况下，降雨历时一小时，降雨强度为81.6mm，在一小时内按不同时间采集水样，测定结果见表</w:t>
            </w:r>
            <w:r>
              <w:rPr>
                <w:rFonts w:hint="eastAsia"/>
                <w:sz w:val="24"/>
              </w:rPr>
              <w:t>41</w:t>
            </w:r>
            <w:r>
              <w:rPr>
                <w:sz w:val="24"/>
              </w:rPr>
              <w:t>。</w:t>
            </w:r>
          </w:p>
          <w:p>
            <w:pPr>
              <w:adjustRightInd w:val="0"/>
              <w:snapToGrid w:val="0"/>
              <w:jc w:val="center"/>
              <w:rPr>
                <w:b/>
                <w:szCs w:val="21"/>
              </w:rPr>
            </w:pPr>
            <w:r>
              <w:rPr>
                <w:b/>
                <w:szCs w:val="21"/>
              </w:rPr>
              <w:t>表</w:t>
            </w:r>
            <w:r>
              <w:rPr>
                <w:rFonts w:hint="eastAsia"/>
                <w:b/>
                <w:szCs w:val="21"/>
              </w:rPr>
              <w:t>41</w:t>
            </w:r>
            <w:r>
              <w:rPr>
                <w:b/>
                <w:szCs w:val="21"/>
              </w:rPr>
              <w:t xml:space="preserve">   路面径流中污染物浓度测定值</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29"/>
              <w:gridCol w:w="1983"/>
              <w:gridCol w:w="1839"/>
              <w:gridCol w:w="1695"/>
              <w:gridCol w:w="11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13" w:hRule="atLeast"/>
              </w:trPr>
              <w:tc>
                <w:tcPr>
                  <w:tcW w:w="2229"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项目</w:t>
                  </w:r>
                </w:p>
              </w:tc>
              <w:tc>
                <w:tcPr>
                  <w:tcW w:w="1983"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5-20</w:t>
                  </w:r>
                  <w:r>
                    <w:rPr>
                      <w:rFonts w:hint="eastAsia" w:ascii="Times New Roman" w:cs="Times New Roman"/>
                      <w:b/>
                      <w:color w:val="auto"/>
                      <w:sz w:val="21"/>
                      <w:szCs w:val="21"/>
                    </w:rPr>
                    <w:t>min</w:t>
                  </w:r>
                </w:p>
              </w:tc>
              <w:tc>
                <w:tcPr>
                  <w:tcW w:w="1839"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20-40</w:t>
                  </w:r>
                  <w:r>
                    <w:rPr>
                      <w:rFonts w:hint="eastAsia" w:ascii="Times New Roman" w:cs="Times New Roman"/>
                      <w:b/>
                      <w:color w:val="auto"/>
                      <w:sz w:val="21"/>
                      <w:szCs w:val="21"/>
                    </w:rPr>
                    <w:t xml:space="preserve"> min</w:t>
                  </w:r>
                </w:p>
              </w:tc>
              <w:tc>
                <w:tcPr>
                  <w:tcW w:w="1695"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40-60</w:t>
                  </w:r>
                  <w:r>
                    <w:rPr>
                      <w:rFonts w:hint="eastAsia" w:ascii="Times New Roman" w:cs="Times New Roman"/>
                      <w:b/>
                      <w:color w:val="auto"/>
                      <w:sz w:val="21"/>
                      <w:szCs w:val="21"/>
                    </w:rPr>
                    <w:t xml:space="preserve"> min</w:t>
                  </w:r>
                </w:p>
              </w:tc>
              <w:tc>
                <w:tcPr>
                  <w:tcW w:w="1155"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平均值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13" w:hRule="atLeast"/>
              </w:trPr>
              <w:tc>
                <w:tcPr>
                  <w:tcW w:w="2229"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SS（mg/L）</w:t>
                  </w:r>
                </w:p>
              </w:tc>
              <w:tc>
                <w:tcPr>
                  <w:tcW w:w="198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231.42</w:t>
                  </w:r>
                  <w:r>
                    <w:rPr>
                      <w:rFonts w:hint="eastAsia" w:ascii="Times New Roman" w:cs="Times New Roman"/>
                      <w:color w:val="auto"/>
                      <w:sz w:val="21"/>
                      <w:szCs w:val="21"/>
                    </w:rPr>
                    <w:t>~</w:t>
                  </w:r>
                  <w:r>
                    <w:rPr>
                      <w:rFonts w:ascii="Times New Roman" w:cs="Times New Roman"/>
                      <w:color w:val="auto"/>
                      <w:sz w:val="21"/>
                      <w:szCs w:val="21"/>
                    </w:rPr>
                    <w:t>158.22</w:t>
                  </w:r>
                </w:p>
              </w:tc>
              <w:tc>
                <w:tcPr>
                  <w:tcW w:w="1839"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158.22</w:t>
                  </w:r>
                  <w:r>
                    <w:rPr>
                      <w:rFonts w:hint="eastAsia" w:ascii="Times New Roman" w:cs="Times New Roman"/>
                      <w:color w:val="auto"/>
                      <w:sz w:val="21"/>
                      <w:szCs w:val="21"/>
                    </w:rPr>
                    <w:t>~</w:t>
                  </w:r>
                  <w:r>
                    <w:rPr>
                      <w:rFonts w:ascii="Times New Roman" w:cs="Times New Roman"/>
                      <w:color w:val="auto"/>
                      <w:sz w:val="21"/>
                      <w:szCs w:val="21"/>
                    </w:rPr>
                    <w:t>90.36</w:t>
                  </w:r>
                </w:p>
              </w:tc>
              <w:tc>
                <w:tcPr>
                  <w:tcW w:w="1695"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90.36</w:t>
                  </w:r>
                  <w:r>
                    <w:rPr>
                      <w:rFonts w:hint="eastAsia" w:ascii="Times New Roman" w:cs="Times New Roman"/>
                      <w:color w:val="auto"/>
                      <w:sz w:val="21"/>
                      <w:szCs w:val="21"/>
                    </w:rPr>
                    <w:t>~</w:t>
                  </w:r>
                  <w:r>
                    <w:rPr>
                      <w:rFonts w:ascii="Times New Roman" w:cs="Times New Roman"/>
                      <w:color w:val="auto"/>
                      <w:sz w:val="21"/>
                      <w:szCs w:val="21"/>
                    </w:rPr>
                    <w:t>18.71</w:t>
                  </w:r>
                </w:p>
              </w:tc>
              <w:tc>
                <w:tcPr>
                  <w:tcW w:w="1155"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22" w:hRule="atLeast"/>
              </w:trPr>
              <w:tc>
                <w:tcPr>
                  <w:tcW w:w="2229"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BOD</w:t>
                  </w:r>
                  <w:r>
                    <w:rPr>
                      <w:rFonts w:ascii="Times New Roman" w:cs="Times New Roman"/>
                      <w:color w:val="auto"/>
                      <w:sz w:val="21"/>
                      <w:szCs w:val="21"/>
                      <w:vertAlign w:val="subscript"/>
                    </w:rPr>
                    <w:t>5</w:t>
                  </w:r>
                  <w:r>
                    <w:rPr>
                      <w:rFonts w:ascii="Times New Roman" w:cs="Times New Roman"/>
                      <w:color w:val="auto"/>
                      <w:sz w:val="21"/>
                      <w:szCs w:val="21"/>
                    </w:rPr>
                    <w:t>（mg/L）</w:t>
                  </w:r>
                </w:p>
              </w:tc>
              <w:tc>
                <w:tcPr>
                  <w:tcW w:w="198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7.34</w:t>
                  </w:r>
                  <w:r>
                    <w:rPr>
                      <w:rFonts w:hint="eastAsia" w:ascii="Times New Roman" w:cs="Times New Roman"/>
                      <w:color w:val="auto"/>
                      <w:sz w:val="21"/>
                      <w:szCs w:val="21"/>
                    </w:rPr>
                    <w:t>~</w:t>
                  </w:r>
                  <w:r>
                    <w:rPr>
                      <w:rFonts w:ascii="Times New Roman" w:cs="Times New Roman"/>
                      <w:color w:val="auto"/>
                      <w:sz w:val="21"/>
                      <w:szCs w:val="21"/>
                    </w:rPr>
                    <w:t>7.30</w:t>
                  </w:r>
                </w:p>
              </w:tc>
              <w:tc>
                <w:tcPr>
                  <w:tcW w:w="1839"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7.30</w:t>
                  </w:r>
                  <w:r>
                    <w:rPr>
                      <w:rFonts w:hint="eastAsia" w:ascii="Times New Roman" w:cs="Times New Roman"/>
                      <w:color w:val="auto"/>
                      <w:sz w:val="21"/>
                      <w:szCs w:val="21"/>
                    </w:rPr>
                    <w:t>~</w:t>
                  </w:r>
                  <w:r>
                    <w:rPr>
                      <w:rFonts w:ascii="Times New Roman" w:cs="Times New Roman"/>
                      <w:color w:val="auto"/>
                      <w:sz w:val="21"/>
                      <w:szCs w:val="21"/>
                    </w:rPr>
                    <w:t>4.15</w:t>
                  </w:r>
                </w:p>
              </w:tc>
              <w:tc>
                <w:tcPr>
                  <w:tcW w:w="1695"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4.15</w:t>
                  </w:r>
                  <w:r>
                    <w:rPr>
                      <w:rFonts w:hint="eastAsia" w:ascii="Times New Roman" w:cs="Times New Roman"/>
                      <w:color w:val="auto"/>
                      <w:sz w:val="21"/>
                      <w:szCs w:val="21"/>
                    </w:rPr>
                    <w:t>~</w:t>
                  </w:r>
                  <w:r>
                    <w:rPr>
                      <w:rFonts w:ascii="Times New Roman" w:cs="Times New Roman"/>
                      <w:color w:val="auto"/>
                      <w:sz w:val="21"/>
                      <w:szCs w:val="21"/>
                    </w:rPr>
                    <w:t>1.26</w:t>
                  </w:r>
                </w:p>
              </w:tc>
              <w:tc>
                <w:tcPr>
                  <w:tcW w:w="1155"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5.08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13" w:hRule="atLeast"/>
              </w:trPr>
              <w:tc>
                <w:tcPr>
                  <w:tcW w:w="2229"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石油类（mg/L）</w:t>
                  </w:r>
                </w:p>
              </w:tc>
              <w:tc>
                <w:tcPr>
                  <w:tcW w:w="198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22.30</w:t>
                  </w:r>
                  <w:r>
                    <w:rPr>
                      <w:rFonts w:hint="eastAsia" w:ascii="Times New Roman" w:cs="Times New Roman"/>
                      <w:color w:val="auto"/>
                      <w:sz w:val="21"/>
                      <w:szCs w:val="21"/>
                    </w:rPr>
                    <w:t>~</w:t>
                  </w:r>
                  <w:r>
                    <w:rPr>
                      <w:rFonts w:ascii="Times New Roman" w:cs="Times New Roman"/>
                      <w:color w:val="auto"/>
                      <w:sz w:val="21"/>
                      <w:szCs w:val="21"/>
                    </w:rPr>
                    <w:t>19.74</w:t>
                  </w:r>
                </w:p>
              </w:tc>
              <w:tc>
                <w:tcPr>
                  <w:tcW w:w="1839"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19.74</w:t>
                  </w:r>
                  <w:r>
                    <w:rPr>
                      <w:rFonts w:hint="eastAsia" w:ascii="Times New Roman" w:cs="Times New Roman"/>
                      <w:color w:val="auto"/>
                      <w:sz w:val="21"/>
                      <w:szCs w:val="21"/>
                    </w:rPr>
                    <w:t>~</w:t>
                  </w:r>
                  <w:r>
                    <w:rPr>
                      <w:rFonts w:ascii="Times New Roman" w:cs="Times New Roman"/>
                      <w:color w:val="auto"/>
                      <w:sz w:val="21"/>
                      <w:szCs w:val="21"/>
                    </w:rPr>
                    <w:t>3.12</w:t>
                  </w:r>
                </w:p>
              </w:tc>
              <w:tc>
                <w:tcPr>
                  <w:tcW w:w="1695"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3.12</w:t>
                  </w:r>
                  <w:r>
                    <w:rPr>
                      <w:rFonts w:hint="eastAsia" w:ascii="Times New Roman" w:cs="Times New Roman"/>
                      <w:color w:val="auto"/>
                      <w:sz w:val="21"/>
                      <w:szCs w:val="21"/>
                    </w:rPr>
                    <w:t>~</w:t>
                  </w:r>
                  <w:r>
                    <w:rPr>
                      <w:rFonts w:ascii="Times New Roman" w:cs="Times New Roman"/>
                      <w:color w:val="auto"/>
                      <w:sz w:val="21"/>
                      <w:szCs w:val="21"/>
                    </w:rPr>
                    <w:t>0.21</w:t>
                  </w:r>
                </w:p>
              </w:tc>
              <w:tc>
                <w:tcPr>
                  <w:tcW w:w="1155"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11.25</w:t>
                  </w:r>
                </w:p>
              </w:tc>
            </w:tr>
          </w:tbl>
          <w:p>
            <w:pPr>
              <w:spacing w:line="360" w:lineRule="auto"/>
              <w:ind w:firstLine="480"/>
              <w:rPr>
                <w:sz w:val="24"/>
              </w:rPr>
            </w:pPr>
            <w:r>
              <w:rPr>
                <w:sz w:val="24"/>
              </w:rPr>
              <w:t>由表</w:t>
            </w:r>
            <w:r>
              <w:rPr>
                <w:rFonts w:hint="eastAsia"/>
                <w:sz w:val="24"/>
              </w:rPr>
              <w:t>41</w:t>
            </w:r>
            <w:r>
              <w:rPr>
                <w:sz w:val="24"/>
              </w:rPr>
              <w:t>可知，路面径流在降雨开始到形成径流的30</w:t>
            </w:r>
            <w:r>
              <w:rPr>
                <w:rFonts w:hint="eastAsia"/>
                <w:sz w:val="24"/>
              </w:rPr>
              <w:t>min</w:t>
            </w:r>
            <w:r>
              <w:rPr>
                <w:sz w:val="24"/>
              </w:rPr>
              <w:t>内雨水中的悬浮物和油类物质较多，30</w:t>
            </w:r>
            <w:r>
              <w:rPr>
                <w:rFonts w:hint="eastAsia"/>
                <w:sz w:val="24"/>
              </w:rPr>
              <w:t>min</w:t>
            </w:r>
            <w:r>
              <w:rPr>
                <w:sz w:val="24"/>
              </w:rPr>
              <w:t>后，随着雨水时间的延长，污染物浓度下降较快。本项目路面径流污染物排放量计算公式如下：</w:t>
            </w:r>
          </w:p>
          <w:p>
            <w:pPr>
              <w:pStyle w:val="28"/>
              <w:adjustRightInd w:val="0"/>
              <w:snapToGrid w:val="0"/>
              <w:spacing w:line="360" w:lineRule="auto"/>
              <w:ind w:firstLine="496" w:firstLineChars="200"/>
              <w:jc w:val="center"/>
              <w:rPr>
                <w:spacing w:val="4"/>
              </w:rPr>
            </w:pPr>
            <w:r>
              <w:rPr>
                <w:spacing w:val="4"/>
              </w:rPr>
              <w:t>E=C×H×L×B×a×10</w:t>
            </w:r>
            <w:r>
              <w:rPr>
                <w:spacing w:val="4"/>
                <w:vertAlign w:val="superscript"/>
              </w:rPr>
              <w:t>-6</w:t>
            </w:r>
          </w:p>
          <w:p>
            <w:pPr>
              <w:pStyle w:val="28"/>
              <w:adjustRightInd w:val="0"/>
              <w:snapToGrid w:val="0"/>
              <w:spacing w:line="360" w:lineRule="auto"/>
              <w:ind w:firstLine="496" w:firstLineChars="200"/>
              <w:rPr>
                <w:spacing w:val="4"/>
              </w:rPr>
            </w:pPr>
            <w:r>
              <w:rPr>
                <w:spacing w:val="4"/>
              </w:rPr>
              <w:t xml:space="preserve">式中：E—每公里路面年排放强度，t/a； </w:t>
            </w:r>
          </w:p>
          <w:p>
            <w:pPr>
              <w:pStyle w:val="28"/>
              <w:adjustRightInd w:val="0"/>
              <w:snapToGrid w:val="0"/>
              <w:spacing w:line="360" w:lineRule="auto"/>
              <w:ind w:firstLine="1225" w:firstLineChars="494"/>
              <w:rPr>
                <w:spacing w:val="4"/>
              </w:rPr>
            </w:pPr>
            <w:r>
              <w:rPr>
                <w:spacing w:val="4"/>
              </w:rPr>
              <w:t>C—污染物浓度60</w:t>
            </w:r>
            <w:r>
              <w:rPr>
                <w:rFonts w:hint="eastAsia"/>
                <w:spacing w:val="4"/>
              </w:rPr>
              <w:t>min</w:t>
            </w:r>
            <w:r>
              <w:rPr>
                <w:spacing w:val="4"/>
              </w:rPr>
              <w:t xml:space="preserve">平均值，mg/L； </w:t>
            </w:r>
          </w:p>
          <w:p>
            <w:pPr>
              <w:pStyle w:val="28"/>
              <w:adjustRightInd w:val="0"/>
              <w:snapToGrid w:val="0"/>
              <w:spacing w:line="360" w:lineRule="auto"/>
              <w:ind w:firstLine="1225" w:firstLineChars="494"/>
              <w:rPr>
                <w:spacing w:val="4"/>
              </w:rPr>
            </w:pPr>
            <w:r>
              <w:rPr>
                <w:spacing w:val="4"/>
              </w:rPr>
              <w:t>H—年平均降雨量，</w:t>
            </w:r>
            <w:r>
              <w:t>567mm</w:t>
            </w:r>
            <w:r>
              <w:rPr>
                <w:spacing w:val="4"/>
              </w:rPr>
              <w:t xml:space="preserve">； </w:t>
            </w:r>
          </w:p>
          <w:p>
            <w:pPr>
              <w:pStyle w:val="28"/>
              <w:adjustRightInd w:val="0"/>
              <w:snapToGrid w:val="0"/>
              <w:spacing w:line="360" w:lineRule="auto"/>
              <w:ind w:firstLine="1225" w:firstLineChars="494"/>
              <w:rPr>
                <w:spacing w:val="4"/>
              </w:rPr>
            </w:pPr>
            <w:r>
              <w:rPr>
                <w:spacing w:val="4"/>
              </w:rPr>
              <w:t xml:space="preserve">L—单位长度路面，取1km； </w:t>
            </w:r>
          </w:p>
          <w:p>
            <w:pPr>
              <w:pStyle w:val="28"/>
              <w:adjustRightInd w:val="0"/>
              <w:snapToGrid w:val="0"/>
              <w:spacing w:line="360" w:lineRule="auto"/>
              <w:ind w:firstLine="1225" w:firstLineChars="494"/>
              <w:rPr>
                <w:spacing w:val="4"/>
              </w:rPr>
            </w:pPr>
            <w:r>
              <w:rPr>
                <w:spacing w:val="4"/>
              </w:rPr>
              <w:t>B—路面宽度，取</w:t>
            </w:r>
            <w:r>
              <w:rPr>
                <w:rFonts w:hint="eastAsia"/>
                <w:spacing w:val="4"/>
              </w:rPr>
              <w:t>6.0</w:t>
            </w:r>
            <w:r>
              <w:rPr>
                <w:spacing w:val="4"/>
              </w:rPr>
              <w:t xml:space="preserve">m； </w:t>
            </w:r>
          </w:p>
          <w:p>
            <w:pPr>
              <w:pStyle w:val="28"/>
              <w:adjustRightInd w:val="0"/>
              <w:snapToGrid w:val="0"/>
              <w:spacing w:line="360" w:lineRule="auto"/>
              <w:ind w:firstLine="1220" w:firstLineChars="492"/>
              <w:rPr>
                <w:spacing w:val="4"/>
              </w:rPr>
            </w:pPr>
            <w:r>
              <w:rPr>
                <w:spacing w:val="4"/>
              </w:rPr>
              <w:t xml:space="preserve">a—径流系数，无量纲，取0.9。 </w:t>
            </w:r>
          </w:p>
          <w:p>
            <w:pPr>
              <w:spacing w:line="360" w:lineRule="auto"/>
              <w:ind w:firstLine="480"/>
              <w:rPr>
                <w:sz w:val="24"/>
              </w:rPr>
            </w:pPr>
            <w:r>
              <w:rPr>
                <w:sz w:val="24"/>
              </w:rPr>
              <w:t>通过计算，路面径流污染物排放量见表</w:t>
            </w:r>
            <w:r>
              <w:rPr>
                <w:rFonts w:hint="eastAsia"/>
                <w:sz w:val="24"/>
              </w:rPr>
              <w:t>42</w:t>
            </w:r>
            <w:r>
              <w:rPr>
                <w:sz w:val="24"/>
              </w:rPr>
              <w:t>。</w:t>
            </w:r>
          </w:p>
          <w:p>
            <w:pPr>
              <w:adjustRightInd w:val="0"/>
              <w:snapToGrid w:val="0"/>
              <w:spacing w:line="360" w:lineRule="auto"/>
              <w:jc w:val="center"/>
              <w:rPr>
                <w:b/>
                <w:szCs w:val="21"/>
              </w:rPr>
            </w:pPr>
            <w:r>
              <w:rPr>
                <w:b/>
                <w:szCs w:val="21"/>
              </w:rPr>
              <w:t>表</w:t>
            </w:r>
            <w:r>
              <w:rPr>
                <w:rFonts w:hint="eastAsia"/>
                <w:b/>
                <w:szCs w:val="21"/>
              </w:rPr>
              <w:t>42</w:t>
            </w:r>
            <w:r>
              <w:rPr>
                <w:b/>
                <w:szCs w:val="21"/>
              </w:rPr>
              <w:t xml:space="preserve">     路面径流污染物排放统计表</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66"/>
              <w:gridCol w:w="1702"/>
              <w:gridCol w:w="1419"/>
              <w:gridCol w:w="1702"/>
              <w:gridCol w:w="18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22" w:hRule="atLeast"/>
              </w:trPr>
              <w:tc>
                <w:tcPr>
                  <w:tcW w:w="2266"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名称</w:t>
                  </w:r>
                </w:p>
              </w:tc>
              <w:tc>
                <w:tcPr>
                  <w:tcW w:w="1702"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路长（km）</w:t>
                  </w:r>
                </w:p>
              </w:tc>
              <w:tc>
                <w:tcPr>
                  <w:tcW w:w="1419"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SS（</w:t>
                  </w:r>
                  <w:r>
                    <w:rPr>
                      <w:rFonts w:ascii="Times New Roman" w:cs="Times New Roman"/>
                      <w:b/>
                      <w:bCs/>
                      <w:color w:val="auto"/>
                      <w:sz w:val="21"/>
                      <w:szCs w:val="21"/>
                    </w:rPr>
                    <w:t>t/a</w:t>
                  </w:r>
                  <w:r>
                    <w:rPr>
                      <w:rFonts w:ascii="Times New Roman" w:cs="Times New Roman"/>
                      <w:b/>
                      <w:color w:val="auto"/>
                      <w:sz w:val="21"/>
                      <w:szCs w:val="21"/>
                    </w:rPr>
                    <w:t>）</w:t>
                  </w:r>
                </w:p>
              </w:tc>
              <w:tc>
                <w:tcPr>
                  <w:tcW w:w="1702"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BOD</w:t>
                  </w:r>
                  <w:r>
                    <w:rPr>
                      <w:rFonts w:ascii="Times New Roman" w:cs="Times New Roman"/>
                      <w:b/>
                      <w:color w:val="auto"/>
                      <w:sz w:val="21"/>
                      <w:szCs w:val="21"/>
                      <w:vertAlign w:val="subscript"/>
                    </w:rPr>
                    <w:t>5</w:t>
                  </w:r>
                  <w:r>
                    <w:rPr>
                      <w:rFonts w:ascii="Times New Roman" w:cs="Times New Roman"/>
                      <w:b/>
                      <w:color w:val="auto"/>
                      <w:sz w:val="21"/>
                      <w:szCs w:val="21"/>
                    </w:rPr>
                    <w:t>（</w:t>
                  </w:r>
                  <w:r>
                    <w:rPr>
                      <w:rFonts w:ascii="Times New Roman" w:cs="Times New Roman"/>
                      <w:b/>
                      <w:bCs/>
                      <w:color w:val="auto"/>
                      <w:sz w:val="21"/>
                      <w:szCs w:val="21"/>
                    </w:rPr>
                    <w:t>t/a</w:t>
                  </w:r>
                  <w:r>
                    <w:rPr>
                      <w:rFonts w:ascii="Times New Roman" w:cs="Times New Roman"/>
                      <w:b/>
                      <w:color w:val="auto"/>
                      <w:sz w:val="21"/>
                      <w:szCs w:val="21"/>
                    </w:rPr>
                    <w:t>）</w:t>
                  </w:r>
                </w:p>
              </w:tc>
              <w:tc>
                <w:tcPr>
                  <w:tcW w:w="1812"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石油类（</w:t>
                  </w:r>
                  <w:r>
                    <w:rPr>
                      <w:rFonts w:ascii="Times New Roman" w:cs="Times New Roman"/>
                      <w:b/>
                      <w:bCs/>
                      <w:color w:val="auto"/>
                      <w:sz w:val="21"/>
                      <w:szCs w:val="21"/>
                    </w:rPr>
                    <w:t>t/a</w:t>
                  </w:r>
                  <w:r>
                    <w:rPr>
                      <w:rFonts w:ascii="Times New Roman" w:cs="Times New Roman"/>
                      <w:b/>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11" w:hRule="atLeast"/>
              </w:trPr>
              <w:tc>
                <w:tcPr>
                  <w:tcW w:w="2266" w:type="dxa"/>
                  <w:vAlign w:val="center"/>
                </w:tcPr>
                <w:p>
                  <w:pPr>
                    <w:pStyle w:val="161"/>
                    <w:snapToGrid w:val="0"/>
                    <w:jc w:val="center"/>
                    <w:rPr>
                      <w:rFonts w:ascii="Times New Roman" w:cs="Times New Roman"/>
                      <w:color w:val="auto"/>
                      <w:sz w:val="21"/>
                      <w:szCs w:val="21"/>
                    </w:rPr>
                  </w:pPr>
                  <w:r>
                    <w:rPr>
                      <w:rFonts w:hint="eastAsia"/>
                      <w:color w:val="auto"/>
                      <w:sz w:val="21"/>
                      <w:szCs w:val="21"/>
                    </w:rPr>
                    <w:t>太昌镇街道主干道</w:t>
                  </w:r>
                </w:p>
              </w:tc>
              <w:tc>
                <w:tcPr>
                  <w:tcW w:w="1702" w:type="dxa"/>
                  <w:vAlign w:val="center"/>
                </w:tcPr>
                <w:p>
                  <w:pPr>
                    <w:pStyle w:val="161"/>
                    <w:snapToGrid w:val="0"/>
                    <w:jc w:val="center"/>
                    <w:rPr>
                      <w:rFonts w:ascii="Times New Roman" w:cs="Times New Roman"/>
                      <w:color w:val="auto"/>
                      <w:sz w:val="21"/>
                      <w:szCs w:val="21"/>
                    </w:rPr>
                  </w:pPr>
                  <w:r>
                    <w:rPr>
                      <w:rFonts w:hint="eastAsia" w:ascii="Times New Roman" w:cs="Times New Roman"/>
                      <w:color w:val="auto"/>
                      <w:sz w:val="21"/>
                      <w:szCs w:val="21"/>
                    </w:rPr>
                    <w:t>0.37</w:t>
                  </w:r>
                </w:p>
              </w:tc>
              <w:tc>
                <w:tcPr>
                  <w:tcW w:w="1419" w:type="dxa"/>
                  <w:vAlign w:val="center"/>
                </w:tcPr>
                <w:p>
                  <w:pPr>
                    <w:pStyle w:val="161"/>
                    <w:snapToGrid w:val="0"/>
                    <w:jc w:val="center"/>
                    <w:rPr>
                      <w:rFonts w:ascii="Times New Roman" w:cs="Times New Roman"/>
                      <w:color w:val="auto"/>
                      <w:sz w:val="21"/>
                      <w:szCs w:val="21"/>
                    </w:rPr>
                  </w:pPr>
                  <w:r>
                    <w:rPr>
                      <w:rFonts w:hint="eastAsia" w:ascii="Times New Roman" w:cs="Times New Roman"/>
                      <w:color w:val="auto"/>
                      <w:sz w:val="21"/>
                      <w:szCs w:val="21"/>
                    </w:rPr>
                    <w:t>0.31</w:t>
                  </w:r>
                </w:p>
              </w:tc>
              <w:tc>
                <w:tcPr>
                  <w:tcW w:w="1702" w:type="dxa"/>
                  <w:vAlign w:val="center"/>
                </w:tcPr>
                <w:p>
                  <w:pPr>
                    <w:pStyle w:val="161"/>
                    <w:snapToGrid w:val="0"/>
                    <w:jc w:val="center"/>
                    <w:rPr>
                      <w:rFonts w:ascii="Times New Roman" w:cs="Times New Roman"/>
                      <w:color w:val="auto"/>
                      <w:sz w:val="21"/>
                      <w:szCs w:val="21"/>
                    </w:rPr>
                  </w:pPr>
                  <w:r>
                    <w:rPr>
                      <w:rFonts w:hint="eastAsia" w:ascii="Times New Roman" w:cs="Times New Roman"/>
                      <w:color w:val="auto"/>
                      <w:sz w:val="21"/>
                      <w:szCs w:val="21"/>
                    </w:rPr>
                    <w:t>0.016</w:t>
                  </w:r>
                </w:p>
              </w:tc>
              <w:tc>
                <w:tcPr>
                  <w:tcW w:w="1812" w:type="dxa"/>
                  <w:vAlign w:val="center"/>
                </w:tcPr>
                <w:p>
                  <w:pPr>
                    <w:pStyle w:val="161"/>
                    <w:snapToGrid w:val="0"/>
                    <w:jc w:val="center"/>
                    <w:rPr>
                      <w:rFonts w:ascii="Times New Roman" w:cs="Times New Roman"/>
                      <w:color w:val="auto"/>
                      <w:sz w:val="21"/>
                      <w:szCs w:val="21"/>
                    </w:rPr>
                  </w:pPr>
                  <w:r>
                    <w:rPr>
                      <w:rFonts w:hint="eastAsia" w:ascii="Times New Roman" w:cs="Times New Roman"/>
                      <w:color w:val="auto"/>
                      <w:sz w:val="21"/>
                      <w:szCs w:val="21"/>
                    </w:rPr>
                    <w:t>0.034</w:t>
                  </w:r>
                </w:p>
              </w:tc>
            </w:tr>
          </w:tbl>
          <w:p>
            <w:pPr>
              <w:adjustRightInd w:val="0"/>
              <w:snapToGrid w:val="0"/>
              <w:spacing w:line="360" w:lineRule="auto"/>
              <w:ind w:firstLine="482" w:firstLineChars="200"/>
              <w:rPr>
                <w:b/>
                <w:sz w:val="24"/>
              </w:rPr>
            </w:pPr>
            <w:r>
              <w:rPr>
                <w:b/>
                <w:sz w:val="24"/>
              </w:rPr>
              <w:t>3</w:t>
            </w:r>
            <w:r>
              <w:rPr>
                <w:rFonts w:hint="eastAsia"/>
                <w:b/>
                <w:sz w:val="24"/>
              </w:rPr>
              <w:t>、噪声</w:t>
            </w:r>
          </w:p>
          <w:p>
            <w:pPr>
              <w:adjustRightInd w:val="0"/>
              <w:snapToGrid w:val="0"/>
              <w:spacing w:line="360" w:lineRule="auto"/>
              <w:ind w:firstLine="480" w:firstLineChars="200"/>
              <w:rPr>
                <w:sz w:val="24"/>
              </w:rPr>
            </w:pPr>
            <w:r>
              <w:rPr>
                <w:rFonts w:hint="eastAsia"/>
                <w:sz w:val="24"/>
              </w:rPr>
              <w:t>项目运营期噪声主要有污水站提升泵及其他机械设备噪声、公路机动车辆噪声及广场娱乐活动噪声。</w:t>
            </w:r>
          </w:p>
          <w:p>
            <w:pPr>
              <w:adjustRightInd w:val="0"/>
              <w:snapToGrid w:val="0"/>
              <w:spacing w:line="360" w:lineRule="auto"/>
              <w:ind w:firstLine="480" w:firstLineChars="200"/>
              <w:rPr>
                <w:sz w:val="24"/>
              </w:rPr>
            </w:pPr>
            <w:r>
              <w:rPr>
                <w:rFonts w:hint="eastAsia"/>
                <w:sz w:val="24"/>
              </w:rPr>
              <w:t>广场娱乐活动产生的噪声一般在80</w:t>
            </w:r>
            <w:r>
              <w:rPr>
                <w:sz w:val="24"/>
              </w:rPr>
              <w:t xml:space="preserve"> dB(A)</w:t>
            </w:r>
            <w:r>
              <w:rPr>
                <w:rFonts w:hint="eastAsia"/>
                <w:sz w:val="24"/>
              </w:rPr>
              <w:t>以下。</w:t>
            </w:r>
          </w:p>
          <w:p>
            <w:pPr>
              <w:adjustRightInd w:val="0"/>
              <w:snapToGrid w:val="0"/>
              <w:spacing w:line="360" w:lineRule="auto"/>
              <w:ind w:firstLine="480" w:firstLineChars="200"/>
              <w:rPr>
                <w:sz w:val="24"/>
              </w:rPr>
            </w:pPr>
            <w:r>
              <w:rPr>
                <w:rFonts w:hint="eastAsia"/>
                <w:sz w:val="24"/>
              </w:rPr>
              <w:t>污水站处理设备</w:t>
            </w:r>
            <w:r>
              <w:rPr>
                <w:sz w:val="24"/>
              </w:rPr>
              <w:t>单机噪声源强在</w:t>
            </w:r>
            <w:r>
              <w:rPr>
                <w:rFonts w:hint="eastAsia"/>
                <w:sz w:val="24"/>
              </w:rPr>
              <w:t>9</w:t>
            </w:r>
            <w:r>
              <w:rPr>
                <w:sz w:val="24"/>
              </w:rPr>
              <w:t>0～10</w:t>
            </w:r>
            <w:r>
              <w:rPr>
                <w:rFonts w:hint="eastAsia"/>
                <w:sz w:val="24"/>
              </w:rPr>
              <w:t>0</w:t>
            </w:r>
            <w:r>
              <w:rPr>
                <w:sz w:val="24"/>
              </w:rPr>
              <w:t>dB(A)，见表</w:t>
            </w:r>
            <w:r>
              <w:rPr>
                <w:rFonts w:hint="eastAsia"/>
                <w:sz w:val="24"/>
              </w:rPr>
              <w:t>43，</w:t>
            </w:r>
            <w:r>
              <w:rPr>
                <w:sz w:val="24"/>
              </w:rPr>
              <w:t>采用隔声、加装消音器</w:t>
            </w:r>
            <w:r>
              <w:rPr>
                <w:rFonts w:hint="eastAsia"/>
                <w:sz w:val="24"/>
              </w:rPr>
              <w:t>和减震</w:t>
            </w:r>
            <w:r>
              <w:rPr>
                <w:sz w:val="24"/>
              </w:rPr>
              <w:t>等</w:t>
            </w:r>
            <w:r>
              <w:rPr>
                <w:rFonts w:hint="eastAsia"/>
                <w:sz w:val="24"/>
              </w:rPr>
              <w:t>措施进行处理</w:t>
            </w:r>
            <w:r>
              <w:rPr>
                <w:sz w:val="24"/>
              </w:rPr>
              <w:t>，</w:t>
            </w:r>
            <w:r>
              <w:rPr>
                <w:sz w:val="24"/>
                <w:lang w:val="en-GB"/>
              </w:rPr>
              <w:t>根据《环境影响评价技术方法》（环境保护部环境工程评估中心）采用隔声措施，一般可降噪15~40dB</w:t>
            </w:r>
            <w:r>
              <w:rPr>
                <w:rFonts w:hint="eastAsia"/>
                <w:sz w:val="24"/>
                <w:lang w:val="en-GB"/>
              </w:rPr>
              <w:t>(</w:t>
            </w:r>
            <w:r>
              <w:rPr>
                <w:sz w:val="24"/>
                <w:lang w:val="en-GB"/>
              </w:rPr>
              <w:t>A</w:t>
            </w:r>
            <w:r>
              <w:rPr>
                <w:rFonts w:hint="eastAsia"/>
                <w:sz w:val="24"/>
                <w:lang w:val="en-GB"/>
              </w:rPr>
              <w:t>)</w:t>
            </w:r>
            <w:r>
              <w:rPr>
                <w:sz w:val="24"/>
                <w:lang w:val="en-GB"/>
              </w:rPr>
              <w:t>，采用消声器，一般可降噪10~25dB</w:t>
            </w:r>
            <w:r>
              <w:rPr>
                <w:rFonts w:hint="eastAsia"/>
                <w:sz w:val="24"/>
                <w:lang w:val="en-GB"/>
              </w:rPr>
              <w:t>(</w:t>
            </w:r>
            <w:r>
              <w:rPr>
                <w:sz w:val="24"/>
                <w:lang w:val="en-GB"/>
              </w:rPr>
              <w:t>A</w:t>
            </w:r>
            <w:r>
              <w:rPr>
                <w:rFonts w:hint="eastAsia"/>
                <w:sz w:val="24"/>
                <w:lang w:val="en-GB"/>
              </w:rPr>
              <w:t>)，</w:t>
            </w:r>
            <w:r>
              <w:rPr>
                <w:sz w:val="24"/>
                <w:lang w:val="en-GB"/>
              </w:rPr>
              <w:t>减振措施可降噪5-15dB</w:t>
            </w:r>
            <w:r>
              <w:rPr>
                <w:rFonts w:hint="eastAsia"/>
                <w:sz w:val="24"/>
                <w:lang w:val="en-GB"/>
              </w:rPr>
              <w:t>(</w:t>
            </w:r>
            <w:r>
              <w:rPr>
                <w:sz w:val="24"/>
                <w:lang w:val="en-GB"/>
              </w:rPr>
              <w:t>A</w:t>
            </w:r>
            <w:r>
              <w:rPr>
                <w:rFonts w:hint="eastAsia"/>
                <w:sz w:val="24"/>
                <w:lang w:val="en-GB"/>
              </w:rPr>
              <w:t>)。</w:t>
            </w:r>
            <w:r>
              <w:rPr>
                <w:sz w:val="24"/>
                <w:lang w:val="en-GB"/>
              </w:rPr>
              <w:t>本次评价综合考虑采取隔音、消声、减振等效果，降噪效果按照</w:t>
            </w:r>
            <w:r>
              <w:rPr>
                <w:rFonts w:hint="eastAsia"/>
                <w:sz w:val="24"/>
                <w:lang w:val="en-GB"/>
              </w:rPr>
              <w:t>45</w:t>
            </w:r>
            <w:r>
              <w:rPr>
                <w:sz w:val="24"/>
                <w:lang w:val="en-GB"/>
              </w:rPr>
              <w:t>dB</w:t>
            </w:r>
            <w:r>
              <w:rPr>
                <w:rFonts w:hint="eastAsia"/>
                <w:sz w:val="24"/>
                <w:lang w:val="en-GB"/>
              </w:rPr>
              <w:t>(</w:t>
            </w:r>
            <w:r>
              <w:rPr>
                <w:sz w:val="24"/>
                <w:lang w:val="en-GB"/>
              </w:rPr>
              <w:t>A</w:t>
            </w:r>
            <w:r>
              <w:rPr>
                <w:rFonts w:hint="eastAsia"/>
                <w:sz w:val="24"/>
                <w:lang w:val="en-GB"/>
              </w:rPr>
              <w:t>)</w:t>
            </w:r>
            <w:r>
              <w:rPr>
                <w:sz w:val="24"/>
                <w:lang w:val="en-GB"/>
              </w:rPr>
              <w:t>计算。</w:t>
            </w:r>
          </w:p>
          <w:p>
            <w:pPr>
              <w:adjustRightInd w:val="0"/>
              <w:snapToGrid w:val="0"/>
              <w:spacing w:line="360" w:lineRule="auto"/>
              <w:ind w:firstLine="422" w:firstLineChars="200"/>
              <w:jc w:val="center"/>
              <w:rPr>
                <w:b/>
                <w:szCs w:val="21"/>
              </w:rPr>
            </w:pPr>
            <w:r>
              <w:rPr>
                <w:b/>
                <w:szCs w:val="21"/>
              </w:rPr>
              <w:t>表</w:t>
            </w:r>
            <w:r>
              <w:rPr>
                <w:rFonts w:hint="eastAsia"/>
                <w:b/>
                <w:szCs w:val="21"/>
              </w:rPr>
              <w:t xml:space="preserve">43  </w:t>
            </w:r>
            <w:r>
              <w:rPr>
                <w:b/>
                <w:szCs w:val="21"/>
              </w:rPr>
              <w:t xml:space="preserve"> 主要噪声源    单位：dB(A)</w:t>
            </w:r>
          </w:p>
          <w:tbl>
            <w:tblPr>
              <w:tblStyle w:val="35"/>
              <w:tblW w:w="890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803"/>
              <w:gridCol w:w="1209"/>
              <w:gridCol w:w="2158"/>
              <w:gridCol w:w="1260"/>
              <w:gridCol w:w="18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blHeader/>
                <w:jc w:val="center"/>
              </w:trPr>
              <w:tc>
                <w:tcPr>
                  <w:tcW w:w="1611" w:type="dxa"/>
                  <w:tcBorders>
                    <w:top w:val="single" w:color="auto" w:sz="12" w:space="0"/>
                    <w:left w:val="nil"/>
                    <w:bottom w:val="single" w:color="auto" w:sz="12" w:space="0"/>
                    <w:right w:val="single" w:color="auto" w:sz="2" w:space="0"/>
                  </w:tcBorders>
                  <w:vAlign w:val="center"/>
                </w:tcPr>
                <w:p>
                  <w:pPr>
                    <w:adjustRightInd w:val="0"/>
                    <w:snapToGrid w:val="0"/>
                    <w:jc w:val="center"/>
                    <w:rPr>
                      <w:b/>
                    </w:rPr>
                  </w:pPr>
                  <w:r>
                    <w:rPr>
                      <w:b/>
                    </w:rPr>
                    <w:t>设备</w:t>
                  </w:r>
                </w:p>
              </w:tc>
              <w:tc>
                <w:tcPr>
                  <w:tcW w:w="803" w:type="dxa"/>
                  <w:tcBorders>
                    <w:top w:val="single" w:color="auto" w:sz="12" w:space="0"/>
                    <w:bottom w:val="single" w:color="auto" w:sz="12" w:space="0"/>
                    <w:right w:val="single" w:color="auto" w:sz="2" w:space="0"/>
                  </w:tcBorders>
                  <w:vAlign w:val="center"/>
                </w:tcPr>
                <w:p>
                  <w:pPr>
                    <w:adjustRightInd w:val="0"/>
                    <w:snapToGrid w:val="0"/>
                    <w:jc w:val="center"/>
                    <w:rPr>
                      <w:b/>
                    </w:rPr>
                  </w:pPr>
                  <w:r>
                    <w:rPr>
                      <w:rFonts w:hint="eastAsia"/>
                      <w:b/>
                    </w:rPr>
                    <w:t>数量</w:t>
                  </w:r>
                </w:p>
              </w:tc>
              <w:tc>
                <w:tcPr>
                  <w:tcW w:w="1209" w:type="dxa"/>
                  <w:tcBorders>
                    <w:top w:val="single" w:color="auto" w:sz="12" w:space="0"/>
                    <w:bottom w:val="single" w:color="auto" w:sz="12" w:space="0"/>
                    <w:right w:val="single" w:color="auto" w:sz="2" w:space="0"/>
                  </w:tcBorders>
                  <w:vAlign w:val="center"/>
                </w:tcPr>
                <w:p>
                  <w:pPr>
                    <w:adjustRightInd w:val="0"/>
                    <w:snapToGrid w:val="0"/>
                    <w:jc w:val="center"/>
                    <w:rPr>
                      <w:b/>
                    </w:rPr>
                  </w:pPr>
                  <w:r>
                    <w:rPr>
                      <w:b/>
                    </w:rPr>
                    <w:t>噪声级</w:t>
                  </w:r>
                </w:p>
                <w:p>
                  <w:pPr>
                    <w:adjustRightInd w:val="0"/>
                    <w:snapToGrid w:val="0"/>
                    <w:jc w:val="center"/>
                    <w:rPr>
                      <w:b/>
                    </w:rPr>
                  </w:pPr>
                  <w:r>
                    <w:rPr>
                      <w:b/>
                    </w:rPr>
                    <w:t>dB（A）</w:t>
                  </w:r>
                </w:p>
              </w:tc>
              <w:tc>
                <w:tcPr>
                  <w:tcW w:w="2158" w:type="dxa"/>
                  <w:tcBorders>
                    <w:top w:val="single" w:color="auto" w:sz="12" w:space="0"/>
                    <w:left w:val="single" w:color="auto" w:sz="2" w:space="0"/>
                    <w:bottom w:val="single" w:color="auto" w:sz="12" w:space="0"/>
                    <w:right w:val="single" w:color="auto" w:sz="2" w:space="0"/>
                  </w:tcBorders>
                  <w:vAlign w:val="center"/>
                </w:tcPr>
                <w:p>
                  <w:pPr>
                    <w:adjustRightInd w:val="0"/>
                    <w:snapToGrid w:val="0"/>
                    <w:jc w:val="center"/>
                    <w:rPr>
                      <w:b/>
                      <w:szCs w:val="21"/>
                    </w:rPr>
                  </w:pPr>
                  <w:r>
                    <w:rPr>
                      <w:b/>
                      <w:szCs w:val="21"/>
                    </w:rPr>
                    <w:t>治理措施</w:t>
                  </w:r>
                </w:p>
              </w:tc>
              <w:tc>
                <w:tcPr>
                  <w:tcW w:w="1260" w:type="dxa"/>
                  <w:tcBorders>
                    <w:top w:val="single" w:color="auto" w:sz="12" w:space="0"/>
                    <w:left w:val="single" w:color="auto" w:sz="2" w:space="0"/>
                    <w:bottom w:val="single" w:color="auto" w:sz="12" w:space="0"/>
                  </w:tcBorders>
                  <w:vAlign w:val="center"/>
                </w:tcPr>
                <w:p>
                  <w:pPr>
                    <w:adjustRightInd w:val="0"/>
                    <w:snapToGrid w:val="0"/>
                    <w:ind w:left="-92" w:leftChars="-44" w:right="-90" w:rightChars="-43"/>
                    <w:jc w:val="center"/>
                    <w:rPr>
                      <w:b/>
                      <w:szCs w:val="21"/>
                    </w:rPr>
                  </w:pPr>
                  <w:r>
                    <w:rPr>
                      <w:b/>
                      <w:szCs w:val="21"/>
                    </w:rPr>
                    <w:t>降噪效果</w:t>
                  </w:r>
                </w:p>
                <w:p>
                  <w:pPr>
                    <w:adjustRightInd w:val="0"/>
                    <w:snapToGrid w:val="0"/>
                    <w:jc w:val="center"/>
                    <w:rPr>
                      <w:b/>
                      <w:szCs w:val="21"/>
                    </w:rPr>
                  </w:pPr>
                  <w:r>
                    <w:rPr>
                      <w:b/>
                      <w:szCs w:val="21"/>
                    </w:rPr>
                    <w:t>dB（A）</w:t>
                  </w:r>
                </w:p>
              </w:tc>
              <w:tc>
                <w:tcPr>
                  <w:tcW w:w="1860" w:type="dxa"/>
                  <w:tcBorders>
                    <w:top w:val="single" w:color="auto" w:sz="12" w:space="0"/>
                    <w:bottom w:val="single" w:color="auto" w:sz="12" w:space="0"/>
                    <w:right w:val="nil"/>
                  </w:tcBorders>
                  <w:vAlign w:val="center"/>
                </w:tcPr>
                <w:p>
                  <w:pPr>
                    <w:adjustRightInd w:val="0"/>
                    <w:snapToGrid w:val="0"/>
                    <w:jc w:val="center"/>
                    <w:rPr>
                      <w:b/>
                    </w:rPr>
                  </w:pPr>
                  <w:r>
                    <w:rPr>
                      <w:b/>
                    </w:rPr>
                    <w:t>治理后噪声</w:t>
                  </w:r>
                </w:p>
                <w:p>
                  <w:pPr>
                    <w:adjustRightInd w:val="0"/>
                    <w:snapToGrid w:val="0"/>
                    <w:jc w:val="center"/>
                    <w:rPr>
                      <w:b/>
                    </w:rPr>
                  </w:pPr>
                  <w:r>
                    <w:rPr>
                      <w:b/>
                      <w:szCs w:val="21"/>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611" w:type="dxa"/>
                  <w:tcBorders>
                    <w:left w:val="nil"/>
                    <w:right w:val="single" w:color="auto" w:sz="2" w:space="0"/>
                  </w:tcBorders>
                  <w:vAlign w:val="center"/>
                </w:tcPr>
                <w:p>
                  <w:pPr>
                    <w:adjustRightInd w:val="0"/>
                    <w:snapToGrid w:val="0"/>
                    <w:jc w:val="center"/>
                  </w:pPr>
                  <w:r>
                    <w:rPr>
                      <w:rFonts w:hint="eastAsia"/>
                    </w:rPr>
                    <w:t>提升</w:t>
                  </w:r>
                  <w:r>
                    <w:t>泵</w:t>
                  </w:r>
                </w:p>
              </w:tc>
              <w:tc>
                <w:tcPr>
                  <w:tcW w:w="803" w:type="dxa"/>
                  <w:tcBorders>
                    <w:right w:val="single" w:color="auto" w:sz="2" w:space="0"/>
                  </w:tcBorders>
                  <w:vAlign w:val="center"/>
                </w:tcPr>
                <w:p>
                  <w:pPr>
                    <w:adjustRightInd w:val="0"/>
                    <w:snapToGrid w:val="0"/>
                    <w:jc w:val="center"/>
                  </w:pPr>
                  <w:r>
                    <w:rPr>
                      <w:rFonts w:hint="eastAsia"/>
                    </w:rPr>
                    <w:t>2</w:t>
                  </w:r>
                </w:p>
              </w:tc>
              <w:tc>
                <w:tcPr>
                  <w:tcW w:w="1209" w:type="dxa"/>
                  <w:tcBorders>
                    <w:right w:val="single" w:color="auto" w:sz="2" w:space="0"/>
                  </w:tcBorders>
                  <w:vAlign w:val="center"/>
                </w:tcPr>
                <w:p>
                  <w:pPr>
                    <w:adjustRightInd w:val="0"/>
                    <w:snapToGrid w:val="0"/>
                    <w:jc w:val="center"/>
                  </w:pPr>
                  <w:r>
                    <w:t>95~10</w:t>
                  </w:r>
                  <w:r>
                    <w:rPr>
                      <w:rFonts w:hint="eastAsia"/>
                    </w:rPr>
                    <w:t>0</w:t>
                  </w:r>
                </w:p>
              </w:tc>
              <w:tc>
                <w:tcPr>
                  <w:tcW w:w="2158" w:type="dxa"/>
                  <w:tcBorders>
                    <w:left w:val="single" w:color="auto" w:sz="2" w:space="0"/>
                    <w:right w:val="single" w:color="auto" w:sz="2" w:space="0"/>
                  </w:tcBorders>
                  <w:vAlign w:val="center"/>
                </w:tcPr>
                <w:p>
                  <w:pPr>
                    <w:adjustRightInd w:val="0"/>
                    <w:snapToGrid w:val="0"/>
                    <w:jc w:val="center"/>
                    <w:rPr>
                      <w:szCs w:val="21"/>
                    </w:rPr>
                  </w:pPr>
                  <w:r>
                    <w:rPr>
                      <w:szCs w:val="21"/>
                    </w:rPr>
                    <w:t>减震、隔声</w:t>
                  </w:r>
                  <w:r>
                    <w:rPr>
                      <w:rFonts w:hint="eastAsia"/>
                      <w:szCs w:val="21"/>
                    </w:rPr>
                    <w:t>、消声</w:t>
                  </w:r>
                </w:p>
              </w:tc>
              <w:tc>
                <w:tcPr>
                  <w:tcW w:w="1260" w:type="dxa"/>
                  <w:tcBorders>
                    <w:left w:val="single" w:color="auto" w:sz="2" w:space="0"/>
                  </w:tcBorders>
                  <w:vAlign w:val="center"/>
                </w:tcPr>
                <w:p>
                  <w:pPr>
                    <w:adjustRightInd w:val="0"/>
                    <w:snapToGrid w:val="0"/>
                    <w:jc w:val="center"/>
                  </w:pPr>
                  <w:r>
                    <w:rPr>
                      <w:rFonts w:hint="eastAsia"/>
                    </w:rPr>
                    <w:t>45</w:t>
                  </w:r>
                </w:p>
              </w:tc>
              <w:tc>
                <w:tcPr>
                  <w:tcW w:w="1860" w:type="dxa"/>
                  <w:tcBorders>
                    <w:right w:val="nil"/>
                  </w:tcBorders>
                  <w:vAlign w:val="center"/>
                </w:tcPr>
                <w:p>
                  <w:pPr>
                    <w:jc w:val="center"/>
                  </w:pPr>
                  <w:r>
                    <w:rPr>
                      <w:rFonts w:hint="eastAsia"/>
                    </w:rPr>
                    <w:t>50</w:t>
                  </w:r>
                  <w:r>
                    <w:t>~</w:t>
                  </w:r>
                  <w:r>
                    <w:rPr>
                      <w:rFonts w:hint="eastAsia"/>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611" w:type="dxa"/>
                  <w:tcBorders>
                    <w:left w:val="nil"/>
                    <w:right w:val="single" w:color="auto" w:sz="2" w:space="0"/>
                  </w:tcBorders>
                  <w:vAlign w:val="center"/>
                </w:tcPr>
                <w:p>
                  <w:pPr>
                    <w:adjustRightInd w:val="0"/>
                    <w:snapToGrid w:val="0"/>
                    <w:jc w:val="center"/>
                  </w:pPr>
                  <w:r>
                    <w:rPr>
                      <w:rFonts w:hint="eastAsia"/>
                    </w:rPr>
                    <w:t>曝气机</w:t>
                  </w:r>
                </w:p>
              </w:tc>
              <w:tc>
                <w:tcPr>
                  <w:tcW w:w="803" w:type="dxa"/>
                  <w:tcBorders>
                    <w:right w:val="single" w:color="auto" w:sz="2" w:space="0"/>
                  </w:tcBorders>
                  <w:vAlign w:val="center"/>
                </w:tcPr>
                <w:p>
                  <w:pPr>
                    <w:adjustRightInd w:val="0"/>
                    <w:snapToGrid w:val="0"/>
                    <w:jc w:val="center"/>
                  </w:pPr>
                  <w:r>
                    <w:rPr>
                      <w:rFonts w:hint="eastAsia"/>
                    </w:rPr>
                    <w:t>1</w:t>
                  </w:r>
                </w:p>
              </w:tc>
              <w:tc>
                <w:tcPr>
                  <w:tcW w:w="1209" w:type="dxa"/>
                  <w:tcBorders>
                    <w:right w:val="single" w:color="auto" w:sz="2" w:space="0"/>
                  </w:tcBorders>
                  <w:vAlign w:val="center"/>
                </w:tcPr>
                <w:p>
                  <w:pPr>
                    <w:adjustRightInd w:val="0"/>
                    <w:snapToGrid w:val="0"/>
                    <w:jc w:val="center"/>
                  </w:pPr>
                  <w:r>
                    <w:rPr>
                      <w:rFonts w:hint="eastAsia"/>
                    </w:rPr>
                    <w:t>90</w:t>
                  </w:r>
                  <w:r>
                    <w:rPr>
                      <w:szCs w:val="18"/>
                    </w:rPr>
                    <w:t>~</w:t>
                  </w:r>
                  <w:r>
                    <w:rPr>
                      <w:rFonts w:hint="eastAsia"/>
                    </w:rPr>
                    <w:t>95</w:t>
                  </w:r>
                </w:p>
              </w:tc>
              <w:tc>
                <w:tcPr>
                  <w:tcW w:w="2158" w:type="dxa"/>
                  <w:tcBorders>
                    <w:left w:val="single" w:color="auto" w:sz="2" w:space="0"/>
                    <w:right w:val="single" w:color="auto" w:sz="2" w:space="0"/>
                  </w:tcBorders>
                  <w:vAlign w:val="center"/>
                </w:tcPr>
                <w:p>
                  <w:pPr>
                    <w:adjustRightInd w:val="0"/>
                    <w:snapToGrid w:val="0"/>
                    <w:jc w:val="center"/>
                    <w:rPr>
                      <w:szCs w:val="21"/>
                    </w:rPr>
                  </w:pPr>
                  <w:r>
                    <w:rPr>
                      <w:szCs w:val="21"/>
                    </w:rPr>
                    <w:t>减震、隔声</w:t>
                  </w:r>
                  <w:r>
                    <w:rPr>
                      <w:rFonts w:hint="eastAsia"/>
                      <w:szCs w:val="21"/>
                    </w:rPr>
                    <w:t>、消声</w:t>
                  </w:r>
                </w:p>
              </w:tc>
              <w:tc>
                <w:tcPr>
                  <w:tcW w:w="1260" w:type="dxa"/>
                  <w:tcBorders>
                    <w:left w:val="single" w:color="auto" w:sz="2" w:space="0"/>
                  </w:tcBorders>
                  <w:vAlign w:val="center"/>
                </w:tcPr>
                <w:p>
                  <w:pPr>
                    <w:jc w:val="center"/>
                  </w:pPr>
                  <w:r>
                    <w:rPr>
                      <w:rFonts w:hint="eastAsia"/>
                    </w:rPr>
                    <w:t>45</w:t>
                  </w:r>
                </w:p>
              </w:tc>
              <w:tc>
                <w:tcPr>
                  <w:tcW w:w="1860" w:type="dxa"/>
                  <w:tcBorders>
                    <w:right w:val="nil"/>
                  </w:tcBorders>
                  <w:vAlign w:val="center"/>
                </w:tcPr>
                <w:p>
                  <w:pPr>
                    <w:jc w:val="center"/>
                  </w:pPr>
                  <w:r>
                    <w:rPr>
                      <w:rFonts w:hint="eastAsia"/>
                    </w:rPr>
                    <w:t>45</w:t>
                  </w:r>
                  <w:r>
                    <w:t>~</w:t>
                  </w:r>
                  <w:r>
                    <w:rPr>
                      <w:rFonts w:hint="eastAsi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611" w:type="dxa"/>
                  <w:tcBorders>
                    <w:left w:val="nil"/>
                    <w:right w:val="single" w:color="auto" w:sz="2" w:space="0"/>
                  </w:tcBorders>
                  <w:vAlign w:val="center"/>
                </w:tcPr>
                <w:p>
                  <w:pPr>
                    <w:adjustRightInd w:val="0"/>
                    <w:snapToGrid w:val="0"/>
                    <w:jc w:val="center"/>
                  </w:pPr>
                  <w:r>
                    <w:rPr>
                      <w:rFonts w:hint="eastAsia"/>
                    </w:rPr>
                    <w:t>污泥泵</w:t>
                  </w:r>
                </w:p>
              </w:tc>
              <w:tc>
                <w:tcPr>
                  <w:tcW w:w="803" w:type="dxa"/>
                  <w:tcBorders>
                    <w:right w:val="single" w:color="auto" w:sz="2" w:space="0"/>
                  </w:tcBorders>
                  <w:vAlign w:val="center"/>
                </w:tcPr>
                <w:p>
                  <w:pPr>
                    <w:adjustRightInd w:val="0"/>
                    <w:snapToGrid w:val="0"/>
                    <w:jc w:val="center"/>
                  </w:pPr>
                  <w:r>
                    <w:rPr>
                      <w:rFonts w:hint="eastAsia"/>
                    </w:rPr>
                    <w:t>1</w:t>
                  </w:r>
                </w:p>
              </w:tc>
              <w:tc>
                <w:tcPr>
                  <w:tcW w:w="1209" w:type="dxa"/>
                  <w:tcBorders>
                    <w:right w:val="single" w:color="auto" w:sz="2" w:space="0"/>
                  </w:tcBorders>
                  <w:vAlign w:val="center"/>
                </w:tcPr>
                <w:p>
                  <w:pPr>
                    <w:adjustRightInd w:val="0"/>
                    <w:snapToGrid w:val="0"/>
                    <w:jc w:val="center"/>
                  </w:pPr>
                  <w:r>
                    <w:rPr>
                      <w:rFonts w:hint="eastAsia"/>
                    </w:rPr>
                    <w:t>90</w:t>
                  </w:r>
                  <w:r>
                    <w:t>~10</w:t>
                  </w:r>
                  <w:r>
                    <w:rPr>
                      <w:rFonts w:hint="eastAsia"/>
                    </w:rPr>
                    <w:t>0</w:t>
                  </w:r>
                </w:p>
              </w:tc>
              <w:tc>
                <w:tcPr>
                  <w:tcW w:w="2158" w:type="dxa"/>
                  <w:tcBorders>
                    <w:left w:val="single" w:color="auto" w:sz="2" w:space="0"/>
                    <w:right w:val="single" w:color="auto" w:sz="2" w:space="0"/>
                  </w:tcBorders>
                  <w:vAlign w:val="center"/>
                </w:tcPr>
                <w:p>
                  <w:pPr>
                    <w:adjustRightInd w:val="0"/>
                    <w:snapToGrid w:val="0"/>
                    <w:jc w:val="center"/>
                    <w:rPr>
                      <w:szCs w:val="21"/>
                    </w:rPr>
                  </w:pPr>
                  <w:r>
                    <w:rPr>
                      <w:szCs w:val="21"/>
                    </w:rPr>
                    <w:t>减震、隔声</w:t>
                  </w:r>
                  <w:r>
                    <w:rPr>
                      <w:rFonts w:hint="eastAsia"/>
                      <w:szCs w:val="21"/>
                    </w:rPr>
                    <w:t>、消声</w:t>
                  </w:r>
                </w:p>
              </w:tc>
              <w:tc>
                <w:tcPr>
                  <w:tcW w:w="1260" w:type="dxa"/>
                  <w:tcBorders>
                    <w:left w:val="single" w:color="auto" w:sz="2" w:space="0"/>
                  </w:tcBorders>
                  <w:vAlign w:val="center"/>
                </w:tcPr>
                <w:p>
                  <w:pPr>
                    <w:jc w:val="center"/>
                  </w:pPr>
                  <w:r>
                    <w:rPr>
                      <w:rFonts w:hint="eastAsia"/>
                    </w:rPr>
                    <w:t>45</w:t>
                  </w:r>
                </w:p>
              </w:tc>
              <w:tc>
                <w:tcPr>
                  <w:tcW w:w="1860" w:type="dxa"/>
                  <w:tcBorders>
                    <w:right w:val="nil"/>
                  </w:tcBorders>
                  <w:vAlign w:val="center"/>
                </w:tcPr>
                <w:p>
                  <w:pPr>
                    <w:jc w:val="center"/>
                  </w:pPr>
                  <w:r>
                    <w:rPr>
                      <w:rFonts w:hint="eastAsia"/>
                    </w:rPr>
                    <w:t>45</w:t>
                  </w:r>
                  <w:r>
                    <w:t>~</w:t>
                  </w:r>
                  <w:r>
                    <w:rPr>
                      <w:rFonts w:hint="eastAsia"/>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611" w:type="dxa"/>
                  <w:tcBorders>
                    <w:left w:val="nil"/>
                    <w:right w:val="single" w:color="auto" w:sz="2" w:space="0"/>
                  </w:tcBorders>
                  <w:vAlign w:val="center"/>
                </w:tcPr>
                <w:p>
                  <w:pPr>
                    <w:adjustRightInd w:val="0"/>
                    <w:snapToGrid w:val="0"/>
                    <w:jc w:val="center"/>
                  </w:pPr>
                  <w:r>
                    <w:rPr>
                      <w:rFonts w:hint="eastAsia"/>
                    </w:rPr>
                    <w:t>过滤器提升泵</w:t>
                  </w:r>
                </w:p>
              </w:tc>
              <w:tc>
                <w:tcPr>
                  <w:tcW w:w="803" w:type="dxa"/>
                  <w:tcBorders>
                    <w:right w:val="single" w:color="auto" w:sz="2" w:space="0"/>
                  </w:tcBorders>
                  <w:vAlign w:val="center"/>
                </w:tcPr>
                <w:p>
                  <w:pPr>
                    <w:adjustRightInd w:val="0"/>
                    <w:snapToGrid w:val="0"/>
                    <w:jc w:val="center"/>
                  </w:pPr>
                  <w:r>
                    <w:rPr>
                      <w:rFonts w:hint="eastAsia"/>
                    </w:rPr>
                    <w:t>2</w:t>
                  </w:r>
                </w:p>
              </w:tc>
              <w:tc>
                <w:tcPr>
                  <w:tcW w:w="1209" w:type="dxa"/>
                  <w:tcBorders>
                    <w:right w:val="single" w:color="auto" w:sz="2" w:space="0"/>
                  </w:tcBorders>
                  <w:vAlign w:val="center"/>
                </w:tcPr>
                <w:p>
                  <w:pPr>
                    <w:adjustRightInd w:val="0"/>
                    <w:snapToGrid w:val="0"/>
                    <w:jc w:val="center"/>
                  </w:pPr>
                  <w:r>
                    <w:t>95~10</w:t>
                  </w:r>
                  <w:r>
                    <w:rPr>
                      <w:rFonts w:hint="eastAsia"/>
                    </w:rPr>
                    <w:t>0</w:t>
                  </w:r>
                </w:p>
              </w:tc>
              <w:tc>
                <w:tcPr>
                  <w:tcW w:w="2158" w:type="dxa"/>
                  <w:tcBorders>
                    <w:left w:val="single" w:color="auto" w:sz="2" w:space="0"/>
                    <w:right w:val="single" w:color="auto" w:sz="2" w:space="0"/>
                  </w:tcBorders>
                  <w:vAlign w:val="center"/>
                </w:tcPr>
                <w:p>
                  <w:pPr>
                    <w:adjustRightInd w:val="0"/>
                    <w:snapToGrid w:val="0"/>
                    <w:jc w:val="center"/>
                    <w:rPr>
                      <w:szCs w:val="21"/>
                    </w:rPr>
                  </w:pPr>
                  <w:r>
                    <w:rPr>
                      <w:szCs w:val="21"/>
                    </w:rPr>
                    <w:t>减震、隔声</w:t>
                  </w:r>
                  <w:r>
                    <w:rPr>
                      <w:rFonts w:hint="eastAsia"/>
                      <w:szCs w:val="21"/>
                    </w:rPr>
                    <w:t>、消声</w:t>
                  </w:r>
                </w:p>
              </w:tc>
              <w:tc>
                <w:tcPr>
                  <w:tcW w:w="1260" w:type="dxa"/>
                  <w:tcBorders>
                    <w:left w:val="single" w:color="auto" w:sz="2" w:space="0"/>
                  </w:tcBorders>
                  <w:vAlign w:val="center"/>
                </w:tcPr>
                <w:p>
                  <w:pPr>
                    <w:jc w:val="center"/>
                  </w:pPr>
                  <w:r>
                    <w:rPr>
                      <w:rFonts w:hint="eastAsia"/>
                    </w:rPr>
                    <w:t>45</w:t>
                  </w:r>
                </w:p>
              </w:tc>
              <w:tc>
                <w:tcPr>
                  <w:tcW w:w="1860" w:type="dxa"/>
                  <w:tcBorders>
                    <w:right w:val="nil"/>
                  </w:tcBorders>
                  <w:vAlign w:val="center"/>
                </w:tcPr>
                <w:p>
                  <w:pPr>
                    <w:jc w:val="center"/>
                  </w:pPr>
                  <w:r>
                    <w:rPr>
                      <w:rFonts w:hint="eastAsia"/>
                    </w:rPr>
                    <w:t>50</w:t>
                  </w:r>
                  <w:r>
                    <w:t>~</w:t>
                  </w:r>
                  <w:r>
                    <w:rPr>
                      <w:rFonts w:hint="eastAsia"/>
                    </w:rPr>
                    <w:t>55</w:t>
                  </w:r>
                </w:p>
              </w:tc>
            </w:tr>
          </w:tbl>
          <w:p>
            <w:pPr>
              <w:adjustRightInd w:val="0"/>
              <w:snapToGrid w:val="0"/>
              <w:spacing w:line="360" w:lineRule="auto"/>
              <w:ind w:firstLine="480" w:firstLineChars="200"/>
              <w:rPr>
                <w:bCs/>
                <w:sz w:val="24"/>
                <w:szCs w:val="24"/>
              </w:rPr>
            </w:pPr>
            <w:r>
              <w:rPr>
                <w:rFonts w:hint="eastAsia"/>
                <w:bCs/>
                <w:sz w:val="24"/>
                <w:szCs w:val="24"/>
              </w:rPr>
              <w:t>公路运营期噪声污染源</w:t>
            </w:r>
            <w:r>
              <w:rPr>
                <w:bCs/>
                <w:sz w:val="24"/>
                <w:szCs w:val="24"/>
              </w:rPr>
              <w:t>主要来源于机动车辆。</w:t>
            </w:r>
            <w:r>
              <w:rPr>
                <w:rFonts w:hint="eastAsia"/>
                <w:bCs/>
                <w:sz w:val="24"/>
                <w:szCs w:val="24"/>
              </w:rPr>
              <w:t>本项目道路工程仅进行路面维修，交通量不会增加。</w:t>
            </w:r>
            <w:r>
              <w:rPr>
                <w:bCs/>
                <w:sz w:val="24"/>
                <w:szCs w:val="24"/>
              </w:rPr>
              <w:t>在公路上行驶的机动车辆噪声源为非稳定源，车辆的发动机、冷却系统、传动系统等部件均会产生噪声；行驶中引起的气流湍流、排气系统、轮胎与路面的摩擦产生的噪声。该公路运营期车速为</w:t>
            </w:r>
            <w:r>
              <w:rPr>
                <w:rFonts w:hint="eastAsia"/>
                <w:bCs/>
                <w:sz w:val="24"/>
                <w:szCs w:val="24"/>
              </w:rPr>
              <w:t>30</w:t>
            </w:r>
            <w:r>
              <w:rPr>
                <w:bCs/>
                <w:sz w:val="24"/>
                <w:szCs w:val="24"/>
              </w:rPr>
              <w:t>km/h，根据公路交通噪声排放源试验结果，各型车行驶的辐射声级见表</w:t>
            </w:r>
            <w:r>
              <w:rPr>
                <w:rFonts w:hint="eastAsia"/>
                <w:bCs/>
                <w:sz w:val="24"/>
                <w:szCs w:val="24"/>
              </w:rPr>
              <w:t>44</w:t>
            </w:r>
            <w:r>
              <w:rPr>
                <w:bCs/>
                <w:sz w:val="24"/>
                <w:szCs w:val="24"/>
              </w:rPr>
              <w:t>。</w:t>
            </w:r>
          </w:p>
          <w:p>
            <w:pPr>
              <w:adjustRightInd w:val="0"/>
              <w:snapToGrid w:val="0"/>
              <w:jc w:val="center"/>
              <w:rPr>
                <w:b/>
                <w:szCs w:val="21"/>
              </w:rPr>
            </w:pPr>
            <w:r>
              <w:rPr>
                <w:b/>
                <w:szCs w:val="21"/>
              </w:rPr>
              <w:t>表</w:t>
            </w:r>
            <w:r>
              <w:rPr>
                <w:rFonts w:hint="eastAsia"/>
                <w:b/>
                <w:szCs w:val="21"/>
              </w:rPr>
              <w:t>44</w:t>
            </w:r>
            <w:r>
              <w:rPr>
                <w:b/>
                <w:szCs w:val="21"/>
              </w:rPr>
              <w:t xml:space="preserve">  </w:t>
            </w:r>
            <w:r>
              <w:rPr>
                <w:rFonts w:hint="eastAsia"/>
                <w:b/>
                <w:szCs w:val="21"/>
              </w:rPr>
              <w:t xml:space="preserve"> </w:t>
            </w:r>
            <w:r>
              <w:rPr>
                <w:b/>
                <w:szCs w:val="21"/>
              </w:rPr>
              <w:t>各类型车的平均辐射声级</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31"/>
              <w:gridCol w:w="3233"/>
              <w:gridCol w:w="1823"/>
              <w:gridCol w:w="291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13" w:hRule="atLeast"/>
              </w:trPr>
              <w:tc>
                <w:tcPr>
                  <w:tcW w:w="931"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车型</w:t>
                  </w:r>
                </w:p>
              </w:tc>
              <w:tc>
                <w:tcPr>
                  <w:tcW w:w="3233"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辐射声级计算式</w:t>
                  </w:r>
                </w:p>
              </w:tc>
              <w:tc>
                <w:tcPr>
                  <w:tcW w:w="1823" w:type="dxa"/>
                  <w:vAlign w:val="center"/>
                </w:tcPr>
                <w:p>
                  <w:pPr>
                    <w:pStyle w:val="161"/>
                    <w:snapToGrid w:val="0"/>
                    <w:jc w:val="center"/>
                    <w:rPr>
                      <w:rFonts w:ascii="Times New Roman" w:cs="Times New Roman"/>
                      <w:b/>
                      <w:color w:val="auto"/>
                      <w:sz w:val="21"/>
                      <w:szCs w:val="21"/>
                    </w:rPr>
                  </w:pPr>
                  <w:r>
                    <w:rPr>
                      <w:rFonts w:ascii="Times New Roman" w:cs="Times New Roman"/>
                      <w:b/>
                      <w:color w:val="auto"/>
                      <w:sz w:val="21"/>
                      <w:szCs w:val="21"/>
                    </w:rPr>
                    <w:t>车速（km/h）</w:t>
                  </w:r>
                </w:p>
              </w:tc>
              <w:tc>
                <w:tcPr>
                  <w:tcW w:w="2914" w:type="dxa"/>
                  <w:vAlign w:val="center"/>
                </w:tcPr>
                <w:p>
                  <w:pPr>
                    <w:pStyle w:val="161"/>
                    <w:snapToGrid w:val="0"/>
                    <w:jc w:val="center"/>
                    <w:rPr>
                      <w:rFonts w:ascii="Times New Roman" w:cs="Times New Roman"/>
                      <w:b/>
                      <w:color w:val="auto"/>
                      <w:sz w:val="21"/>
                      <w:szCs w:val="21"/>
                    </w:rPr>
                  </w:pPr>
                  <w:r>
                    <w:rPr>
                      <w:rFonts w:hint="eastAsia" w:ascii="Times New Roman" w:cs="Times New Roman"/>
                      <w:b/>
                      <w:color w:val="auto"/>
                      <w:sz w:val="21"/>
                      <w:szCs w:val="21"/>
                    </w:rPr>
                    <w:t>7.5m</w:t>
                  </w:r>
                  <w:r>
                    <w:rPr>
                      <w:rFonts w:ascii="Times New Roman" w:cs="Times New Roman"/>
                      <w:b/>
                      <w:color w:val="auto"/>
                      <w:sz w:val="21"/>
                      <w:szCs w:val="21"/>
                    </w:rPr>
                    <w:t>辐射声级dB(A)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20" w:hRule="atLeast"/>
              </w:trPr>
              <w:tc>
                <w:tcPr>
                  <w:tcW w:w="931"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小型</w:t>
                  </w:r>
                </w:p>
              </w:tc>
              <w:tc>
                <w:tcPr>
                  <w:tcW w:w="323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Los=34.73 lgVs+12.6</w:t>
                  </w:r>
                </w:p>
              </w:tc>
              <w:tc>
                <w:tcPr>
                  <w:tcW w:w="1823" w:type="dxa"/>
                  <w:vAlign w:val="center"/>
                </w:tcPr>
                <w:p>
                  <w:pPr>
                    <w:pStyle w:val="161"/>
                    <w:snapToGrid w:val="0"/>
                    <w:jc w:val="center"/>
                    <w:rPr>
                      <w:rFonts w:ascii="Times New Roman" w:cs="Times New Roman"/>
                      <w:color w:val="auto"/>
                      <w:sz w:val="21"/>
                      <w:szCs w:val="21"/>
                    </w:rPr>
                  </w:pPr>
                  <w:r>
                    <w:rPr>
                      <w:rFonts w:hint="eastAsia" w:ascii="Times New Roman" w:cs="Times New Roman"/>
                      <w:color w:val="auto"/>
                      <w:sz w:val="21"/>
                      <w:szCs w:val="21"/>
                    </w:rPr>
                    <w:t>30</w:t>
                  </w:r>
                </w:p>
              </w:tc>
              <w:tc>
                <w:tcPr>
                  <w:tcW w:w="2914" w:type="dxa"/>
                  <w:vAlign w:val="center"/>
                </w:tcPr>
                <w:p>
                  <w:pPr>
                    <w:pStyle w:val="161"/>
                    <w:snapToGrid w:val="0"/>
                    <w:jc w:val="center"/>
                    <w:rPr>
                      <w:rFonts w:ascii="Times New Roman" w:cs="Times New Roman"/>
                      <w:color w:val="auto"/>
                      <w:sz w:val="21"/>
                      <w:szCs w:val="21"/>
                    </w:rPr>
                  </w:pPr>
                  <w:r>
                    <w:rPr>
                      <w:rFonts w:hint="eastAsia" w:ascii="Times New Roman" w:cs="Times New Roman"/>
                      <w:color w:val="auto"/>
                      <w:sz w:val="21"/>
                      <w:szCs w:val="21"/>
                    </w:rPr>
                    <w:t>61.47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22" w:hRule="atLeast"/>
              </w:trPr>
              <w:tc>
                <w:tcPr>
                  <w:tcW w:w="931"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中型</w:t>
                  </w:r>
                </w:p>
              </w:tc>
              <w:tc>
                <w:tcPr>
                  <w:tcW w:w="323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Lom=40.48 lgVm+8.8</w:t>
                  </w:r>
                </w:p>
              </w:tc>
              <w:tc>
                <w:tcPr>
                  <w:tcW w:w="1823" w:type="dxa"/>
                  <w:vAlign w:val="center"/>
                </w:tcPr>
                <w:p>
                  <w:pPr>
                    <w:pStyle w:val="161"/>
                    <w:snapToGrid w:val="0"/>
                    <w:jc w:val="center"/>
                    <w:rPr>
                      <w:rFonts w:ascii="Times New Roman" w:cs="Times New Roman"/>
                      <w:color w:val="auto"/>
                      <w:sz w:val="21"/>
                      <w:szCs w:val="21"/>
                    </w:rPr>
                  </w:pPr>
                  <w:r>
                    <w:rPr>
                      <w:rFonts w:hint="eastAsia" w:ascii="Times New Roman" w:cs="Times New Roman"/>
                      <w:color w:val="auto"/>
                      <w:sz w:val="21"/>
                      <w:szCs w:val="21"/>
                    </w:rPr>
                    <w:t>30</w:t>
                  </w:r>
                </w:p>
              </w:tc>
              <w:tc>
                <w:tcPr>
                  <w:tcW w:w="2914" w:type="dxa"/>
                  <w:vAlign w:val="center"/>
                </w:tcPr>
                <w:p>
                  <w:pPr>
                    <w:pStyle w:val="161"/>
                    <w:snapToGrid w:val="0"/>
                    <w:jc w:val="center"/>
                    <w:rPr>
                      <w:rFonts w:ascii="Times New Roman" w:cs="Times New Roman"/>
                      <w:color w:val="auto"/>
                      <w:sz w:val="21"/>
                      <w:szCs w:val="21"/>
                    </w:rPr>
                  </w:pPr>
                  <w:r>
                    <w:rPr>
                      <w:rFonts w:hint="eastAsia" w:ascii="Times New Roman" w:cs="Times New Roman"/>
                      <w:color w:val="auto"/>
                      <w:sz w:val="21"/>
                      <w:szCs w:val="21"/>
                    </w:rPr>
                    <w:t>63.90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20" w:hRule="atLeast"/>
              </w:trPr>
              <w:tc>
                <w:tcPr>
                  <w:tcW w:w="931"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大型</w:t>
                  </w:r>
                </w:p>
              </w:tc>
              <w:tc>
                <w:tcPr>
                  <w:tcW w:w="3233" w:type="dxa"/>
                  <w:vAlign w:val="center"/>
                </w:tcPr>
                <w:p>
                  <w:pPr>
                    <w:pStyle w:val="161"/>
                    <w:snapToGrid w:val="0"/>
                    <w:jc w:val="center"/>
                    <w:rPr>
                      <w:rFonts w:ascii="Times New Roman" w:cs="Times New Roman"/>
                      <w:color w:val="auto"/>
                      <w:sz w:val="21"/>
                      <w:szCs w:val="21"/>
                    </w:rPr>
                  </w:pPr>
                  <w:r>
                    <w:rPr>
                      <w:rFonts w:ascii="Times New Roman" w:cs="Times New Roman"/>
                      <w:color w:val="auto"/>
                      <w:sz w:val="21"/>
                      <w:szCs w:val="21"/>
                    </w:rPr>
                    <w:t>Lol=36.32 lgVl+22</w:t>
                  </w:r>
                </w:p>
              </w:tc>
              <w:tc>
                <w:tcPr>
                  <w:tcW w:w="1823" w:type="dxa"/>
                  <w:vAlign w:val="center"/>
                </w:tcPr>
                <w:p>
                  <w:pPr>
                    <w:pStyle w:val="161"/>
                    <w:snapToGrid w:val="0"/>
                    <w:jc w:val="center"/>
                    <w:rPr>
                      <w:rFonts w:ascii="Times New Roman" w:cs="Times New Roman"/>
                      <w:color w:val="auto"/>
                      <w:sz w:val="21"/>
                      <w:szCs w:val="21"/>
                    </w:rPr>
                  </w:pPr>
                  <w:r>
                    <w:rPr>
                      <w:rFonts w:hint="eastAsia" w:ascii="Times New Roman" w:cs="Times New Roman"/>
                      <w:color w:val="auto"/>
                      <w:sz w:val="21"/>
                      <w:szCs w:val="21"/>
                    </w:rPr>
                    <w:t>30</w:t>
                  </w:r>
                </w:p>
              </w:tc>
              <w:tc>
                <w:tcPr>
                  <w:tcW w:w="2914" w:type="dxa"/>
                  <w:vAlign w:val="center"/>
                </w:tcPr>
                <w:p>
                  <w:pPr>
                    <w:pStyle w:val="161"/>
                    <w:snapToGrid w:val="0"/>
                    <w:jc w:val="center"/>
                    <w:rPr>
                      <w:rFonts w:ascii="Times New Roman" w:cs="Times New Roman"/>
                      <w:color w:val="auto"/>
                      <w:sz w:val="21"/>
                      <w:szCs w:val="21"/>
                    </w:rPr>
                  </w:pPr>
                  <w:r>
                    <w:rPr>
                      <w:rFonts w:hint="eastAsia" w:ascii="Times New Roman" w:cs="Times New Roman"/>
                      <w:color w:val="auto"/>
                      <w:sz w:val="21"/>
                      <w:szCs w:val="21"/>
                    </w:rPr>
                    <w:t>69.25</w:t>
                  </w:r>
                </w:p>
              </w:tc>
            </w:tr>
          </w:tbl>
          <w:p>
            <w:pPr>
              <w:adjustRightInd w:val="0"/>
              <w:snapToGrid w:val="0"/>
              <w:spacing w:line="360" w:lineRule="auto"/>
              <w:ind w:firstLine="482" w:firstLineChars="200"/>
              <w:rPr>
                <w:b/>
                <w:sz w:val="24"/>
              </w:rPr>
            </w:pPr>
            <w:r>
              <w:rPr>
                <w:b/>
                <w:sz w:val="24"/>
              </w:rPr>
              <w:t>4</w:t>
            </w:r>
            <w:r>
              <w:rPr>
                <w:rFonts w:hint="eastAsia"/>
                <w:b/>
                <w:sz w:val="24"/>
              </w:rPr>
              <w:t>、固体废物</w:t>
            </w:r>
          </w:p>
          <w:p>
            <w:pPr>
              <w:adjustRightInd w:val="0"/>
              <w:snapToGrid w:val="0"/>
              <w:spacing w:line="360" w:lineRule="auto"/>
              <w:ind w:firstLine="480" w:firstLineChars="200"/>
              <w:rPr>
                <w:sz w:val="24"/>
              </w:rPr>
            </w:pPr>
            <w:r>
              <w:rPr>
                <w:rFonts w:hint="eastAsia"/>
                <w:sz w:val="24"/>
              </w:rPr>
              <w:t>拟建项目营运后，固废废弃物主要有污水站污水处理产生的格栅渣、剩余污泥和废滤料，公路上</w:t>
            </w:r>
            <w:r>
              <w:rPr>
                <w:rFonts w:hint="eastAsia"/>
                <w:bCs/>
                <w:sz w:val="24"/>
              </w:rPr>
              <w:t>行人与乘客随意抛洒的生活垃圾、落叶等；广场娱乐活动产生的生活垃圾；雨污水管网淤泥。</w:t>
            </w:r>
          </w:p>
          <w:p>
            <w:pPr>
              <w:adjustRightInd w:val="0"/>
              <w:snapToGrid w:val="0"/>
              <w:spacing w:line="360" w:lineRule="auto"/>
              <w:ind w:firstLine="480" w:firstLineChars="200"/>
              <w:rPr>
                <w:sz w:val="24"/>
              </w:rPr>
            </w:pPr>
            <w:r>
              <w:rPr>
                <w:rFonts w:hint="eastAsia"/>
                <w:sz w:val="24"/>
              </w:rPr>
              <w:t>①</w:t>
            </w:r>
            <w:r>
              <w:rPr>
                <w:sz w:val="24"/>
              </w:rPr>
              <w:t xml:space="preserve"> </w:t>
            </w:r>
            <w:r>
              <w:rPr>
                <w:rFonts w:hint="eastAsia"/>
                <w:sz w:val="24"/>
              </w:rPr>
              <w:t>污水站</w:t>
            </w:r>
          </w:p>
          <w:p>
            <w:pPr>
              <w:adjustRightInd w:val="0"/>
              <w:snapToGrid w:val="0"/>
              <w:spacing w:line="360" w:lineRule="auto"/>
              <w:ind w:firstLine="480" w:firstLineChars="200"/>
              <w:rPr>
                <w:sz w:val="24"/>
              </w:rPr>
            </w:pPr>
            <w:r>
              <w:rPr>
                <w:sz w:val="24"/>
              </w:rPr>
              <w:t>格栅的拦截物，主要是塑料、木块等飘浮物质，根据《室外排水设计规范》（GB50101-2005）， 城市污水的栅渣量可按每m</w:t>
            </w:r>
            <w:r>
              <w:rPr>
                <w:sz w:val="24"/>
                <w:vertAlign w:val="superscript"/>
              </w:rPr>
              <w:t>3</w:t>
            </w:r>
            <w:r>
              <w:rPr>
                <w:sz w:val="24"/>
              </w:rPr>
              <w:t>污水0.1kg/d计算。据此推算拟建项目的栅渣量约为</w:t>
            </w:r>
            <w:r>
              <w:rPr>
                <w:rFonts w:hint="eastAsia"/>
                <w:sz w:val="24"/>
              </w:rPr>
              <w:t>10kg</w:t>
            </w:r>
            <w:r>
              <w:rPr>
                <w:sz w:val="24"/>
              </w:rPr>
              <w:t>/d</w:t>
            </w:r>
            <w:r>
              <w:rPr>
                <w:rFonts w:hint="eastAsia"/>
                <w:sz w:val="24"/>
              </w:rPr>
              <w:t>（3.65</w:t>
            </w:r>
            <w:r>
              <w:rPr>
                <w:sz w:val="24"/>
              </w:rPr>
              <w:t>t/a</w:t>
            </w:r>
            <w:r>
              <w:rPr>
                <w:rFonts w:hint="eastAsia"/>
                <w:sz w:val="24"/>
              </w:rPr>
              <w:t>）</w:t>
            </w:r>
            <w:r>
              <w:rPr>
                <w:sz w:val="24"/>
              </w:rPr>
              <w:t xml:space="preserve">。 </w:t>
            </w:r>
          </w:p>
          <w:p>
            <w:pPr>
              <w:adjustRightInd w:val="0"/>
              <w:snapToGrid w:val="0"/>
              <w:spacing w:line="360" w:lineRule="auto"/>
              <w:ind w:firstLine="480" w:firstLineChars="200"/>
              <w:rPr>
                <w:sz w:val="24"/>
              </w:rPr>
            </w:pPr>
            <w:r>
              <w:rPr>
                <w:rFonts w:hint="eastAsia"/>
                <w:sz w:val="24"/>
              </w:rPr>
              <w:t>根据同类型项目经验估算值，每1万吨污水产含水率80%污泥6t~10t，本项目为乡镇生活污水集中处置，取含水率80%污泥产量6t/1万t污水，则本项目含水率80%污泥产量0.06t/d（21.9t/a）。</w:t>
            </w:r>
          </w:p>
          <w:p>
            <w:pPr>
              <w:adjustRightInd w:val="0"/>
              <w:snapToGrid w:val="0"/>
              <w:spacing w:line="360" w:lineRule="auto"/>
              <w:ind w:firstLine="480" w:firstLineChars="200"/>
              <w:rPr>
                <w:sz w:val="24"/>
              </w:rPr>
            </w:pPr>
            <w:r>
              <w:rPr>
                <w:rFonts w:hint="eastAsia"/>
                <w:sz w:val="24"/>
              </w:rPr>
              <w:t>项目产生的废滤料主要为污水三级处理时石英砂滤池产生的，根据设备厂家提供数据资料，选用优质滤料五年更换一次，每次更换总量为0.2t~0.3t，本次以0.25t/5a计。根据《根据国家危险废物名录》（2016年8月1日施行），本项目属于生活污水处理，产生的废滤料不属于危险废物。</w:t>
            </w:r>
          </w:p>
          <w:p>
            <w:pPr>
              <w:adjustRightInd w:val="0"/>
              <w:snapToGrid w:val="0"/>
              <w:spacing w:line="360" w:lineRule="auto"/>
              <w:ind w:firstLine="480" w:firstLineChars="200"/>
              <w:rPr>
                <w:sz w:val="24"/>
              </w:rPr>
            </w:pPr>
            <w:r>
              <w:rPr>
                <w:rFonts w:hint="eastAsia"/>
                <w:sz w:val="24"/>
              </w:rPr>
              <w:t>②道路工程</w:t>
            </w:r>
          </w:p>
          <w:p>
            <w:pPr>
              <w:adjustRightInd w:val="0"/>
              <w:snapToGrid w:val="0"/>
              <w:spacing w:line="360" w:lineRule="auto"/>
              <w:ind w:firstLine="480" w:firstLineChars="200"/>
              <w:rPr>
                <w:sz w:val="24"/>
              </w:rPr>
            </w:pPr>
            <w:r>
              <w:rPr>
                <w:rFonts w:hint="eastAsia"/>
                <w:sz w:val="24"/>
              </w:rPr>
              <w:t>项目公路为太昌镇街道主干道，根据咨询环卫部门经验数据，街道路面垃圾平均每天产生约5.0kg。</w:t>
            </w:r>
          </w:p>
          <w:p>
            <w:pPr>
              <w:adjustRightInd w:val="0"/>
              <w:snapToGrid w:val="0"/>
              <w:spacing w:line="360" w:lineRule="auto"/>
              <w:ind w:firstLine="480" w:firstLineChars="200"/>
              <w:rPr>
                <w:bCs/>
                <w:sz w:val="24"/>
              </w:rPr>
            </w:pPr>
            <w:r>
              <w:rPr>
                <w:rFonts w:hint="eastAsia"/>
                <w:bCs/>
                <w:sz w:val="24"/>
              </w:rPr>
              <w:t>③广场工程</w:t>
            </w:r>
          </w:p>
          <w:p>
            <w:pPr>
              <w:adjustRightInd w:val="0"/>
              <w:snapToGrid w:val="0"/>
              <w:spacing w:line="360" w:lineRule="auto"/>
              <w:ind w:firstLine="480" w:firstLineChars="200"/>
              <w:rPr>
                <w:bCs/>
                <w:sz w:val="24"/>
              </w:rPr>
            </w:pPr>
            <w:r>
              <w:rPr>
                <w:rFonts w:hint="eastAsia"/>
                <w:bCs/>
                <w:sz w:val="24"/>
              </w:rPr>
              <w:t>周围居民在项目广场内散步、闲暇娱乐时会产生一定量的垃圾，类比其他乡镇活动广场收集生活垃圾数据，产生量约为4.5kg/d。</w:t>
            </w:r>
          </w:p>
          <w:p>
            <w:pPr>
              <w:adjustRightInd w:val="0"/>
              <w:snapToGrid w:val="0"/>
              <w:spacing w:line="360" w:lineRule="auto"/>
              <w:ind w:firstLine="480" w:firstLineChars="200"/>
              <w:rPr>
                <w:bCs/>
                <w:sz w:val="24"/>
              </w:rPr>
            </w:pPr>
            <w:r>
              <w:rPr>
                <w:rFonts w:hint="eastAsia"/>
                <w:bCs/>
                <w:sz w:val="24"/>
              </w:rPr>
              <w:t>④雨污水管网</w:t>
            </w:r>
          </w:p>
          <w:p>
            <w:pPr>
              <w:adjustRightInd w:val="0"/>
              <w:snapToGrid w:val="0"/>
              <w:spacing w:line="360" w:lineRule="auto"/>
              <w:ind w:firstLine="480" w:firstLineChars="200"/>
              <w:rPr>
                <w:sz w:val="24"/>
              </w:rPr>
            </w:pPr>
            <w:r>
              <w:rPr>
                <w:rFonts w:hint="eastAsia"/>
                <w:bCs/>
                <w:sz w:val="24"/>
              </w:rPr>
              <w:t>雨水中含有一定量的泥沙，污水在管网运输过程中也会少量沉积，沉积淤泥量以污水站剩余污泥的10%计，则清理淤泥量2.2t/a。</w:t>
            </w:r>
          </w:p>
          <w:p>
            <w:pPr>
              <w:adjustRightInd w:val="0"/>
              <w:snapToGrid w:val="0"/>
              <w:spacing w:line="360" w:lineRule="auto"/>
              <w:ind w:firstLine="480" w:firstLineChars="200"/>
              <w:rPr>
                <w:sz w:val="24"/>
              </w:rPr>
            </w:pPr>
            <w:r>
              <w:rPr>
                <w:rFonts w:hint="eastAsia"/>
                <w:sz w:val="24"/>
              </w:rPr>
              <w:t>项目</w:t>
            </w:r>
            <w:r>
              <w:rPr>
                <w:sz w:val="24"/>
              </w:rPr>
              <w:t>主要固体废物排放量见表</w:t>
            </w:r>
            <w:r>
              <w:rPr>
                <w:rFonts w:hint="eastAsia"/>
                <w:sz w:val="24"/>
              </w:rPr>
              <w:t>45</w:t>
            </w:r>
            <w:r>
              <w:rPr>
                <w:sz w:val="24"/>
              </w:rPr>
              <w:t>。</w:t>
            </w:r>
          </w:p>
          <w:p>
            <w:pPr>
              <w:spacing w:line="460" w:lineRule="exact"/>
              <w:ind w:firstLine="422" w:firstLineChars="200"/>
              <w:jc w:val="center"/>
              <w:rPr>
                <w:b/>
                <w:szCs w:val="21"/>
              </w:rPr>
            </w:pPr>
            <w:r>
              <w:rPr>
                <w:b/>
                <w:szCs w:val="21"/>
              </w:rPr>
              <w:t>表</w:t>
            </w:r>
            <w:r>
              <w:rPr>
                <w:rFonts w:hint="eastAsia"/>
                <w:b/>
                <w:szCs w:val="21"/>
              </w:rPr>
              <w:t>45</w:t>
            </w:r>
            <w:r>
              <w:rPr>
                <w:b/>
                <w:szCs w:val="21"/>
              </w:rPr>
              <w:t xml:space="preserve">  主要固体废物排放量</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06"/>
              <w:gridCol w:w="979"/>
              <w:gridCol w:w="899"/>
              <w:gridCol w:w="56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2" w:hRule="atLeast"/>
              </w:trPr>
              <w:tc>
                <w:tcPr>
                  <w:tcW w:w="1406" w:type="dxa"/>
                  <w:vMerge w:val="restart"/>
                  <w:vAlign w:val="center"/>
                </w:tcPr>
                <w:p>
                  <w:pPr>
                    <w:jc w:val="center"/>
                    <w:rPr>
                      <w:b/>
                    </w:rPr>
                  </w:pPr>
                  <w:r>
                    <w:rPr>
                      <w:b/>
                    </w:rPr>
                    <w:t>种类</w:t>
                  </w:r>
                </w:p>
              </w:tc>
              <w:tc>
                <w:tcPr>
                  <w:tcW w:w="1878" w:type="dxa"/>
                  <w:gridSpan w:val="2"/>
                  <w:vAlign w:val="center"/>
                </w:tcPr>
                <w:p>
                  <w:pPr>
                    <w:jc w:val="center"/>
                    <w:rPr>
                      <w:b/>
                    </w:rPr>
                  </w:pPr>
                  <w:r>
                    <w:rPr>
                      <w:rFonts w:hint="eastAsia"/>
                      <w:b/>
                    </w:rPr>
                    <w:t>产生量</w:t>
                  </w:r>
                </w:p>
              </w:tc>
              <w:tc>
                <w:tcPr>
                  <w:tcW w:w="5617" w:type="dxa"/>
                  <w:vMerge w:val="restart"/>
                  <w:vAlign w:val="center"/>
                </w:tcPr>
                <w:p>
                  <w:pPr>
                    <w:jc w:val="center"/>
                    <w:rPr>
                      <w:b/>
                    </w:rPr>
                  </w:pPr>
                  <w:r>
                    <w:rPr>
                      <w:rFonts w:hint="eastAsia"/>
                      <w:b/>
                    </w:rPr>
                    <w:t>处置措施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6" w:hRule="atLeast"/>
              </w:trPr>
              <w:tc>
                <w:tcPr>
                  <w:tcW w:w="1406" w:type="dxa"/>
                  <w:vMerge w:val="continue"/>
                  <w:vAlign w:val="center"/>
                </w:tcPr>
                <w:p>
                  <w:pPr>
                    <w:jc w:val="center"/>
                  </w:pPr>
                </w:p>
              </w:tc>
              <w:tc>
                <w:tcPr>
                  <w:tcW w:w="979" w:type="dxa"/>
                  <w:vAlign w:val="center"/>
                </w:tcPr>
                <w:p>
                  <w:pPr>
                    <w:jc w:val="center"/>
                  </w:pPr>
                  <w:r>
                    <w:t>t /d</w:t>
                  </w:r>
                </w:p>
              </w:tc>
              <w:tc>
                <w:tcPr>
                  <w:tcW w:w="899" w:type="dxa"/>
                  <w:vAlign w:val="center"/>
                </w:tcPr>
                <w:p>
                  <w:pPr>
                    <w:jc w:val="center"/>
                  </w:pPr>
                  <w:r>
                    <w:t>t /a</w:t>
                  </w:r>
                </w:p>
              </w:tc>
              <w:tc>
                <w:tcPr>
                  <w:tcW w:w="5617" w:type="dxa"/>
                  <w:vMerge w:val="continue"/>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0" w:hRule="atLeast"/>
              </w:trPr>
              <w:tc>
                <w:tcPr>
                  <w:tcW w:w="1406" w:type="dxa"/>
                  <w:vAlign w:val="center"/>
                </w:tcPr>
                <w:p>
                  <w:pPr>
                    <w:jc w:val="center"/>
                    <w:rPr>
                      <w:szCs w:val="21"/>
                    </w:rPr>
                  </w:pPr>
                  <w:r>
                    <w:rPr>
                      <w:szCs w:val="21"/>
                    </w:rPr>
                    <w:t>格栅</w:t>
                  </w:r>
                  <w:r>
                    <w:rPr>
                      <w:rFonts w:hint="eastAsia"/>
                      <w:szCs w:val="21"/>
                    </w:rPr>
                    <w:t>渣</w:t>
                  </w:r>
                </w:p>
              </w:tc>
              <w:tc>
                <w:tcPr>
                  <w:tcW w:w="979" w:type="dxa"/>
                  <w:vAlign w:val="center"/>
                </w:tcPr>
                <w:p>
                  <w:pPr>
                    <w:jc w:val="center"/>
                    <w:rPr>
                      <w:szCs w:val="21"/>
                    </w:rPr>
                  </w:pPr>
                  <w:r>
                    <w:rPr>
                      <w:rFonts w:hint="eastAsia"/>
                      <w:szCs w:val="21"/>
                    </w:rPr>
                    <w:t>0.01</w:t>
                  </w:r>
                </w:p>
              </w:tc>
              <w:tc>
                <w:tcPr>
                  <w:tcW w:w="899" w:type="dxa"/>
                  <w:vAlign w:val="center"/>
                </w:tcPr>
                <w:p>
                  <w:pPr>
                    <w:jc w:val="center"/>
                    <w:rPr>
                      <w:szCs w:val="21"/>
                    </w:rPr>
                  </w:pPr>
                  <w:r>
                    <w:rPr>
                      <w:rFonts w:hint="eastAsia"/>
                      <w:szCs w:val="21"/>
                    </w:rPr>
                    <w:t>3.65</w:t>
                  </w:r>
                </w:p>
              </w:tc>
              <w:tc>
                <w:tcPr>
                  <w:tcW w:w="5617" w:type="dxa"/>
                  <w:vAlign w:val="center"/>
                </w:tcPr>
                <w:p>
                  <w:pPr>
                    <w:jc w:val="center"/>
                    <w:rPr>
                      <w:szCs w:val="21"/>
                    </w:rPr>
                  </w:pPr>
                  <w:r>
                    <w:rPr>
                      <w:rFonts w:hint="eastAsia"/>
                      <w:szCs w:val="21"/>
                    </w:rPr>
                    <w:t>定期外运宁县和盛镇生活垃圾填埋场卫生填埋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8" w:hRule="atLeast"/>
              </w:trPr>
              <w:tc>
                <w:tcPr>
                  <w:tcW w:w="1406" w:type="dxa"/>
                  <w:vAlign w:val="center"/>
                </w:tcPr>
                <w:p>
                  <w:pPr>
                    <w:jc w:val="center"/>
                    <w:rPr>
                      <w:szCs w:val="21"/>
                    </w:rPr>
                  </w:pPr>
                  <w:r>
                    <w:rPr>
                      <w:szCs w:val="21"/>
                    </w:rPr>
                    <w:t>剩余污泥</w:t>
                  </w:r>
                </w:p>
              </w:tc>
              <w:tc>
                <w:tcPr>
                  <w:tcW w:w="979" w:type="dxa"/>
                  <w:vAlign w:val="center"/>
                </w:tcPr>
                <w:p>
                  <w:pPr>
                    <w:jc w:val="center"/>
                    <w:rPr>
                      <w:szCs w:val="21"/>
                    </w:rPr>
                  </w:pPr>
                  <w:r>
                    <w:rPr>
                      <w:rFonts w:hint="eastAsia"/>
                      <w:szCs w:val="21"/>
                    </w:rPr>
                    <w:t>0.06</w:t>
                  </w:r>
                </w:p>
              </w:tc>
              <w:tc>
                <w:tcPr>
                  <w:tcW w:w="899" w:type="dxa"/>
                  <w:vAlign w:val="center"/>
                </w:tcPr>
                <w:p>
                  <w:pPr>
                    <w:jc w:val="center"/>
                    <w:rPr>
                      <w:szCs w:val="21"/>
                    </w:rPr>
                  </w:pPr>
                  <w:r>
                    <w:rPr>
                      <w:rFonts w:hint="eastAsia"/>
                      <w:szCs w:val="21"/>
                    </w:rPr>
                    <w:t>21.9</w:t>
                  </w:r>
                </w:p>
              </w:tc>
              <w:tc>
                <w:tcPr>
                  <w:tcW w:w="5617" w:type="dxa"/>
                  <w:vAlign w:val="center"/>
                </w:tcPr>
                <w:p>
                  <w:pPr>
                    <w:jc w:val="center"/>
                    <w:rPr>
                      <w:szCs w:val="21"/>
                    </w:rPr>
                  </w:pPr>
                  <w:r>
                    <w:rPr>
                      <w:rFonts w:hint="eastAsia"/>
                      <w:bCs/>
                      <w:szCs w:val="21"/>
                    </w:rPr>
                    <w:t>近期交由有资质单位处理，远期建设深度处理，至含水率低于60%送</w:t>
                  </w:r>
                  <w:r>
                    <w:rPr>
                      <w:rFonts w:hint="eastAsia"/>
                      <w:szCs w:val="21"/>
                    </w:rPr>
                    <w:t>宁县和盛镇生活垃圾填埋场</w:t>
                  </w:r>
                  <w:r>
                    <w:rPr>
                      <w:rFonts w:hint="eastAsia"/>
                      <w:bCs/>
                      <w:szCs w:val="21"/>
                    </w:rPr>
                    <w:t>卫生填埋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7" w:hRule="atLeast"/>
              </w:trPr>
              <w:tc>
                <w:tcPr>
                  <w:tcW w:w="1406" w:type="dxa"/>
                  <w:vAlign w:val="center"/>
                </w:tcPr>
                <w:p>
                  <w:pPr>
                    <w:jc w:val="center"/>
                    <w:rPr>
                      <w:szCs w:val="21"/>
                    </w:rPr>
                  </w:pPr>
                  <w:r>
                    <w:rPr>
                      <w:rFonts w:hint="eastAsia"/>
                      <w:szCs w:val="21"/>
                    </w:rPr>
                    <w:t>废滤料</w:t>
                  </w:r>
                </w:p>
              </w:tc>
              <w:tc>
                <w:tcPr>
                  <w:tcW w:w="1878" w:type="dxa"/>
                  <w:gridSpan w:val="2"/>
                  <w:vAlign w:val="center"/>
                </w:tcPr>
                <w:p>
                  <w:pPr>
                    <w:jc w:val="center"/>
                    <w:rPr>
                      <w:szCs w:val="21"/>
                    </w:rPr>
                  </w:pPr>
                  <w:r>
                    <w:rPr>
                      <w:rFonts w:hint="eastAsia"/>
                      <w:szCs w:val="21"/>
                    </w:rPr>
                    <w:t>0.25t/5a</w:t>
                  </w:r>
                </w:p>
              </w:tc>
              <w:tc>
                <w:tcPr>
                  <w:tcW w:w="5617" w:type="dxa"/>
                  <w:vAlign w:val="center"/>
                </w:tcPr>
                <w:p>
                  <w:pPr>
                    <w:jc w:val="center"/>
                    <w:rPr>
                      <w:szCs w:val="21"/>
                    </w:rPr>
                  </w:pPr>
                  <w:r>
                    <w:rPr>
                      <w:rFonts w:hint="eastAsia"/>
                      <w:szCs w:val="21"/>
                    </w:rPr>
                    <w:t>定期外运至宁县和盛镇生活垃圾填埋场卫生填埋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7" w:hRule="atLeast"/>
              </w:trPr>
              <w:tc>
                <w:tcPr>
                  <w:tcW w:w="1406" w:type="dxa"/>
                  <w:vAlign w:val="center"/>
                </w:tcPr>
                <w:p>
                  <w:pPr>
                    <w:jc w:val="center"/>
                    <w:rPr>
                      <w:szCs w:val="21"/>
                    </w:rPr>
                  </w:pPr>
                  <w:r>
                    <w:rPr>
                      <w:rFonts w:hint="eastAsia"/>
                      <w:szCs w:val="21"/>
                    </w:rPr>
                    <w:t>路面垃圾</w:t>
                  </w:r>
                </w:p>
              </w:tc>
              <w:tc>
                <w:tcPr>
                  <w:tcW w:w="979" w:type="dxa"/>
                  <w:vAlign w:val="center"/>
                </w:tcPr>
                <w:p>
                  <w:pPr>
                    <w:jc w:val="center"/>
                    <w:rPr>
                      <w:szCs w:val="21"/>
                    </w:rPr>
                  </w:pPr>
                  <w:r>
                    <w:rPr>
                      <w:rFonts w:hint="eastAsia"/>
                      <w:szCs w:val="21"/>
                    </w:rPr>
                    <w:t>5.0kg</w:t>
                  </w:r>
                </w:p>
              </w:tc>
              <w:tc>
                <w:tcPr>
                  <w:tcW w:w="899" w:type="dxa"/>
                  <w:vAlign w:val="center"/>
                </w:tcPr>
                <w:p>
                  <w:pPr>
                    <w:jc w:val="center"/>
                    <w:rPr>
                      <w:szCs w:val="21"/>
                    </w:rPr>
                  </w:pPr>
                  <w:r>
                    <w:rPr>
                      <w:rFonts w:hint="eastAsia"/>
                      <w:szCs w:val="21"/>
                    </w:rPr>
                    <w:t>1.8</w:t>
                  </w:r>
                </w:p>
              </w:tc>
              <w:tc>
                <w:tcPr>
                  <w:tcW w:w="5617" w:type="dxa"/>
                  <w:vMerge w:val="restart"/>
                  <w:vAlign w:val="center"/>
                </w:tcPr>
                <w:p>
                  <w:pPr>
                    <w:jc w:val="center"/>
                    <w:rPr>
                      <w:szCs w:val="21"/>
                    </w:rPr>
                  </w:pPr>
                  <w:r>
                    <w:rPr>
                      <w:rFonts w:hint="eastAsia"/>
                      <w:szCs w:val="21"/>
                    </w:rPr>
                    <w:t>由环卫部门雇佣附近居民统一清扫，统一集中处理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7" w:hRule="atLeast"/>
              </w:trPr>
              <w:tc>
                <w:tcPr>
                  <w:tcW w:w="1406" w:type="dxa"/>
                  <w:vAlign w:val="center"/>
                </w:tcPr>
                <w:p>
                  <w:pPr>
                    <w:jc w:val="center"/>
                    <w:rPr>
                      <w:szCs w:val="21"/>
                    </w:rPr>
                  </w:pPr>
                  <w:r>
                    <w:rPr>
                      <w:rFonts w:hint="eastAsia"/>
                      <w:szCs w:val="21"/>
                    </w:rPr>
                    <w:t>广场垃圾</w:t>
                  </w:r>
                </w:p>
              </w:tc>
              <w:tc>
                <w:tcPr>
                  <w:tcW w:w="979" w:type="dxa"/>
                  <w:vAlign w:val="center"/>
                </w:tcPr>
                <w:p>
                  <w:pPr>
                    <w:jc w:val="center"/>
                    <w:rPr>
                      <w:szCs w:val="21"/>
                    </w:rPr>
                  </w:pPr>
                  <w:r>
                    <w:rPr>
                      <w:rFonts w:hint="eastAsia"/>
                      <w:szCs w:val="21"/>
                    </w:rPr>
                    <w:t>4.5kg</w:t>
                  </w:r>
                </w:p>
              </w:tc>
              <w:tc>
                <w:tcPr>
                  <w:tcW w:w="899" w:type="dxa"/>
                  <w:vAlign w:val="center"/>
                </w:tcPr>
                <w:p>
                  <w:pPr>
                    <w:jc w:val="center"/>
                    <w:rPr>
                      <w:szCs w:val="21"/>
                    </w:rPr>
                  </w:pPr>
                  <w:r>
                    <w:rPr>
                      <w:rFonts w:hint="eastAsia"/>
                      <w:szCs w:val="21"/>
                    </w:rPr>
                    <w:t>1.6</w:t>
                  </w:r>
                </w:p>
              </w:tc>
              <w:tc>
                <w:tcPr>
                  <w:tcW w:w="5617"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7" w:hRule="atLeast"/>
              </w:trPr>
              <w:tc>
                <w:tcPr>
                  <w:tcW w:w="1406" w:type="dxa"/>
                  <w:vAlign w:val="center"/>
                </w:tcPr>
                <w:p>
                  <w:pPr>
                    <w:jc w:val="center"/>
                    <w:rPr>
                      <w:szCs w:val="21"/>
                    </w:rPr>
                  </w:pPr>
                  <w:r>
                    <w:rPr>
                      <w:rFonts w:hint="eastAsia"/>
                      <w:szCs w:val="21"/>
                    </w:rPr>
                    <w:t>管网淤泥</w:t>
                  </w:r>
                </w:p>
              </w:tc>
              <w:tc>
                <w:tcPr>
                  <w:tcW w:w="979" w:type="dxa"/>
                  <w:vAlign w:val="center"/>
                </w:tcPr>
                <w:p>
                  <w:pPr>
                    <w:jc w:val="center"/>
                    <w:rPr>
                      <w:szCs w:val="21"/>
                    </w:rPr>
                  </w:pPr>
                  <w:r>
                    <w:rPr>
                      <w:rFonts w:hint="eastAsia"/>
                      <w:szCs w:val="21"/>
                    </w:rPr>
                    <w:t>6.0kg</w:t>
                  </w:r>
                </w:p>
              </w:tc>
              <w:tc>
                <w:tcPr>
                  <w:tcW w:w="899" w:type="dxa"/>
                  <w:vAlign w:val="center"/>
                </w:tcPr>
                <w:p>
                  <w:pPr>
                    <w:jc w:val="center"/>
                    <w:rPr>
                      <w:szCs w:val="21"/>
                    </w:rPr>
                  </w:pPr>
                  <w:r>
                    <w:rPr>
                      <w:rFonts w:hint="eastAsia"/>
                      <w:szCs w:val="21"/>
                    </w:rPr>
                    <w:t>2.2</w:t>
                  </w:r>
                </w:p>
              </w:tc>
              <w:tc>
                <w:tcPr>
                  <w:tcW w:w="5617" w:type="dxa"/>
                  <w:vAlign w:val="center"/>
                </w:tcPr>
                <w:p>
                  <w:pPr>
                    <w:jc w:val="center"/>
                    <w:rPr>
                      <w:szCs w:val="21"/>
                    </w:rPr>
                  </w:pPr>
                  <w:r>
                    <w:rPr>
                      <w:rFonts w:hint="eastAsia"/>
                      <w:szCs w:val="21"/>
                    </w:rPr>
                    <w:t>和污水站污泥一起处理</w:t>
                  </w:r>
                </w:p>
              </w:tc>
            </w:tr>
          </w:tbl>
          <w:p>
            <w:pPr>
              <w:tabs>
                <w:tab w:val="left" w:pos="3110"/>
              </w:tabs>
              <w:adjustRightInd w:val="0"/>
              <w:snapToGrid w:val="0"/>
              <w:spacing w:line="360" w:lineRule="auto"/>
              <w:rPr>
                <w:rFonts w:hAnsi="宋体"/>
                <w:sz w:val="24"/>
              </w:rPr>
            </w:pPr>
          </w:p>
        </w:tc>
      </w:tr>
    </w:tbl>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p>
    <w:p>
      <w:pPr>
        <w:outlineLvl w:val="0"/>
        <w:rPr>
          <w:b/>
          <w:sz w:val="32"/>
        </w:rPr>
      </w:pPr>
      <w:r>
        <w:rPr>
          <w:rFonts w:hint="eastAsia"/>
          <w:b/>
          <w:sz w:val="32"/>
        </w:rPr>
        <w:t>项目主要污染物产生及预计排放情况</w:t>
      </w:r>
    </w:p>
    <w:tbl>
      <w:tblPr>
        <w:tblStyle w:val="35"/>
        <w:tblW w:w="911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6"/>
        <w:gridCol w:w="1946"/>
        <w:gridCol w:w="1701"/>
        <w:gridCol w:w="2149"/>
        <w:gridCol w:w="24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31" w:hRule="atLeast"/>
          <w:jc w:val="center"/>
        </w:trPr>
        <w:tc>
          <w:tcPr>
            <w:tcW w:w="856" w:type="dxa"/>
            <w:tcBorders>
              <w:top w:val="single" w:color="auto" w:sz="12" w:space="0"/>
            </w:tcBorders>
            <w:vAlign w:val="center"/>
          </w:tcPr>
          <w:p>
            <w:pPr>
              <w:spacing w:line="300" w:lineRule="exact"/>
              <w:jc w:val="center"/>
              <w:rPr>
                <w:b/>
                <w:sz w:val="24"/>
                <w:szCs w:val="24"/>
              </w:rPr>
            </w:pPr>
            <w:r>
              <w:rPr>
                <w:rFonts w:hint="eastAsia"/>
                <w:b/>
                <w:sz w:val="24"/>
                <w:szCs w:val="24"/>
              </w:rPr>
              <w:t>内容</w:t>
            </w:r>
          </w:p>
          <w:p>
            <w:pPr>
              <w:spacing w:before="120" w:line="300" w:lineRule="exact"/>
              <w:jc w:val="center"/>
              <w:rPr>
                <w:b/>
                <w:sz w:val="24"/>
                <w:szCs w:val="24"/>
              </w:rPr>
            </w:pPr>
            <w:r>
              <w:rPr>
                <w:rFonts w:hint="eastAsia"/>
                <w:b/>
                <w:sz w:val="24"/>
                <w:szCs w:val="24"/>
              </w:rPr>
              <w:t>类型</w:t>
            </w:r>
          </w:p>
        </w:tc>
        <w:tc>
          <w:tcPr>
            <w:tcW w:w="1946" w:type="dxa"/>
            <w:tcBorders>
              <w:top w:val="single" w:color="auto" w:sz="12" w:space="0"/>
            </w:tcBorders>
            <w:vAlign w:val="center"/>
          </w:tcPr>
          <w:p>
            <w:pPr>
              <w:spacing w:line="300" w:lineRule="exact"/>
              <w:jc w:val="center"/>
              <w:rPr>
                <w:b/>
                <w:sz w:val="24"/>
                <w:szCs w:val="24"/>
              </w:rPr>
            </w:pPr>
            <w:r>
              <w:rPr>
                <w:rFonts w:hint="eastAsia"/>
                <w:b/>
                <w:sz w:val="24"/>
                <w:szCs w:val="24"/>
              </w:rPr>
              <w:t>排放源（编号）</w:t>
            </w:r>
          </w:p>
        </w:tc>
        <w:tc>
          <w:tcPr>
            <w:tcW w:w="1701" w:type="dxa"/>
            <w:tcBorders>
              <w:top w:val="single" w:color="auto" w:sz="12" w:space="0"/>
            </w:tcBorders>
            <w:vAlign w:val="center"/>
          </w:tcPr>
          <w:p>
            <w:pPr>
              <w:spacing w:line="300" w:lineRule="exact"/>
              <w:jc w:val="center"/>
              <w:rPr>
                <w:b/>
                <w:sz w:val="24"/>
                <w:szCs w:val="24"/>
              </w:rPr>
            </w:pPr>
            <w:r>
              <w:rPr>
                <w:rFonts w:hint="eastAsia"/>
                <w:b/>
                <w:sz w:val="24"/>
                <w:szCs w:val="24"/>
              </w:rPr>
              <w:t>污染物名称</w:t>
            </w:r>
          </w:p>
        </w:tc>
        <w:tc>
          <w:tcPr>
            <w:tcW w:w="2149" w:type="dxa"/>
            <w:tcBorders>
              <w:top w:val="single" w:color="auto" w:sz="12" w:space="0"/>
            </w:tcBorders>
            <w:vAlign w:val="center"/>
          </w:tcPr>
          <w:p>
            <w:pPr>
              <w:spacing w:line="300" w:lineRule="exact"/>
              <w:jc w:val="center"/>
              <w:rPr>
                <w:b/>
                <w:sz w:val="24"/>
                <w:szCs w:val="24"/>
              </w:rPr>
            </w:pPr>
            <w:r>
              <w:rPr>
                <w:rFonts w:hint="eastAsia"/>
                <w:b/>
                <w:sz w:val="24"/>
                <w:szCs w:val="24"/>
              </w:rPr>
              <w:t>处理前产生浓度</w:t>
            </w:r>
          </w:p>
          <w:p>
            <w:pPr>
              <w:spacing w:line="300" w:lineRule="exact"/>
              <w:jc w:val="center"/>
              <w:rPr>
                <w:b/>
                <w:sz w:val="24"/>
                <w:szCs w:val="24"/>
              </w:rPr>
            </w:pPr>
            <w:r>
              <w:rPr>
                <w:rFonts w:hint="eastAsia"/>
                <w:b/>
                <w:sz w:val="24"/>
                <w:szCs w:val="24"/>
              </w:rPr>
              <w:t>及产生量</w:t>
            </w:r>
          </w:p>
        </w:tc>
        <w:tc>
          <w:tcPr>
            <w:tcW w:w="2465" w:type="dxa"/>
            <w:tcBorders>
              <w:top w:val="single" w:color="auto" w:sz="12" w:space="0"/>
            </w:tcBorders>
            <w:vAlign w:val="center"/>
          </w:tcPr>
          <w:p>
            <w:pPr>
              <w:spacing w:line="300" w:lineRule="exact"/>
              <w:jc w:val="center"/>
              <w:rPr>
                <w:b/>
                <w:sz w:val="24"/>
                <w:szCs w:val="24"/>
              </w:rPr>
            </w:pPr>
            <w:r>
              <w:rPr>
                <w:rFonts w:hint="eastAsia"/>
                <w:b/>
                <w:sz w:val="24"/>
                <w:szCs w:val="24"/>
              </w:rPr>
              <w:t>排放浓度及排放量（单位）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7" w:hRule="atLeast"/>
          <w:jc w:val="center"/>
        </w:trPr>
        <w:tc>
          <w:tcPr>
            <w:tcW w:w="856" w:type="dxa"/>
            <w:vMerge w:val="restart"/>
            <w:vAlign w:val="center"/>
          </w:tcPr>
          <w:p>
            <w:pPr>
              <w:spacing w:line="300" w:lineRule="exact"/>
              <w:jc w:val="center"/>
              <w:rPr>
                <w:b/>
                <w:sz w:val="24"/>
                <w:szCs w:val="24"/>
              </w:rPr>
            </w:pPr>
            <w:r>
              <w:rPr>
                <w:rFonts w:hint="eastAsia"/>
                <w:b/>
                <w:sz w:val="24"/>
                <w:szCs w:val="24"/>
              </w:rPr>
              <w:t>大</w:t>
            </w:r>
          </w:p>
          <w:p>
            <w:pPr>
              <w:spacing w:line="300" w:lineRule="exact"/>
              <w:jc w:val="center"/>
              <w:rPr>
                <w:b/>
                <w:sz w:val="24"/>
                <w:szCs w:val="24"/>
              </w:rPr>
            </w:pPr>
            <w:r>
              <w:rPr>
                <w:rFonts w:hint="eastAsia"/>
                <w:b/>
                <w:sz w:val="24"/>
                <w:szCs w:val="24"/>
              </w:rPr>
              <w:t>气</w:t>
            </w:r>
          </w:p>
          <w:p>
            <w:pPr>
              <w:spacing w:line="300" w:lineRule="exact"/>
              <w:jc w:val="center"/>
              <w:rPr>
                <w:b/>
                <w:sz w:val="24"/>
                <w:szCs w:val="24"/>
              </w:rPr>
            </w:pPr>
            <w:r>
              <w:rPr>
                <w:rFonts w:hint="eastAsia"/>
                <w:b/>
                <w:sz w:val="24"/>
                <w:szCs w:val="24"/>
              </w:rPr>
              <w:t>污</w:t>
            </w:r>
          </w:p>
          <w:p>
            <w:pPr>
              <w:spacing w:line="300" w:lineRule="exact"/>
              <w:jc w:val="center"/>
              <w:rPr>
                <w:b/>
                <w:sz w:val="24"/>
                <w:szCs w:val="24"/>
              </w:rPr>
            </w:pPr>
            <w:r>
              <w:rPr>
                <w:rFonts w:hint="eastAsia"/>
                <w:b/>
                <w:sz w:val="24"/>
                <w:szCs w:val="24"/>
              </w:rPr>
              <w:t>染</w:t>
            </w:r>
          </w:p>
          <w:p>
            <w:pPr>
              <w:spacing w:line="300" w:lineRule="exact"/>
              <w:jc w:val="center"/>
              <w:rPr>
                <w:b/>
                <w:sz w:val="24"/>
                <w:szCs w:val="24"/>
              </w:rPr>
            </w:pPr>
            <w:r>
              <w:rPr>
                <w:rFonts w:hint="eastAsia"/>
                <w:b/>
                <w:sz w:val="24"/>
                <w:szCs w:val="24"/>
              </w:rPr>
              <w:t>物</w:t>
            </w:r>
          </w:p>
        </w:tc>
        <w:tc>
          <w:tcPr>
            <w:tcW w:w="1946" w:type="dxa"/>
            <w:vMerge w:val="restart"/>
            <w:vAlign w:val="center"/>
          </w:tcPr>
          <w:p>
            <w:pPr>
              <w:jc w:val="center"/>
              <w:rPr>
                <w:szCs w:val="21"/>
              </w:rPr>
            </w:pPr>
            <w:r>
              <w:rPr>
                <w:rFonts w:hint="eastAsia"/>
                <w:szCs w:val="21"/>
              </w:rPr>
              <w:t>污水处理站恶臭</w:t>
            </w:r>
          </w:p>
        </w:tc>
        <w:tc>
          <w:tcPr>
            <w:tcW w:w="1701" w:type="dxa"/>
            <w:vAlign w:val="center"/>
          </w:tcPr>
          <w:p>
            <w:pPr>
              <w:spacing w:line="340" w:lineRule="exact"/>
              <w:jc w:val="center"/>
              <w:rPr>
                <w:szCs w:val="21"/>
              </w:rPr>
            </w:pPr>
            <w:r>
              <w:rPr>
                <w:rFonts w:hint="eastAsia"/>
                <w:szCs w:val="21"/>
              </w:rPr>
              <w:t>NH</w:t>
            </w:r>
            <w:r>
              <w:rPr>
                <w:rFonts w:hint="eastAsia"/>
                <w:szCs w:val="21"/>
                <w:vertAlign w:val="subscript"/>
              </w:rPr>
              <w:t>3</w:t>
            </w:r>
          </w:p>
        </w:tc>
        <w:tc>
          <w:tcPr>
            <w:tcW w:w="2149" w:type="dxa"/>
            <w:vAlign w:val="center"/>
          </w:tcPr>
          <w:p>
            <w:pPr>
              <w:jc w:val="center"/>
              <w:rPr>
                <w:szCs w:val="21"/>
              </w:rPr>
            </w:pPr>
            <w:r>
              <w:rPr>
                <w:rFonts w:hint="eastAsia"/>
                <w:szCs w:val="21"/>
              </w:rPr>
              <w:t>14.7kg/a</w:t>
            </w:r>
          </w:p>
        </w:tc>
        <w:tc>
          <w:tcPr>
            <w:tcW w:w="2465" w:type="dxa"/>
            <w:vAlign w:val="center"/>
          </w:tcPr>
          <w:p>
            <w:pPr>
              <w:jc w:val="center"/>
              <w:rPr>
                <w:szCs w:val="21"/>
              </w:rPr>
            </w:pPr>
            <w:r>
              <w:rPr>
                <w:rFonts w:hint="eastAsia"/>
                <w:szCs w:val="21"/>
              </w:rPr>
              <w:t>1.47kg/a，0.47</w:t>
            </w:r>
            <w:r>
              <w:rPr>
                <w:bCs/>
                <w:szCs w:val="21"/>
              </w:rPr>
              <w:t>mg/m</w:t>
            </w:r>
            <w:r>
              <w:rPr>
                <w:bCs/>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2" w:hRule="atLeast"/>
          <w:jc w:val="center"/>
        </w:trPr>
        <w:tc>
          <w:tcPr>
            <w:tcW w:w="856" w:type="dxa"/>
            <w:vMerge w:val="continue"/>
            <w:vAlign w:val="center"/>
          </w:tcPr>
          <w:p>
            <w:pPr>
              <w:spacing w:line="300" w:lineRule="exact"/>
              <w:jc w:val="center"/>
              <w:rPr>
                <w:b/>
                <w:sz w:val="24"/>
                <w:szCs w:val="24"/>
              </w:rPr>
            </w:pPr>
          </w:p>
        </w:tc>
        <w:tc>
          <w:tcPr>
            <w:tcW w:w="1946" w:type="dxa"/>
            <w:vMerge w:val="continue"/>
            <w:vAlign w:val="center"/>
          </w:tcPr>
          <w:p>
            <w:pPr>
              <w:ind w:firstLine="210" w:firstLineChars="100"/>
              <w:rPr>
                <w:szCs w:val="21"/>
              </w:rPr>
            </w:pPr>
          </w:p>
        </w:tc>
        <w:tc>
          <w:tcPr>
            <w:tcW w:w="1701" w:type="dxa"/>
            <w:vAlign w:val="center"/>
          </w:tcPr>
          <w:p>
            <w:pPr>
              <w:spacing w:line="340" w:lineRule="exact"/>
              <w:jc w:val="center"/>
              <w:rPr>
                <w:szCs w:val="21"/>
              </w:rPr>
            </w:pPr>
            <w:r>
              <w:rPr>
                <w:rFonts w:hint="eastAsia"/>
                <w:szCs w:val="21"/>
              </w:rPr>
              <w:t>H</w:t>
            </w:r>
            <w:r>
              <w:rPr>
                <w:rFonts w:hint="eastAsia"/>
                <w:szCs w:val="21"/>
                <w:vertAlign w:val="subscript"/>
              </w:rPr>
              <w:t>2</w:t>
            </w:r>
            <w:r>
              <w:rPr>
                <w:rFonts w:hint="eastAsia"/>
                <w:szCs w:val="21"/>
              </w:rPr>
              <w:t>S</w:t>
            </w:r>
          </w:p>
        </w:tc>
        <w:tc>
          <w:tcPr>
            <w:tcW w:w="2149" w:type="dxa"/>
            <w:vAlign w:val="center"/>
          </w:tcPr>
          <w:p>
            <w:pPr>
              <w:jc w:val="center"/>
              <w:rPr>
                <w:szCs w:val="21"/>
              </w:rPr>
            </w:pPr>
            <w:r>
              <w:rPr>
                <w:rFonts w:hint="eastAsia"/>
                <w:szCs w:val="21"/>
              </w:rPr>
              <w:t>0.57kg/a</w:t>
            </w:r>
          </w:p>
        </w:tc>
        <w:tc>
          <w:tcPr>
            <w:tcW w:w="2465" w:type="dxa"/>
            <w:vAlign w:val="center"/>
          </w:tcPr>
          <w:p>
            <w:pPr>
              <w:jc w:val="center"/>
              <w:rPr>
                <w:szCs w:val="21"/>
              </w:rPr>
            </w:pPr>
            <w:r>
              <w:rPr>
                <w:rFonts w:hint="eastAsia"/>
                <w:szCs w:val="21"/>
              </w:rPr>
              <w:t>0.057kg/a，0.018</w:t>
            </w:r>
            <w:r>
              <w:rPr>
                <w:bCs/>
                <w:szCs w:val="21"/>
              </w:rPr>
              <w:t>mg/m</w:t>
            </w:r>
            <w:r>
              <w:rPr>
                <w:bCs/>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5" w:hRule="atLeast"/>
          <w:jc w:val="center"/>
        </w:trPr>
        <w:tc>
          <w:tcPr>
            <w:tcW w:w="856" w:type="dxa"/>
            <w:vMerge w:val="continue"/>
            <w:vAlign w:val="center"/>
          </w:tcPr>
          <w:p>
            <w:pPr>
              <w:spacing w:line="300" w:lineRule="exact"/>
              <w:jc w:val="center"/>
              <w:rPr>
                <w:b/>
                <w:sz w:val="24"/>
                <w:szCs w:val="24"/>
              </w:rPr>
            </w:pPr>
          </w:p>
        </w:tc>
        <w:tc>
          <w:tcPr>
            <w:tcW w:w="1946" w:type="dxa"/>
            <w:vMerge w:val="restart"/>
            <w:vAlign w:val="center"/>
          </w:tcPr>
          <w:p>
            <w:pPr>
              <w:ind w:firstLine="210" w:firstLineChars="100"/>
              <w:jc w:val="center"/>
              <w:rPr>
                <w:szCs w:val="21"/>
              </w:rPr>
            </w:pPr>
            <w:r>
              <w:rPr>
                <w:rFonts w:hint="eastAsia"/>
                <w:szCs w:val="21"/>
              </w:rPr>
              <w:t>汽车尾气</w:t>
            </w:r>
          </w:p>
        </w:tc>
        <w:tc>
          <w:tcPr>
            <w:tcW w:w="1701" w:type="dxa"/>
            <w:vAlign w:val="center"/>
          </w:tcPr>
          <w:p>
            <w:pPr>
              <w:spacing w:line="340" w:lineRule="exact"/>
              <w:jc w:val="center"/>
              <w:rPr>
                <w:szCs w:val="21"/>
              </w:rPr>
            </w:pPr>
            <w:r>
              <w:rPr>
                <w:szCs w:val="21"/>
              </w:rPr>
              <w:t>NMHC</w:t>
            </w:r>
            <w:r>
              <w:rPr>
                <w:rFonts w:hint="eastAsia"/>
                <w:szCs w:val="21"/>
              </w:rPr>
              <w:t>（低速）</w:t>
            </w:r>
          </w:p>
        </w:tc>
        <w:tc>
          <w:tcPr>
            <w:tcW w:w="2149" w:type="dxa"/>
            <w:vAlign w:val="center"/>
          </w:tcPr>
          <w:p>
            <w:pPr>
              <w:jc w:val="center"/>
              <w:rPr>
                <w:szCs w:val="21"/>
              </w:rPr>
            </w:pPr>
            <w:r>
              <w:rPr>
                <w:szCs w:val="21"/>
              </w:rPr>
              <w:t>670 ppm</w:t>
            </w:r>
          </w:p>
        </w:tc>
        <w:tc>
          <w:tcPr>
            <w:tcW w:w="2465" w:type="dxa"/>
            <w:vAlign w:val="center"/>
          </w:tcPr>
          <w:p>
            <w:pPr>
              <w:jc w:val="center"/>
              <w:rPr>
                <w:szCs w:val="21"/>
              </w:rPr>
            </w:pPr>
            <w:r>
              <w:rPr>
                <w:szCs w:val="21"/>
              </w:rPr>
              <w:t>670 ppm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8" w:hRule="atLeast"/>
          <w:jc w:val="center"/>
        </w:trPr>
        <w:tc>
          <w:tcPr>
            <w:tcW w:w="856" w:type="dxa"/>
            <w:vMerge w:val="continue"/>
            <w:vAlign w:val="center"/>
          </w:tcPr>
          <w:p>
            <w:pPr>
              <w:spacing w:line="300" w:lineRule="exact"/>
              <w:jc w:val="center"/>
              <w:rPr>
                <w:b/>
                <w:sz w:val="24"/>
                <w:szCs w:val="24"/>
              </w:rPr>
            </w:pPr>
          </w:p>
        </w:tc>
        <w:tc>
          <w:tcPr>
            <w:tcW w:w="1946" w:type="dxa"/>
            <w:vMerge w:val="continue"/>
            <w:vAlign w:val="center"/>
          </w:tcPr>
          <w:p>
            <w:pPr>
              <w:ind w:firstLine="210" w:firstLineChars="100"/>
              <w:jc w:val="center"/>
              <w:rPr>
                <w:szCs w:val="21"/>
              </w:rPr>
            </w:pPr>
          </w:p>
        </w:tc>
        <w:tc>
          <w:tcPr>
            <w:tcW w:w="1701" w:type="dxa"/>
            <w:vAlign w:val="center"/>
          </w:tcPr>
          <w:p>
            <w:pPr>
              <w:spacing w:line="340" w:lineRule="exact"/>
              <w:jc w:val="center"/>
              <w:rPr>
                <w:szCs w:val="21"/>
              </w:rPr>
            </w:pPr>
            <w:r>
              <w:rPr>
                <w:szCs w:val="21"/>
              </w:rPr>
              <w:t>NOx</w:t>
            </w:r>
            <w:r>
              <w:rPr>
                <w:rFonts w:hint="eastAsia"/>
                <w:szCs w:val="21"/>
              </w:rPr>
              <w:t>（低速）</w:t>
            </w:r>
          </w:p>
        </w:tc>
        <w:tc>
          <w:tcPr>
            <w:tcW w:w="2149" w:type="dxa"/>
            <w:vAlign w:val="center"/>
          </w:tcPr>
          <w:p>
            <w:pPr>
              <w:jc w:val="center"/>
              <w:rPr>
                <w:szCs w:val="21"/>
              </w:rPr>
            </w:pPr>
            <w:r>
              <w:rPr>
                <w:szCs w:val="21"/>
              </w:rPr>
              <w:t>191 ppm</w:t>
            </w:r>
          </w:p>
        </w:tc>
        <w:tc>
          <w:tcPr>
            <w:tcW w:w="2465" w:type="dxa"/>
            <w:vAlign w:val="center"/>
          </w:tcPr>
          <w:p>
            <w:pPr>
              <w:jc w:val="center"/>
              <w:rPr>
                <w:szCs w:val="21"/>
              </w:rPr>
            </w:pPr>
            <w:r>
              <w:rPr>
                <w:szCs w:val="21"/>
              </w:rPr>
              <w:t>191 ppm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2" w:hRule="atLeast"/>
          <w:jc w:val="center"/>
        </w:trPr>
        <w:tc>
          <w:tcPr>
            <w:tcW w:w="856" w:type="dxa"/>
            <w:vMerge w:val="continue"/>
            <w:vAlign w:val="center"/>
          </w:tcPr>
          <w:p>
            <w:pPr>
              <w:spacing w:line="300" w:lineRule="exact"/>
              <w:jc w:val="center"/>
              <w:rPr>
                <w:b/>
                <w:sz w:val="24"/>
                <w:szCs w:val="24"/>
              </w:rPr>
            </w:pPr>
          </w:p>
        </w:tc>
        <w:tc>
          <w:tcPr>
            <w:tcW w:w="1946" w:type="dxa"/>
            <w:vMerge w:val="continue"/>
            <w:vAlign w:val="center"/>
          </w:tcPr>
          <w:p>
            <w:pPr>
              <w:ind w:firstLine="210" w:firstLineChars="100"/>
              <w:jc w:val="center"/>
              <w:rPr>
                <w:szCs w:val="21"/>
              </w:rPr>
            </w:pPr>
          </w:p>
        </w:tc>
        <w:tc>
          <w:tcPr>
            <w:tcW w:w="1701" w:type="dxa"/>
            <w:vAlign w:val="center"/>
          </w:tcPr>
          <w:p>
            <w:pPr>
              <w:spacing w:line="340" w:lineRule="exact"/>
              <w:jc w:val="center"/>
              <w:rPr>
                <w:szCs w:val="21"/>
              </w:rPr>
            </w:pPr>
            <w:r>
              <w:rPr>
                <w:szCs w:val="21"/>
              </w:rPr>
              <w:t>CO</w:t>
            </w:r>
          </w:p>
        </w:tc>
        <w:tc>
          <w:tcPr>
            <w:tcW w:w="2149" w:type="dxa"/>
            <w:vAlign w:val="center"/>
          </w:tcPr>
          <w:p>
            <w:pPr>
              <w:jc w:val="center"/>
              <w:rPr>
                <w:szCs w:val="21"/>
              </w:rPr>
            </w:pPr>
            <w:r>
              <w:rPr>
                <w:szCs w:val="21"/>
              </w:rPr>
              <w:t>3.5%</w:t>
            </w:r>
          </w:p>
        </w:tc>
        <w:tc>
          <w:tcPr>
            <w:tcW w:w="2465" w:type="dxa"/>
            <w:vAlign w:val="center"/>
          </w:tcPr>
          <w:p>
            <w:pPr>
              <w:jc w:val="center"/>
              <w:rPr>
                <w:szCs w:val="21"/>
              </w:rPr>
            </w:pPr>
            <w:r>
              <w:rPr>
                <w:szCs w:val="21"/>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856" w:type="dxa"/>
            <w:vMerge w:val="continue"/>
            <w:vAlign w:val="center"/>
          </w:tcPr>
          <w:p>
            <w:pPr>
              <w:spacing w:line="300" w:lineRule="exact"/>
              <w:jc w:val="center"/>
              <w:rPr>
                <w:b/>
                <w:sz w:val="24"/>
                <w:szCs w:val="24"/>
              </w:rPr>
            </w:pPr>
          </w:p>
        </w:tc>
        <w:tc>
          <w:tcPr>
            <w:tcW w:w="1946" w:type="dxa"/>
            <w:vAlign w:val="center"/>
          </w:tcPr>
          <w:p>
            <w:pPr>
              <w:jc w:val="center"/>
              <w:rPr>
                <w:szCs w:val="21"/>
              </w:rPr>
            </w:pPr>
            <w:r>
              <w:rPr>
                <w:rFonts w:hint="eastAsia"/>
                <w:szCs w:val="21"/>
              </w:rPr>
              <w:t>公路扬尘</w:t>
            </w:r>
          </w:p>
        </w:tc>
        <w:tc>
          <w:tcPr>
            <w:tcW w:w="1701" w:type="dxa"/>
            <w:vAlign w:val="center"/>
          </w:tcPr>
          <w:p>
            <w:pPr>
              <w:spacing w:line="340" w:lineRule="exact"/>
              <w:jc w:val="center"/>
              <w:rPr>
                <w:szCs w:val="21"/>
              </w:rPr>
            </w:pPr>
            <w:r>
              <w:rPr>
                <w:rFonts w:hint="eastAsia"/>
                <w:szCs w:val="21"/>
              </w:rPr>
              <w:t>扬尘</w:t>
            </w:r>
          </w:p>
        </w:tc>
        <w:tc>
          <w:tcPr>
            <w:tcW w:w="2149" w:type="dxa"/>
            <w:vAlign w:val="center"/>
          </w:tcPr>
          <w:p>
            <w:pPr>
              <w:jc w:val="center"/>
              <w:rPr>
                <w:szCs w:val="21"/>
              </w:rPr>
            </w:pPr>
            <w:r>
              <w:rPr>
                <w:rFonts w:hint="eastAsia"/>
                <w:szCs w:val="21"/>
              </w:rPr>
              <w:t>少量</w:t>
            </w:r>
          </w:p>
        </w:tc>
        <w:tc>
          <w:tcPr>
            <w:tcW w:w="2465" w:type="dxa"/>
            <w:vAlign w:val="center"/>
          </w:tcPr>
          <w:p>
            <w:pPr>
              <w:jc w:val="center"/>
              <w:rPr>
                <w:szCs w:val="21"/>
              </w:rPr>
            </w:pPr>
            <w:r>
              <w:rPr>
                <w:rFonts w:hint="eastAsia"/>
                <w:szCs w:val="21"/>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6" w:hRule="atLeast"/>
          <w:jc w:val="center"/>
        </w:trPr>
        <w:tc>
          <w:tcPr>
            <w:tcW w:w="856" w:type="dxa"/>
            <w:vMerge w:val="restart"/>
            <w:vAlign w:val="center"/>
          </w:tcPr>
          <w:p>
            <w:pPr>
              <w:spacing w:line="300" w:lineRule="exact"/>
              <w:jc w:val="center"/>
              <w:rPr>
                <w:b/>
                <w:sz w:val="24"/>
                <w:szCs w:val="24"/>
              </w:rPr>
            </w:pPr>
            <w:r>
              <w:rPr>
                <w:rFonts w:hint="eastAsia"/>
                <w:b/>
                <w:sz w:val="24"/>
                <w:szCs w:val="24"/>
              </w:rPr>
              <w:t>水</w:t>
            </w:r>
          </w:p>
          <w:p>
            <w:pPr>
              <w:spacing w:line="300" w:lineRule="exact"/>
              <w:jc w:val="center"/>
              <w:rPr>
                <w:b/>
                <w:sz w:val="24"/>
                <w:szCs w:val="24"/>
              </w:rPr>
            </w:pPr>
            <w:r>
              <w:rPr>
                <w:rFonts w:hint="eastAsia"/>
                <w:b/>
                <w:sz w:val="24"/>
                <w:szCs w:val="24"/>
              </w:rPr>
              <w:t>污</w:t>
            </w:r>
          </w:p>
          <w:p>
            <w:pPr>
              <w:spacing w:line="300" w:lineRule="exact"/>
              <w:jc w:val="center"/>
              <w:rPr>
                <w:b/>
                <w:sz w:val="24"/>
                <w:szCs w:val="24"/>
              </w:rPr>
            </w:pPr>
            <w:r>
              <w:rPr>
                <w:rFonts w:hint="eastAsia"/>
                <w:b/>
                <w:sz w:val="24"/>
                <w:szCs w:val="24"/>
              </w:rPr>
              <w:t>染</w:t>
            </w:r>
          </w:p>
          <w:p>
            <w:pPr>
              <w:spacing w:line="300" w:lineRule="exact"/>
              <w:jc w:val="center"/>
              <w:rPr>
                <w:b/>
                <w:sz w:val="24"/>
                <w:szCs w:val="24"/>
              </w:rPr>
            </w:pPr>
            <w:r>
              <w:rPr>
                <w:rFonts w:hint="eastAsia"/>
                <w:b/>
                <w:sz w:val="24"/>
                <w:szCs w:val="24"/>
              </w:rPr>
              <w:t>物</w:t>
            </w:r>
          </w:p>
        </w:tc>
        <w:tc>
          <w:tcPr>
            <w:tcW w:w="1946" w:type="dxa"/>
            <w:vMerge w:val="restart"/>
            <w:vAlign w:val="center"/>
          </w:tcPr>
          <w:p>
            <w:pPr>
              <w:jc w:val="center"/>
              <w:rPr>
                <w:szCs w:val="21"/>
              </w:rPr>
            </w:pPr>
            <w:r>
              <w:rPr>
                <w:rFonts w:hint="eastAsia"/>
                <w:szCs w:val="21"/>
              </w:rPr>
              <w:t>污水处理站出水</w:t>
            </w:r>
          </w:p>
        </w:tc>
        <w:tc>
          <w:tcPr>
            <w:tcW w:w="1701" w:type="dxa"/>
            <w:vAlign w:val="center"/>
          </w:tcPr>
          <w:p>
            <w:pPr>
              <w:jc w:val="center"/>
              <w:rPr>
                <w:szCs w:val="21"/>
              </w:rPr>
            </w:pPr>
            <w:r>
              <w:rPr>
                <w:szCs w:val="21"/>
              </w:rPr>
              <w:t>COD</w:t>
            </w:r>
            <w:r>
              <w:rPr>
                <w:rFonts w:hint="eastAsia"/>
                <w:szCs w:val="21"/>
                <w:vertAlign w:val="subscript"/>
              </w:rPr>
              <w:t>Cr</w:t>
            </w:r>
          </w:p>
        </w:tc>
        <w:tc>
          <w:tcPr>
            <w:tcW w:w="2149" w:type="dxa"/>
            <w:vAlign w:val="center"/>
          </w:tcPr>
          <w:p>
            <w:pPr>
              <w:jc w:val="center"/>
              <w:rPr>
                <w:szCs w:val="21"/>
              </w:rPr>
            </w:pPr>
            <w:r>
              <w:rPr>
                <w:rFonts w:hint="eastAsia"/>
                <w:szCs w:val="21"/>
              </w:rPr>
              <w:t>30</w:t>
            </w:r>
            <w:r>
              <w:rPr>
                <w:szCs w:val="21"/>
              </w:rPr>
              <w:t>0</w:t>
            </w:r>
            <w:r>
              <w:rPr>
                <w:rFonts w:hint="eastAsia"/>
                <w:szCs w:val="21"/>
              </w:rPr>
              <w:t>mg/L，10.95t/a</w:t>
            </w:r>
          </w:p>
        </w:tc>
        <w:tc>
          <w:tcPr>
            <w:tcW w:w="2465" w:type="dxa"/>
            <w:vAlign w:val="center"/>
          </w:tcPr>
          <w:p>
            <w:pPr>
              <w:jc w:val="center"/>
              <w:rPr>
                <w:szCs w:val="21"/>
              </w:rPr>
            </w:pPr>
            <w:r>
              <w:rPr>
                <w:rFonts w:hint="eastAsia"/>
                <w:szCs w:val="21"/>
              </w:rPr>
              <w:t>50mg/L，1.825t/a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2" w:hRule="atLeast"/>
          <w:jc w:val="center"/>
        </w:trPr>
        <w:tc>
          <w:tcPr>
            <w:tcW w:w="856" w:type="dxa"/>
            <w:vMerge w:val="continue"/>
            <w:vAlign w:val="center"/>
          </w:tcPr>
          <w:p>
            <w:pPr>
              <w:spacing w:line="300" w:lineRule="exact"/>
              <w:jc w:val="center"/>
              <w:rPr>
                <w:b/>
                <w:sz w:val="24"/>
                <w:szCs w:val="24"/>
              </w:rPr>
            </w:pPr>
          </w:p>
        </w:tc>
        <w:tc>
          <w:tcPr>
            <w:tcW w:w="1946" w:type="dxa"/>
            <w:vMerge w:val="continue"/>
            <w:vAlign w:val="center"/>
          </w:tcPr>
          <w:p>
            <w:pPr>
              <w:jc w:val="center"/>
              <w:rPr>
                <w:szCs w:val="21"/>
              </w:rPr>
            </w:pPr>
          </w:p>
        </w:tc>
        <w:tc>
          <w:tcPr>
            <w:tcW w:w="1701" w:type="dxa"/>
            <w:vAlign w:val="center"/>
          </w:tcPr>
          <w:p>
            <w:pPr>
              <w:jc w:val="center"/>
              <w:rPr>
                <w:szCs w:val="21"/>
              </w:rPr>
            </w:pPr>
            <w:r>
              <w:rPr>
                <w:szCs w:val="21"/>
              </w:rPr>
              <w:t>BOD</w:t>
            </w:r>
            <w:r>
              <w:rPr>
                <w:szCs w:val="21"/>
                <w:vertAlign w:val="subscript"/>
              </w:rPr>
              <w:t>5</w:t>
            </w:r>
            <w:r>
              <w:rPr>
                <w:szCs w:val="21"/>
              </w:rPr>
              <w:t xml:space="preserve"> </w:t>
            </w:r>
          </w:p>
        </w:tc>
        <w:tc>
          <w:tcPr>
            <w:tcW w:w="2149" w:type="dxa"/>
            <w:vAlign w:val="center"/>
          </w:tcPr>
          <w:p>
            <w:pPr>
              <w:jc w:val="center"/>
              <w:rPr>
                <w:szCs w:val="21"/>
              </w:rPr>
            </w:pPr>
            <w:r>
              <w:rPr>
                <w:rFonts w:hint="eastAsia"/>
                <w:szCs w:val="21"/>
              </w:rPr>
              <w:t>140mg/L，5.11t/a</w:t>
            </w:r>
          </w:p>
        </w:tc>
        <w:tc>
          <w:tcPr>
            <w:tcW w:w="2465" w:type="dxa"/>
            <w:vAlign w:val="center"/>
          </w:tcPr>
          <w:p>
            <w:pPr>
              <w:jc w:val="center"/>
              <w:rPr>
                <w:szCs w:val="21"/>
              </w:rPr>
            </w:pPr>
            <w:r>
              <w:rPr>
                <w:rFonts w:hint="eastAsia"/>
                <w:szCs w:val="21"/>
              </w:rPr>
              <w:t>10mg/L，0.365t/a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4" w:hRule="atLeast"/>
          <w:jc w:val="center"/>
        </w:trPr>
        <w:tc>
          <w:tcPr>
            <w:tcW w:w="856" w:type="dxa"/>
            <w:vMerge w:val="continue"/>
            <w:vAlign w:val="center"/>
          </w:tcPr>
          <w:p>
            <w:pPr>
              <w:spacing w:line="300" w:lineRule="exact"/>
              <w:jc w:val="center"/>
              <w:rPr>
                <w:b/>
                <w:sz w:val="24"/>
                <w:szCs w:val="24"/>
              </w:rPr>
            </w:pPr>
          </w:p>
        </w:tc>
        <w:tc>
          <w:tcPr>
            <w:tcW w:w="1946" w:type="dxa"/>
            <w:vMerge w:val="continue"/>
            <w:vAlign w:val="center"/>
          </w:tcPr>
          <w:p>
            <w:pPr>
              <w:jc w:val="center"/>
              <w:rPr>
                <w:szCs w:val="21"/>
              </w:rPr>
            </w:pPr>
          </w:p>
        </w:tc>
        <w:tc>
          <w:tcPr>
            <w:tcW w:w="1701" w:type="dxa"/>
            <w:vAlign w:val="center"/>
          </w:tcPr>
          <w:p>
            <w:pPr>
              <w:jc w:val="center"/>
              <w:rPr>
                <w:szCs w:val="21"/>
              </w:rPr>
            </w:pPr>
            <w:r>
              <w:rPr>
                <w:rFonts w:hint="eastAsia"/>
                <w:szCs w:val="21"/>
              </w:rPr>
              <w:t>SS</w:t>
            </w:r>
          </w:p>
        </w:tc>
        <w:tc>
          <w:tcPr>
            <w:tcW w:w="2149" w:type="dxa"/>
            <w:vAlign w:val="center"/>
          </w:tcPr>
          <w:p>
            <w:pPr>
              <w:jc w:val="center"/>
              <w:rPr>
                <w:szCs w:val="21"/>
              </w:rPr>
            </w:pPr>
            <w:r>
              <w:rPr>
                <w:rFonts w:hint="eastAsia"/>
                <w:szCs w:val="21"/>
              </w:rPr>
              <w:t>180mg/L，6.57t/a</w:t>
            </w:r>
          </w:p>
        </w:tc>
        <w:tc>
          <w:tcPr>
            <w:tcW w:w="2465" w:type="dxa"/>
            <w:vAlign w:val="center"/>
          </w:tcPr>
          <w:p>
            <w:pPr>
              <w:jc w:val="center"/>
              <w:rPr>
                <w:szCs w:val="21"/>
              </w:rPr>
            </w:pPr>
            <w:r>
              <w:rPr>
                <w:rFonts w:hint="eastAsia"/>
                <w:szCs w:val="21"/>
              </w:rPr>
              <w:t>10mg/L，0.365t/a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856" w:type="dxa"/>
            <w:vMerge w:val="continue"/>
            <w:vAlign w:val="center"/>
          </w:tcPr>
          <w:p>
            <w:pPr>
              <w:spacing w:line="300" w:lineRule="exact"/>
              <w:jc w:val="center"/>
              <w:rPr>
                <w:b/>
                <w:sz w:val="24"/>
                <w:szCs w:val="24"/>
              </w:rPr>
            </w:pPr>
          </w:p>
        </w:tc>
        <w:tc>
          <w:tcPr>
            <w:tcW w:w="1946" w:type="dxa"/>
            <w:vMerge w:val="continue"/>
            <w:vAlign w:val="center"/>
          </w:tcPr>
          <w:p>
            <w:pPr>
              <w:jc w:val="center"/>
              <w:rPr>
                <w:szCs w:val="21"/>
              </w:rPr>
            </w:pPr>
          </w:p>
        </w:tc>
        <w:tc>
          <w:tcPr>
            <w:tcW w:w="1701" w:type="dxa"/>
            <w:vAlign w:val="center"/>
          </w:tcPr>
          <w:p>
            <w:pPr>
              <w:jc w:val="center"/>
              <w:rPr>
                <w:szCs w:val="21"/>
              </w:rPr>
            </w:pPr>
            <w:r>
              <w:rPr>
                <w:szCs w:val="21"/>
              </w:rPr>
              <w:t>NH</w:t>
            </w:r>
            <w:r>
              <w:rPr>
                <w:szCs w:val="21"/>
                <w:vertAlign w:val="subscript"/>
              </w:rPr>
              <w:t>3</w:t>
            </w:r>
            <w:r>
              <w:rPr>
                <w:szCs w:val="21"/>
              </w:rPr>
              <w:t>-N</w:t>
            </w:r>
          </w:p>
        </w:tc>
        <w:tc>
          <w:tcPr>
            <w:tcW w:w="2149" w:type="dxa"/>
            <w:vAlign w:val="center"/>
          </w:tcPr>
          <w:p>
            <w:pPr>
              <w:jc w:val="center"/>
              <w:rPr>
                <w:szCs w:val="21"/>
              </w:rPr>
            </w:pPr>
            <w:r>
              <w:rPr>
                <w:rFonts w:hint="eastAsia"/>
                <w:szCs w:val="21"/>
              </w:rPr>
              <w:t>32mg/L，1.168t/a</w:t>
            </w:r>
          </w:p>
        </w:tc>
        <w:tc>
          <w:tcPr>
            <w:tcW w:w="2465" w:type="dxa"/>
            <w:vAlign w:val="center"/>
          </w:tcPr>
          <w:p>
            <w:pPr>
              <w:jc w:val="center"/>
              <w:rPr>
                <w:szCs w:val="21"/>
              </w:rPr>
            </w:pPr>
            <w:r>
              <w:rPr>
                <w:rFonts w:hint="eastAsia"/>
                <w:szCs w:val="21"/>
              </w:rPr>
              <w:t>5mg/L，0.1825t/a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8" w:hRule="atLeast"/>
          <w:jc w:val="center"/>
        </w:trPr>
        <w:tc>
          <w:tcPr>
            <w:tcW w:w="856" w:type="dxa"/>
            <w:vMerge w:val="continue"/>
            <w:vAlign w:val="center"/>
          </w:tcPr>
          <w:p>
            <w:pPr>
              <w:spacing w:line="300" w:lineRule="exact"/>
              <w:jc w:val="center"/>
              <w:rPr>
                <w:b/>
                <w:sz w:val="24"/>
                <w:szCs w:val="24"/>
              </w:rPr>
            </w:pPr>
          </w:p>
        </w:tc>
        <w:tc>
          <w:tcPr>
            <w:tcW w:w="1946" w:type="dxa"/>
            <w:vMerge w:val="continue"/>
            <w:vAlign w:val="center"/>
          </w:tcPr>
          <w:p>
            <w:pPr>
              <w:jc w:val="center"/>
              <w:rPr>
                <w:szCs w:val="21"/>
              </w:rPr>
            </w:pPr>
          </w:p>
        </w:tc>
        <w:tc>
          <w:tcPr>
            <w:tcW w:w="1701" w:type="dxa"/>
            <w:vAlign w:val="center"/>
          </w:tcPr>
          <w:p>
            <w:pPr>
              <w:jc w:val="center"/>
              <w:rPr>
                <w:szCs w:val="21"/>
              </w:rPr>
            </w:pPr>
            <w:r>
              <w:rPr>
                <w:szCs w:val="21"/>
              </w:rPr>
              <w:t>TN</w:t>
            </w:r>
          </w:p>
        </w:tc>
        <w:tc>
          <w:tcPr>
            <w:tcW w:w="2149" w:type="dxa"/>
            <w:vAlign w:val="center"/>
          </w:tcPr>
          <w:p>
            <w:pPr>
              <w:jc w:val="center"/>
              <w:rPr>
                <w:szCs w:val="21"/>
              </w:rPr>
            </w:pPr>
            <w:r>
              <w:rPr>
                <w:rFonts w:hint="eastAsia"/>
                <w:szCs w:val="21"/>
              </w:rPr>
              <w:t>35mg/L，1.2775t/a</w:t>
            </w:r>
          </w:p>
        </w:tc>
        <w:tc>
          <w:tcPr>
            <w:tcW w:w="2465" w:type="dxa"/>
            <w:vAlign w:val="center"/>
          </w:tcPr>
          <w:p>
            <w:pPr>
              <w:jc w:val="center"/>
              <w:rPr>
                <w:szCs w:val="21"/>
              </w:rPr>
            </w:pPr>
            <w:r>
              <w:rPr>
                <w:rFonts w:hint="eastAsia"/>
                <w:szCs w:val="21"/>
              </w:rPr>
              <w:t>15mg/L，0.5475t/a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jc w:val="center"/>
        </w:trPr>
        <w:tc>
          <w:tcPr>
            <w:tcW w:w="856" w:type="dxa"/>
            <w:vMerge w:val="continue"/>
            <w:vAlign w:val="center"/>
          </w:tcPr>
          <w:p>
            <w:pPr>
              <w:spacing w:line="300" w:lineRule="exact"/>
              <w:jc w:val="center"/>
              <w:rPr>
                <w:b/>
                <w:sz w:val="24"/>
                <w:szCs w:val="24"/>
              </w:rPr>
            </w:pPr>
          </w:p>
        </w:tc>
        <w:tc>
          <w:tcPr>
            <w:tcW w:w="1946" w:type="dxa"/>
            <w:vMerge w:val="continue"/>
            <w:vAlign w:val="center"/>
          </w:tcPr>
          <w:p>
            <w:pPr>
              <w:jc w:val="center"/>
              <w:rPr>
                <w:szCs w:val="21"/>
              </w:rPr>
            </w:pPr>
          </w:p>
        </w:tc>
        <w:tc>
          <w:tcPr>
            <w:tcW w:w="1701" w:type="dxa"/>
            <w:vAlign w:val="center"/>
          </w:tcPr>
          <w:p>
            <w:pPr>
              <w:jc w:val="center"/>
              <w:rPr>
                <w:szCs w:val="21"/>
              </w:rPr>
            </w:pPr>
            <w:r>
              <w:rPr>
                <w:szCs w:val="21"/>
              </w:rPr>
              <w:t>TP</w:t>
            </w:r>
          </w:p>
        </w:tc>
        <w:tc>
          <w:tcPr>
            <w:tcW w:w="2149" w:type="dxa"/>
            <w:vAlign w:val="center"/>
          </w:tcPr>
          <w:p>
            <w:pPr>
              <w:jc w:val="center"/>
              <w:rPr>
                <w:szCs w:val="21"/>
              </w:rPr>
            </w:pPr>
            <w:r>
              <w:rPr>
                <w:rFonts w:hint="eastAsia"/>
                <w:szCs w:val="21"/>
              </w:rPr>
              <w:t>3mg/L，0.1095t/a</w:t>
            </w:r>
          </w:p>
        </w:tc>
        <w:tc>
          <w:tcPr>
            <w:tcW w:w="2465" w:type="dxa"/>
            <w:vAlign w:val="center"/>
          </w:tcPr>
          <w:p>
            <w:pPr>
              <w:jc w:val="center"/>
              <w:rPr>
                <w:szCs w:val="21"/>
              </w:rPr>
            </w:pPr>
            <w:r>
              <w:rPr>
                <w:rFonts w:hint="eastAsia"/>
                <w:szCs w:val="21"/>
              </w:rPr>
              <w:t>0.5mg/L，0.01825t/a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jc w:val="center"/>
        </w:trPr>
        <w:tc>
          <w:tcPr>
            <w:tcW w:w="856" w:type="dxa"/>
            <w:vMerge w:val="continue"/>
            <w:vAlign w:val="center"/>
          </w:tcPr>
          <w:p>
            <w:pPr>
              <w:spacing w:line="300" w:lineRule="exact"/>
              <w:jc w:val="center"/>
              <w:rPr>
                <w:b/>
                <w:sz w:val="24"/>
                <w:szCs w:val="24"/>
              </w:rPr>
            </w:pPr>
          </w:p>
        </w:tc>
        <w:tc>
          <w:tcPr>
            <w:tcW w:w="1946" w:type="dxa"/>
            <w:vMerge w:val="restart"/>
            <w:vAlign w:val="center"/>
          </w:tcPr>
          <w:p>
            <w:pPr>
              <w:jc w:val="center"/>
              <w:rPr>
                <w:szCs w:val="21"/>
              </w:rPr>
            </w:pPr>
            <w:r>
              <w:rPr>
                <w:rFonts w:hint="eastAsia"/>
                <w:szCs w:val="21"/>
              </w:rPr>
              <w:t>路面径流</w:t>
            </w:r>
          </w:p>
        </w:tc>
        <w:tc>
          <w:tcPr>
            <w:tcW w:w="1701" w:type="dxa"/>
            <w:vAlign w:val="center"/>
          </w:tcPr>
          <w:p>
            <w:pPr>
              <w:jc w:val="center"/>
              <w:rPr>
                <w:szCs w:val="21"/>
              </w:rPr>
            </w:pPr>
            <w:r>
              <w:rPr>
                <w:szCs w:val="21"/>
              </w:rPr>
              <w:t>SS</w:t>
            </w:r>
          </w:p>
        </w:tc>
        <w:tc>
          <w:tcPr>
            <w:tcW w:w="2149" w:type="dxa"/>
            <w:vAlign w:val="center"/>
          </w:tcPr>
          <w:p>
            <w:pPr>
              <w:jc w:val="center"/>
              <w:rPr>
                <w:szCs w:val="21"/>
              </w:rPr>
            </w:pPr>
            <w:r>
              <w:rPr>
                <w:rFonts w:hint="eastAsia"/>
                <w:szCs w:val="21"/>
              </w:rPr>
              <w:t>0.31t/a</w:t>
            </w:r>
          </w:p>
        </w:tc>
        <w:tc>
          <w:tcPr>
            <w:tcW w:w="2465" w:type="dxa"/>
            <w:vAlign w:val="center"/>
          </w:tcPr>
          <w:p>
            <w:pPr>
              <w:jc w:val="center"/>
              <w:rPr>
                <w:szCs w:val="21"/>
              </w:rPr>
            </w:pPr>
            <w:r>
              <w:rPr>
                <w:rFonts w:hint="eastAsia"/>
                <w:szCs w:val="21"/>
              </w:rPr>
              <w:t>0.31t/a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jc w:val="center"/>
        </w:trPr>
        <w:tc>
          <w:tcPr>
            <w:tcW w:w="856" w:type="dxa"/>
            <w:vMerge w:val="continue"/>
            <w:vAlign w:val="center"/>
          </w:tcPr>
          <w:p>
            <w:pPr>
              <w:spacing w:line="300" w:lineRule="exact"/>
              <w:jc w:val="center"/>
              <w:rPr>
                <w:b/>
                <w:sz w:val="24"/>
                <w:szCs w:val="24"/>
              </w:rPr>
            </w:pPr>
          </w:p>
        </w:tc>
        <w:tc>
          <w:tcPr>
            <w:tcW w:w="1946" w:type="dxa"/>
            <w:vMerge w:val="continue"/>
            <w:vAlign w:val="center"/>
          </w:tcPr>
          <w:p>
            <w:pPr>
              <w:jc w:val="center"/>
              <w:rPr>
                <w:szCs w:val="21"/>
              </w:rPr>
            </w:pPr>
          </w:p>
        </w:tc>
        <w:tc>
          <w:tcPr>
            <w:tcW w:w="1701" w:type="dxa"/>
            <w:vAlign w:val="center"/>
          </w:tcPr>
          <w:p>
            <w:pPr>
              <w:jc w:val="center"/>
              <w:rPr>
                <w:szCs w:val="21"/>
              </w:rPr>
            </w:pPr>
            <w:r>
              <w:rPr>
                <w:szCs w:val="21"/>
              </w:rPr>
              <w:t>BOD</w:t>
            </w:r>
            <w:r>
              <w:rPr>
                <w:szCs w:val="21"/>
                <w:vertAlign w:val="subscript"/>
              </w:rPr>
              <w:t>5</w:t>
            </w:r>
          </w:p>
        </w:tc>
        <w:tc>
          <w:tcPr>
            <w:tcW w:w="2149" w:type="dxa"/>
            <w:vAlign w:val="center"/>
          </w:tcPr>
          <w:p>
            <w:pPr>
              <w:jc w:val="center"/>
              <w:rPr>
                <w:szCs w:val="21"/>
              </w:rPr>
            </w:pPr>
            <w:r>
              <w:rPr>
                <w:rFonts w:hint="eastAsia"/>
                <w:szCs w:val="21"/>
              </w:rPr>
              <w:t>0.016 t/a</w:t>
            </w:r>
          </w:p>
        </w:tc>
        <w:tc>
          <w:tcPr>
            <w:tcW w:w="2465" w:type="dxa"/>
            <w:vAlign w:val="center"/>
          </w:tcPr>
          <w:p>
            <w:pPr>
              <w:jc w:val="center"/>
              <w:rPr>
                <w:szCs w:val="21"/>
              </w:rPr>
            </w:pPr>
            <w:r>
              <w:rPr>
                <w:rFonts w:hint="eastAsia"/>
                <w:szCs w:val="21"/>
              </w:rPr>
              <w:t>0.016 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jc w:val="center"/>
        </w:trPr>
        <w:tc>
          <w:tcPr>
            <w:tcW w:w="856" w:type="dxa"/>
            <w:vMerge w:val="continue"/>
            <w:vAlign w:val="center"/>
          </w:tcPr>
          <w:p>
            <w:pPr>
              <w:spacing w:line="300" w:lineRule="exact"/>
              <w:jc w:val="center"/>
              <w:rPr>
                <w:b/>
                <w:sz w:val="24"/>
                <w:szCs w:val="24"/>
              </w:rPr>
            </w:pPr>
          </w:p>
        </w:tc>
        <w:tc>
          <w:tcPr>
            <w:tcW w:w="1946" w:type="dxa"/>
            <w:vMerge w:val="continue"/>
            <w:vAlign w:val="center"/>
          </w:tcPr>
          <w:p>
            <w:pPr>
              <w:jc w:val="center"/>
              <w:rPr>
                <w:szCs w:val="21"/>
              </w:rPr>
            </w:pPr>
          </w:p>
        </w:tc>
        <w:tc>
          <w:tcPr>
            <w:tcW w:w="1701" w:type="dxa"/>
            <w:vAlign w:val="center"/>
          </w:tcPr>
          <w:p>
            <w:pPr>
              <w:jc w:val="center"/>
              <w:rPr>
                <w:szCs w:val="21"/>
              </w:rPr>
            </w:pPr>
            <w:r>
              <w:rPr>
                <w:szCs w:val="21"/>
              </w:rPr>
              <w:t>石油类</w:t>
            </w:r>
          </w:p>
        </w:tc>
        <w:tc>
          <w:tcPr>
            <w:tcW w:w="2149" w:type="dxa"/>
            <w:vAlign w:val="center"/>
          </w:tcPr>
          <w:p>
            <w:pPr>
              <w:jc w:val="center"/>
              <w:rPr>
                <w:szCs w:val="21"/>
              </w:rPr>
            </w:pPr>
            <w:r>
              <w:rPr>
                <w:rFonts w:hint="eastAsia"/>
                <w:szCs w:val="21"/>
              </w:rPr>
              <w:t>0.034 t/a</w:t>
            </w:r>
          </w:p>
        </w:tc>
        <w:tc>
          <w:tcPr>
            <w:tcW w:w="2465" w:type="dxa"/>
            <w:vAlign w:val="center"/>
          </w:tcPr>
          <w:p>
            <w:pPr>
              <w:jc w:val="center"/>
              <w:rPr>
                <w:szCs w:val="21"/>
              </w:rPr>
            </w:pPr>
            <w:r>
              <w:rPr>
                <w:rFonts w:hint="eastAsia"/>
                <w:szCs w:val="21"/>
              </w:rPr>
              <w:t>0.034 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856" w:type="dxa"/>
            <w:vMerge w:val="restart"/>
            <w:vAlign w:val="center"/>
          </w:tcPr>
          <w:p>
            <w:pPr>
              <w:spacing w:line="300" w:lineRule="exact"/>
              <w:jc w:val="center"/>
              <w:rPr>
                <w:b/>
                <w:sz w:val="24"/>
                <w:szCs w:val="24"/>
              </w:rPr>
            </w:pPr>
            <w:r>
              <w:rPr>
                <w:rFonts w:hint="eastAsia"/>
                <w:b/>
                <w:sz w:val="24"/>
                <w:szCs w:val="24"/>
              </w:rPr>
              <w:t>固</w:t>
            </w:r>
          </w:p>
          <w:p>
            <w:pPr>
              <w:spacing w:line="300" w:lineRule="exact"/>
              <w:jc w:val="center"/>
              <w:rPr>
                <w:b/>
                <w:sz w:val="24"/>
                <w:szCs w:val="24"/>
              </w:rPr>
            </w:pPr>
            <w:r>
              <w:rPr>
                <w:rFonts w:hint="eastAsia"/>
                <w:b/>
                <w:sz w:val="24"/>
                <w:szCs w:val="24"/>
              </w:rPr>
              <w:t>体</w:t>
            </w:r>
          </w:p>
          <w:p>
            <w:pPr>
              <w:spacing w:line="300" w:lineRule="exact"/>
              <w:jc w:val="center"/>
              <w:rPr>
                <w:b/>
                <w:sz w:val="24"/>
                <w:szCs w:val="24"/>
              </w:rPr>
            </w:pPr>
            <w:r>
              <w:rPr>
                <w:rFonts w:hint="eastAsia"/>
                <w:b/>
                <w:sz w:val="24"/>
                <w:szCs w:val="24"/>
              </w:rPr>
              <w:t>废</w:t>
            </w:r>
          </w:p>
          <w:p>
            <w:pPr>
              <w:spacing w:line="300" w:lineRule="exact"/>
              <w:jc w:val="center"/>
              <w:rPr>
                <w:b/>
                <w:sz w:val="24"/>
                <w:szCs w:val="24"/>
              </w:rPr>
            </w:pPr>
            <w:r>
              <w:rPr>
                <w:rFonts w:hint="eastAsia"/>
                <w:b/>
                <w:sz w:val="24"/>
                <w:szCs w:val="24"/>
              </w:rPr>
              <w:t>物</w:t>
            </w:r>
          </w:p>
        </w:tc>
        <w:tc>
          <w:tcPr>
            <w:tcW w:w="1946" w:type="dxa"/>
            <w:vAlign w:val="center"/>
          </w:tcPr>
          <w:p>
            <w:pPr>
              <w:jc w:val="center"/>
              <w:rPr>
                <w:szCs w:val="21"/>
              </w:rPr>
            </w:pPr>
            <w:r>
              <w:rPr>
                <w:rFonts w:hint="eastAsia"/>
                <w:szCs w:val="21"/>
              </w:rPr>
              <w:t>格栅</w:t>
            </w:r>
          </w:p>
        </w:tc>
        <w:tc>
          <w:tcPr>
            <w:tcW w:w="1701" w:type="dxa"/>
            <w:vAlign w:val="center"/>
          </w:tcPr>
          <w:p>
            <w:pPr>
              <w:jc w:val="center"/>
              <w:rPr>
                <w:szCs w:val="21"/>
              </w:rPr>
            </w:pPr>
            <w:r>
              <w:rPr>
                <w:rFonts w:hint="eastAsia"/>
                <w:szCs w:val="21"/>
              </w:rPr>
              <w:t>格栅渣</w:t>
            </w:r>
          </w:p>
        </w:tc>
        <w:tc>
          <w:tcPr>
            <w:tcW w:w="2149" w:type="dxa"/>
            <w:vAlign w:val="center"/>
          </w:tcPr>
          <w:p>
            <w:pPr>
              <w:jc w:val="center"/>
              <w:rPr>
                <w:spacing w:val="-10"/>
                <w:szCs w:val="21"/>
              </w:rPr>
            </w:pPr>
            <w:r>
              <w:rPr>
                <w:rFonts w:hint="eastAsia"/>
                <w:szCs w:val="21"/>
              </w:rPr>
              <w:t>3.65t</w:t>
            </w:r>
            <w:r>
              <w:rPr>
                <w:szCs w:val="21"/>
              </w:rPr>
              <w:t>/a</w:t>
            </w:r>
          </w:p>
        </w:tc>
        <w:tc>
          <w:tcPr>
            <w:tcW w:w="2465" w:type="dxa"/>
            <w:vAlign w:val="center"/>
          </w:tcPr>
          <w:p>
            <w:pPr>
              <w:jc w:val="center"/>
              <w:rPr>
                <w:spacing w:val="-10"/>
                <w:szCs w:val="21"/>
              </w:rPr>
            </w:pPr>
            <w:r>
              <w:rPr>
                <w:rFonts w:hint="eastAsia"/>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856" w:type="dxa"/>
            <w:vMerge w:val="continue"/>
            <w:vAlign w:val="center"/>
          </w:tcPr>
          <w:p>
            <w:pPr>
              <w:spacing w:line="300" w:lineRule="exact"/>
              <w:jc w:val="center"/>
              <w:rPr>
                <w:b/>
                <w:sz w:val="24"/>
                <w:szCs w:val="24"/>
              </w:rPr>
            </w:pPr>
          </w:p>
        </w:tc>
        <w:tc>
          <w:tcPr>
            <w:tcW w:w="1946" w:type="dxa"/>
            <w:vAlign w:val="center"/>
          </w:tcPr>
          <w:p>
            <w:pPr>
              <w:jc w:val="center"/>
              <w:rPr>
                <w:szCs w:val="21"/>
              </w:rPr>
            </w:pPr>
            <w:r>
              <w:rPr>
                <w:rFonts w:hint="eastAsia"/>
                <w:szCs w:val="21"/>
              </w:rPr>
              <w:t>污水处理站</w:t>
            </w:r>
          </w:p>
        </w:tc>
        <w:tc>
          <w:tcPr>
            <w:tcW w:w="1701" w:type="dxa"/>
            <w:vAlign w:val="center"/>
          </w:tcPr>
          <w:p>
            <w:pPr>
              <w:jc w:val="center"/>
              <w:rPr>
                <w:szCs w:val="21"/>
              </w:rPr>
            </w:pPr>
            <w:r>
              <w:rPr>
                <w:rFonts w:hint="eastAsia"/>
                <w:szCs w:val="21"/>
              </w:rPr>
              <w:t>剩余污泥</w:t>
            </w:r>
          </w:p>
        </w:tc>
        <w:tc>
          <w:tcPr>
            <w:tcW w:w="2149" w:type="dxa"/>
            <w:vAlign w:val="center"/>
          </w:tcPr>
          <w:p>
            <w:pPr>
              <w:jc w:val="center"/>
              <w:rPr>
                <w:spacing w:val="-10"/>
                <w:szCs w:val="21"/>
              </w:rPr>
            </w:pPr>
            <w:r>
              <w:rPr>
                <w:rFonts w:hint="eastAsia"/>
                <w:szCs w:val="21"/>
              </w:rPr>
              <w:t>21.9</w:t>
            </w:r>
            <w:r>
              <w:rPr>
                <w:spacing w:val="-10"/>
                <w:szCs w:val="21"/>
              </w:rPr>
              <w:t>t/a</w:t>
            </w:r>
          </w:p>
        </w:tc>
        <w:tc>
          <w:tcPr>
            <w:tcW w:w="2465" w:type="dxa"/>
            <w:vAlign w:val="center"/>
          </w:tcPr>
          <w:p>
            <w:pPr>
              <w:jc w:val="center"/>
              <w:rPr>
                <w:spacing w:val="-10"/>
                <w:szCs w:val="21"/>
              </w:rPr>
            </w:pPr>
            <w:r>
              <w:rPr>
                <w:rFonts w:hint="eastAsia"/>
                <w:spacing w:val="-1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3" w:hRule="atLeast"/>
          <w:jc w:val="center"/>
        </w:trPr>
        <w:tc>
          <w:tcPr>
            <w:tcW w:w="856" w:type="dxa"/>
            <w:vMerge w:val="continue"/>
            <w:vAlign w:val="center"/>
          </w:tcPr>
          <w:p>
            <w:pPr>
              <w:spacing w:line="300" w:lineRule="exact"/>
              <w:jc w:val="center"/>
              <w:rPr>
                <w:b/>
                <w:sz w:val="24"/>
                <w:szCs w:val="24"/>
              </w:rPr>
            </w:pPr>
          </w:p>
        </w:tc>
        <w:tc>
          <w:tcPr>
            <w:tcW w:w="1946" w:type="dxa"/>
            <w:vAlign w:val="center"/>
          </w:tcPr>
          <w:p>
            <w:pPr>
              <w:jc w:val="center"/>
              <w:rPr>
                <w:szCs w:val="21"/>
              </w:rPr>
            </w:pPr>
            <w:r>
              <w:rPr>
                <w:rFonts w:hint="eastAsia"/>
                <w:szCs w:val="21"/>
              </w:rPr>
              <w:t>石英砂滤池</w:t>
            </w:r>
          </w:p>
        </w:tc>
        <w:tc>
          <w:tcPr>
            <w:tcW w:w="1701" w:type="dxa"/>
            <w:vAlign w:val="center"/>
          </w:tcPr>
          <w:p>
            <w:pPr>
              <w:jc w:val="center"/>
              <w:rPr>
                <w:szCs w:val="21"/>
              </w:rPr>
            </w:pPr>
            <w:r>
              <w:rPr>
                <w:rFonts w:hint="eastAsia"/>
                <w:szCs w:val="21"/>
              </w:rPr>
              <w:t>废滤料</w:t>
            </w:r>
          </w:p>
        </w:tc>
        <w:tc>
          <w:tcPr>
            <w:tcW w:w="2149" w:type="dxa"/>
            <w:vAlign w:val="center"/>
          </w:tcPr>
          <w:p>
            <w:pPr>
              <w:jc w:val="center"/>
              <w:rPr>
                <w:szCs w:val="21"/>
              </w:rPr>
            </w:pPr>
            <w:r>
              <w:rPr>
                <w:rFonts w:hint="eastAsia"/>
                <w:szCs w:val="21"/>
              </w:rPr>
              <w:t>0.25t/5a</w:t>
            </w:r>
          </w:p>
        </w:tc>
        <w:tc>
          <w:tcPr>
            <w:tcW w:w="2465" w:type="dxa"/>
            <w:vAlign w:val="center"/>
          </w:tcPr>
          <w:p>
            <w:pPr>
              <w:jc w:val="center"/>
              <w:rPr>
                <w:spacing w:val="-10"/>
                <w:szCs w:val="21"/>
              </w:rPr>
            </w:pPr>
            <w:r>
              <w:rPr>
                <w:rFonts w:hint="eastAsia"/>
                <w:spacing w:val="-1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2" w:hRule="atLeast"/>
          <w:jc w:val="center"/>
        </w:trPr>
        <w:tc>
          <w:tcPr>
            <w:tcW w:w="856" w:type="dxa"/>
            <w:vMerge w:val="continue"/>
            <w:vAlign w:val="center"/>
          </w:tcPr>
          <w:p>
            <w:pPr>
              <w:spacing w:line="300" w:lineRule="exact"/>
              <w:jc w:val="center"/>
              <w:rPr>
                <w:b/>
                <w:sz w:val="24"/>
                <w:szCs w:val="24"/>
              </w:rPr>
            </w:pPr>
          </w:p>
        </w:tc>
        <w:tc>
          <w:tcPr>
            <w:tcW w:w="1946" w:type="dxa"/>
            <w:vAlign w:val="center"/>
          </w:tcPr>
          <w:p>
            <w:pPr>
              <w:jc w:val="center"/>
              <w:rPr>
                <w:szCs w:val="21"/>
              </w:rPr>
            </w:pPr>
            <w:r>
              <w:rPr>
                <w:rFonts w:hint="eastAsia"/>
                <w:szCs w:val="21"/>
              </w:rPr>
              <w:t>公路路面</w:t>
            </w:r>
          </w:p>
        </w:tc>
        <w:tc>
          <w:tcPr>
            <w:tcW w:w="1701" w:type="dxa"/>
            <w:vAlign w:val="center"/>
          </w:tcPr>
          <w:p>
            <w:pPr>
              <w:jc w:val="center"/>
              <w:rPr>
                <w:szCs w:val="21"/>
              </w:rPr>
            </w:pPr>
            <w:r>
              <w:rPr>
                <w:rFonts w:hint="eastAsia"/>
                <w:szCs w:val="21"/>
              </w:rPr>
              <w:t>生活垃圾、落叶等</w:t>
            </w:r>
          </w:p>
        </w:tc>
        <w:tc>
          <w:tcPr>
            <w:tcW w:w="2149" w:type="dxa"/>
            <w:vAlign w:val="center"/>
          </w:tcPr>
          <w:p>
            <w:pPr>
              <w:jc w:val="center"/>
              <w:rPr>
                <w:szCs w:val="21"/>
              </w:rPr>
            </w:pPr>
            <w:r>
              <w:rPr>
                <w:rFonts w:hint="eastAsia"/>
                <w:szCs w:val="21"/>
              </w:rPr>
              <w:t>1.8</w:t>
            </w:r>
            <w:r>
              <w:rPr>
                <w:spacing w:val="-10"/>
                <w:szCs w:val="21"/>
              </w:rPr>
              <w:t xml:space="preserve"> t/a</w:t>
            </w:r>
          </w:p>
        </w:tc>
        <w:tc>
          <w:tcPr>
            <w:tcW w:w="2465" w:type="dxa"/>
            <w:vAlign w:val="center"/>
          </w:tcPr>
          <w:p>
            <w:pPr>
              <w:jc w:val="center"/>
              <w:rPr>
                <w:spacing w:val="-10"/>
                <w:szCs w:val="21"/>
              </w:rPr>
            </w:pPr>
            <w:r>
              <w:rPr>
                <w:rFonts w:hint="eastAsia"/>
                <w:spacing w:val="-1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2" w:hRule="atLeast"/>
          <w:jc w:val="center"/>
        </w:trPr>
        <w:tc>
          <w:tcPr>
            <w:tcW w:w="856" w:type="dxa"/>
            <w:vMerge w:val="continue"/>
            <w:vAlign w:val="center"/>
          </w:tcPr>
          <w:p>
            <w:pPr>
              <w:spacing w:line="300" w:lineRule="exact"/>
              <w:jc w:val="center"/>
              <w:rPr>
                <w:b/>
                <w:sz w:val="24"/>
                <w:szCs w:val="24"/>
              </w:rPr>
            </w:pPr>
          </w:p>
        </w:tc>
        <w:tc>
          <w:tcPr>
            <w:tcW w:w="1946" w:type="dxa"/>
            <w:vAlign w:val="center"/>
          </w:tcPr>
          <w:p>
            <w:pPr>
              <w:jc w:val="center"/>
              <w:rPr>
                <w:szCs w:val="21"/>
              </w:rPr>
            </w:pPr>
            <w:r>
              <w:rPr>
                <w:rFonts w:hint="eastAsia"/>
                <w:szCs w:val="21"/>
              </w:rPr>
              <w:t>广场</w:t>
            </w:r>
          </w:p>
        </w:tc>
        <w:tc>
          <w:tcPr>
            <w:tcW w:w="1701" w:type="dxa"/>
            <w:vAlign w:val="center"/>
          </w:tcPr>
          <w:p>
            <w:pPr>
              <w:jc w:val="center"/>
              <w:rPr>
                <w:szCs w:val="21"/>
              </w:rPr>
            </w:pPr>
            <w:r>
              <w:rPr>
                <w:rFonts w:hint="eastAsia"/>
                <w:szCs w:val="21"/>
              </w:rPr>
              <w:t>生活垃圾</w:t>
            </w:r>
          </w:p>
        </w:tc>
        <w:tc>
          <w:tcPr>
            <w:tcW w:w="2149" w:type="dxa"/>
            <w:vAlign w:val="center"/>
          </w:tcPr>
          <w:p>
            <w:pPr>
              <w:jc w:val="center"/>
              <w:rPr>
                <w:szCs w:val="21"/>
              </w:rPr>
            </w:pPr>
            <w:r>
              <w:rPr>
                <w:rFonts w:hint="eastAsia"/>
                <w:szCs w:val="21"/>
              </w:rPr>
              <w:t>1.6</w:t>
            </w:r>
            <w:r>
              <w:rPr>
                <w:spacing w:val="-10"/>
                <w:szCs w:val="21"/>
              </w:rPr>
              <w:t xml:space="preserve"> t/a</w:t>
            </w:r>
          </w:p>
        </w:tc>
        <w:tc>
          <w:tcPr>
            <w:tcW w:w="2465" w:type="dxa"/>
            <w:vAlign w:val="center"/>
          </w:tcPr>
          <w:p>
            <w:pPr>
              <w:jc w:val="center"/>
              <w:rPr>
                <w:spacing w:val="-10"/>
                <w:szCs w:val="21"/>
              </w:rPr>
            </w:pPr>
            <w:r>
              <w:rPr>
                <w:rFonts w:hint="eastAsia"/>
                <w:spacing w:val="-1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2" w:hRule="atLeast"/>
          <w:jc w:val="center"/>
        </w:trPr>
        <w:tc>
          <w:tcPr>
            <w:tcW w:w="856" w:type="dxa"/>
            <w:vMerge w:val="continue"/>
            <w:vAlign w:val="center"/>
          </w:tcPr>
          <w:p>
            <w:pPr>
              <w:spacing w:line="300" w:lineRule="exact"/>
              <w:jc w:val="center"/>
              <w:rPr>
                <w:b/>
                <w:sz w:val="24"/>
                <w:szCs w:val="24"/>
              </w:rPr>
            </w:pPr>
          </w:p>
        </w:tc>
        <w:tc>
          <w:tcPr>
            <w:tcW w:w="1946" w:type="dxa"/>
            <w:vAlign w:val="center"/>
          </w:tcPr>
          <w:p>
            <w:pPr>
              <w:jc w:val="center"/>
              <w:rPr>
                <w:szCs w:val="21"/>
              </w:rPr>
            </w:pPr>
            <w:r>
              <w:rPr>
                <w:rFonts w:hint="eastAsia"/>
                <w:szCs w:val="21"/>
              </w:rPr>
              <w:t>雨污管网</w:t>
            </w:r>
          </w:p>
        </w:tc>
        <w:tc>
          <w:tcPr>
            <w:tcW w:w="1701" w:type="dxa"/>
            <w:vAlign w:val="center"/>
          </w:tcPr>
          <w:p>
            <w:pPr>
              <w:jc w:val="center"/>
              <w:rPr>
                <w:szCs w:val="21"/>
              </w:rPr>
            </w:pPr>
            <w:r>
              <w:rPr>
                <w:rFonts w:hint="eastAsia"/>
                <w:szCs w:val="21"/>
              </w:rPr>
              <w:t>淤泥</w:t>
            </w:r>
          </w:p>
        </w:tc>
        <w:tc>
          <w:tcPr>
            <w:tcW w:w="2149" w:type="dxa"/>
            <w:vAlign w:val="center"/>
          </w:tcPr>
          <w:p>
            <w:pPr>
              <w:jc w:val="center"/>
              <w:rPr>
                <w:szCs w:val="21"/>
              </w:rPr>
            </w:pPr>
            <w:r>
              <w:rPr>
                <w:rFonts w:hint="eastAsia"/>
                <w:szCs w:val="21"/>
              </w:rPr>
              <w:t>2.2</w:t>
            </w:r>
            <w:r>
              <w:rPr>
                <w:spacing w:val="-10"/>
                <w:szCs w:val="21"/>
              </w:rPr>
              <w:t xml:space="preserve"> t/a</w:t>
            </w:r>
          </w:p>
        </w:tc>
        <w:tc>
          <w:tcPr>
            <w:tcW w:w="2465" w:type="dxa"/>
            <w:vAlign w:val="center"/>
          </w:tcPr>
          <w:p>
            <w:pPr>
              <w:jc w:val="center"/>
              <w:rPr>
                <w:spacing w:val="-10"/>
                <w:szCs w:val="21"/>
              </w:rPr>
            </w:pPr>
            <w:r>
              <w:rPr>
                <w:rFonts w:hint="eastAsia"/>
                <w:spacing w:val="-1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5" w:hRule="atLeast"/>
          <w:jc w:val="center"/>
        </w:trPr>
        <w:tc>
          <w:tcPr>
            <w:tcW w:w="856" w:type="dxa"/>
            <w:vAlign w:val="center"/>
          </w:tcPr>
          <w:p>
            <w:pPr>
              <w:jc w:val="center"/>
              <w:rPr>
                <w:b/>
                <w:sz w:val="24"/>
                <w:szCs w:val="24"/>
              </w:rPr>
            </w:pPr>
            <w:r>
              <w:rPr>
                <w:rFonts w:hint="eastAsia"/>
                <w:b/>
                <w:sz w:val="24"/>
                <w:szCs w:val="24"/>
              </w:rPr>
              <w:t>噪</w:t>
            </w:r>
          </w:p>
          <w:p>
            <w:pPr>
              <w:jc w:val="center"/>
              <w:rPr>
                <w:b/>
                <w:sz w:val="24"/>
                <w:szCs w:val="24"/>
              </w:rPr>
            </w:pPr>
            <w:r>
              <w:rPr>
                <w:rFonts w:hint="eastAsia"/>
                <w:b/>
                <w:sz w:val="24"/>
                <w:szCs w:val="24"/>
              </w:rPr>
              <w:t>声</w:t>
            </w:r>
          </w:p>
        </w:tc>
        <w:tc>
          <w:tcPr>
            <w:tcW w:w="1946" w:type="dxa"/>
            <w:vAlign w:val="center"/>
          </w:tcPr>
          <w:p>
            <w:pPr>
              <w:jc w:val="center"/>
              <w:rPr>
                <w:spacing w:val="-10"/>
                <w:szCs w:val="21"/>
              </w:rPr>
            </w:pPr>
            <w:r>
              <w:rPr>
                <w:rFonts w:hint="eastAsia"/>
                <w:szCs w:val="21"/>
              </w:rPr>
              <w:t>污水站设备、公路机动车辆、居民娱乐</w:t>
            </w:r>
          </w:p>
        </w:tc>
        <w:tc>
          <w:tcPr>
            <w:tcW w:w="1701" w:type="dxa"/>
            <w:vAlign w:val="center"/>
          </w:tcPr>
          <w:p>
            <w:pPr>
              <w:jc w:val="center"/>
              <w:rPr>
                <w:spacing w:val="-10"/>
                <w:szCs w:val="21"/>
              </w:rPr>
            </w:pPr>
            <w:r>
              <w:rPr>
                <w:szCs w:val="21"/>
              </w:rPr>
              <w:t>L</w:t>
            </w:r>
            <w:r>
              <w:rPr>
                <w:szCs w:val="21"/>
                <w:vertAlign w:val="subscript"/>
              </w:rPr>
              <w:t>Aeq</w:t>
            </w:r>
          </w:p>
        </w:tc>
        <w:tc>
          <w:tcPr>
            <w:tcW w:w="2149" w:type="dxa"/>
            <w:vAlign w:val="center"/>
          </w:tcPr>
          <w:p>
            <w:pPr>
              <w:jc w:val="center"/>
              <w:rPr>
                <w:kern w:val="0"/>
                <w:szCs w:val="21"/>
              </w:rPr>
            </w:pPr>
            <w:r>
              <w:rPr>
                <w:rFonts w:hint="eastAsia"/>
                <w:kern w:val="0"/>
                <w:szCs w:val="21"/>
              </w:rPr>
              <w:t>90</w:t>
            </w:r>
            <w:r>
              <w:rPr>
                <w:kern w:val="0"/>
                <w:szCs w:val="21"/>
              </w:rPr>
              <w:t>~</w:t>
            </w:r>
            <w:r>
              <w:rPr>
                <w:rFonts w:hint="eastAsia"/>
                <w:kern w:val="0"/>
                <w:szCs w:val="21"/>
              </w:rPr>
              <w:t>100</w:t>
            </w:r>
            <w:r>
              <w:rPr>
                <w:kern w:val="0"/>
                <w:szCs w:val="21"/>
              </w:rPr>
              <w:t>dB(A)</w:t>
            </w:r>
          </w:p>
        </w:tc>
        <w:tc>
          <w:tcPr>
            <w:tcW w:w="2465" w:type="dxa"/>
            <w:vAlign w:val="center"/>
          </w:tcPr>
          <w:p>
            <w:pPr>
              <w:jc w:val="center"/>
              <w:rPr>
                <w:szCs w:val="21"/>
              </w:rPr>
            </w:pPr>
            <w:r>
              <w:rPr>
                <w:rFonts w:hint="eastAsia"/>
                <w:szCs w:val="21"/>
              </w:rPr>
              <w:t>污水站厂界：</w:t>
            </w:r>
          </w:p>
          <w:p>
            <w:pPr>
              <w:jc w:val="center"/>
              <w:rPr>
                <w:szCs w:val="21"/>
              </w:rPr>
            </w:pPr>
            <w:r>
              <w:rPr>
                <w:rFonts w:hint="eastAsia"/>
                <w:szCs w:val="21"/>
              </w:rPr>
              <w:t xml:space="preserve">   昼间</w:t>
            </w:r>
            <w:r>
              <w:rPr>
                <w:szCs w:val="21"/>
              </w:rPr>
              <w:t>≤</w:t>
            </w:r>
            <w:r>
              <w:rPr>
                <w:rFonts w:hint="eastAsia"/>
                <w:szCs w:val="21"/>
              </w:rPr>
              <w:t>60</w:t>
            </w:r>
            <w:r>
              <w:rPr>
                <w:szCs w:val="21"/>
              </w:rPr>
              <w:t>dB</w:t>
            </w:r>
            <w:r>
              <w:rPr>
                <w:rFonts w:hint="eastAsia"/>
                <w:szCs w:val="21"/>
              </w:rPr>
              <w:t>（</w:t>
            </w:r>
            <w:r>
              <w:rPr>
                <w:szCs w:val="21"/>
              </w:rPr>
              <w:t>A</w:t>
            </w:r>
            <w:r>
              <w:rPr>
                <w:rFonts w:hint="eastAsia"/>
                <w:szCs w:val="21"/>
              </w:rPr>
              <w:t>）</w:t>
            </w:r>
          </w:p>
          <w:p>
            <w:pPr>
              <w:jc w:val="center"/>
              <w:rPr>
                <w:szCs w:val="21"/>
              </w:rPr>
            </w:pPr>
            <w:r>
              <w:rPr>
                <w:szCs w:val="21"/>
              </w:rPr>
              <w:t xml:space="preserve">   </w:t>
            </w:r>
            <w:r>
              <w:rPr>
                <w:rFonts w:hint="eastAsia"/>
                <w:szCs w:val="21"/>
              </w:rPr>
              <w:t>夜间</w:t>
            </w:r>
            <w:r>
              <w:rPr>
                <w:szCs w:val="21"/>
              </w:rPr>
              <w:t>≤5</w:t>
            </w:r>
            <w:r>
              <w:rPr>
                <w:rFonts w:hint="eastAsia"/>
                <w:szCs w:val="21"/>
              </w:rPr>
              <w:t>0</w:t>
            </w:r>
            <w:r>
              <w:rPr>
                <w:szCs w:val="21"/>
              </w:rPr>
              <w:t>dB</w:t>
            </w:r>
            <w:r>
              <w:rPr>
                <w:rFonts w:hint="eastAsia"/>
                <w:szCs w:val="21"/>
              </w:rPr>
              <w:t>（</w:t>
            </w:r>
            <w:r>
              <w:rPr>
                <w:szCs w:val="21"/>
              </w:rPr>
              <w:t>A</w:t>
            </w:r>
            <w:r>
              <w:rPr>
                <w:rFonts w:hint="eastAsia"/>
                <w:szCs w:val="21"/>
              </w:rPr>
              <w:t>）</w:t>
            </w:r>
          </w:p>
          <w:p>
            <w:pPr>
              <w:jc w:val="center"/>
              <w:rPr>
                <w:szCs w:val="21"/>
              </w:rPr>
            </w:pPr>
            <w:r>
              <w:rPr>
                <w:rFonts w:hint="eastAsia"/>
                <w:szCs w:val="21"/>
              </w:rPr>
              <w:t>公路两侧：</w:t>
            </w:r>
          </w:p>
          <w:p>
            <w:pPr>
              <w:jc w:val="center"/>
              <w:rPr>
                <w:szCs w:val="21"/>
              </w:rPr>
            </w:pPr>
            <w:r>
              <w:rPr>
                <w:rFonts w:hint="eastAsia"/>
                <w:szCs w:val="21"/>
              </w:rPr>
              <w:t xml:space="preserve">   昼间</w:t>
            </w:r>
            <w:r>
              <w:rPr>
                <w:szCs w:val="21"/>
              </w:rPr>
              <w:t>≤</w:t>
            </w:r>
            <w:r>
              <w:rPr>
                <w:rFonts w:hint="eastAsia"/>
                <w:szCs w:val="21"/>
              </w:rPr>
              <w:t>70</w:t>
            </w:r>
            <w:r>
              <w:rPr>
                <w:szCs w:val="21"/>
              </w:rPr>
              <w:t>dB</w:t>
            </w:r>
            <w:r>
              <w:rPr>
                <w:rFonts w:hint="eastAsia"/>
                <w:szCs w:val="21"/>
              </w:rPr>
              <w:t>（</w:t>
            </w:r>
            <w:r>
              <w:rPr>
                <w:szCs w:val="21"/>
              </w:rPr>
              <w:t>A</w:t>
            </w:r>
            <w:r>
              <w:rPr>
                <w:rFonts w:hint="eastAsia"/>
                <w:szCs w:val="21"/>
              </w:rPr>
              <w:t>）</w:t>
            </w:r>
          </w:p>
          <w:p>
            <w:pPr>
              <w:jc w:val="center"/>
              <w:rPr>
                <w:szCs w:val="21"/>
              </w:rPr>
            </w:pPr>
            <w:r>
              <w:rPr>
                <w:szCs w:val="21"/>
              </w:rPr>
              <w:t xml:space="preserve">   </w:t>
            </w:r>
            <w:r>
              <w:rPr>
                <w:rFonts w:hint="eastAsia"/>
                <w:szCs w:val="21"/>
              </w:rPr>
              <w:t>夜间</w:t>
            </w:r>
            <w:r>
              <w:rPr>
                <w:szCs w:val="21"/>
              </w:rPr>
              <w:t>≤5</w:t>
            </w:r>
            <w:r>
              <w:rPr>
                <w:rFonts w:hint="eastAsia"/>
                <w:szCs w:val="21"/>
              </w:rPr>
              <w:t>5</w:t>
            </w:r>
            <w:r>
              <w:rPr>
                <w:szCs w:val="21"/>
              </w:rPr>
              <w:t>dB</w:t>
            </w:r>
            <w:r>
              <w:rPr>
                <w:rFonts w:hint="eastAsia"/>
                <w:szCs w:val="21"/>
              </w:rPr>
              <w:t>（</w:t>
            </w:r>
            <w:r>
              <w:rPr>
                <w:szCs w:val="21"/>
              </w:rPr>
              <w:t>A</w:t>
            </w: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57" w:hRule="atLeast"/>
          <w:jc w:val="center"/>
        </w:trPr>
        <w:tc>
          <w:tcPr>
            <w:tcW w:w="856" w:type="dxa"/>
            <w:vAlign w:val="center"/>
          </w:tcPr>
          <w:p>
            <w:pPr>
              <w:spacing w:line="300" w:lineRule="exact"/>
              <w:jc w:val="center"/>
              <w:rPr>
                <w:sz w:val="24"/>
                <w:szCs w:val="24"/>
              </w:rPr>
            </w:pPr>
            <w:r>
              <w:rPr>
                <w:rFonts w:hint="eastAsia"/>
                <w:b/>
                <w:sz w:val="24"/>
                <w:szCs w:val="24"/>
              </w:rPr>
              <w:t>其他</w:t>
            </w:r>
          </w:p>
        </w:tc>
        <w:tc>
          <w:tcPr>
            <w:tcW w:w="8261" w:type="dxa"/>
            <w:gridSpan w:val="4"/>
            <w:vAlign w:val="center"/>
          </w:tcPr>
          <w:p>
            <w:pPr>
              <w:ind w:firstLine="330" w:firstLineChars="150"/>
              <w:jc w:val="center"/>
              <w:rPr>
                <w:spacing w:val="-10"/>
                <w:sz w:val="24"/>
                <w:szCs w:val="24"/>
              </w:rPr>
            </w:pPr>
            <w:r>
              <w:rPr>
                <w:spacing w:val="-10"/>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21" w:hRule="atLeast"/>
          <w:jc w:val="center"/>
        </w:trPr>
        <w:tc>
          <w:tcPr>
            <w:tcW w:w="9117" w:type="dxa"/>
            <w:gridSpan w:val="5"/>
            <w:tcBorders>
              <w:bottom w:val="single" w:color="auto" w:sz="12" w:space="0"/>
            </w:tcBorders>
            <w:vAlign w:val="center"/>
          </w:tcPr>
          <w:p>
            <w:pPr>
              <w:spacing w:beforeLines="50" w:line="360" w:lineRule="auto"/>
              <w:rPr>
                <w:b/>
                <w:sz w:val="28"/>
                <w:szCs w:val="28"/>
              </w:rPr>
            </w:pPr>
            <w:r>
              <w:rPr>
                <w:rFonts w:hint="eastAsia"/>
                <w:b/>
                <w:sz w:val="28"/>
                <w:szCs w:val="28"/>
              </w:rPr>
              <w:t>主要生态影响（不够时可附另页）：</w:t>
            </w:r>
          </w:p>
          <w:p>
            <w:pPr>
              <w:spacing w:beforeLines="50" w:line="360" w:lineRule="auto"/>
              <w:ind w:firstLine="480" w:firstLineChars="200"/>
              <w:jc w:val="left"/>
              <w:rPr>
                <w:sz w:val="24"/>
                <w:szCs w:val="24"/>
              </w:rPr>
            </w:pPr>
            <w:r>
              <w:rPr>
                <w:rFonts w:hint="eastAsia"/>
                <w:sz w:val="24"/>
                <w:szCs w:val="24"/>
              </w:rPr>
              <w:t>项目实施范围在街区原国有土地基础上进行，无新增占用耕地。</w:t>
            </w:r>
            <w:r>
              <w:rPr>
                <w:sz w:val="24"/>
                <w:szCs w:val="24"/>
              </w:rPr>
              <w:t>建设单位在后期的施工过程中强化对施工人员进行环境保护知识教育；施工时尽量减少施工临时占地，在满足施工要求的前提下，施工场地要尽量小，以减少对施工场地周围土壤、植被和道路的影响，不得随意侵占周围土地；施工作业严格控制在</w:t>
            </w:r>
            <w:r>
              <w:rPr>
                <w:rFonts w:hint="eastAsia"/>
                <w:sz w:val="24"/>
                <w:szCs w:val="24"/>
              </w:rPr>
              <w:t>原国有土地</w:t>
            </w:r>
            <w:r>
              <w:rPr>
                <w:sz w:val="24"/>
                <w:szCs w:val="24"/>
              </w:rPr>
              <w:t>范围内；对物料、堆土、建筑垃圾等应就地选择平坦地段集中堆放，并设置土工布围栏；对完工的裸露地表面要尽早平整，及时绿化场地。</w:t>
            </w:r>
          </w:p>
          <w:p>
            <w:pPr>
              <w:spacing w:beforeLines="50" w:line="360" w:lineRule="auto"/>
              <w:ind w:firstLine="480" w:firstLineChars="200"/>
              <w:jc w:val="left"/>
              <w:rPr>
                <w:sz w:val="24"/>
                <w:szCs w:val="24"/>
              </w:rPr>
            </w:pPr>
            <w:r>
              <w:rPr>
                <w:sz w:val="24"/>
                <w:szCs w:val="24"/>
              </w:rPr>
              <w:t>综上所述，拟建项目的建设不会对生态环境造成明显不良影响。</w:t>
            </w:r>
          </w:p>
          <w:p>
            <w:pPr>
              <w:spacing w:beforeLines="50" w:line="360" w:lineRule="auto"/>
              <w:ind w:firstLine="480" w:firstLineChars="200"/>
              <w:jc w:val="left"/>
              <w:rPr>
                <w:sz w:val="24"/>
                <w:szCs w:val="24"/>
              </w:rPr>
            </w:pPr>
          </w:p>
          <w:p>
            <w:pPr>
              <w:spacing w:beforeLines="50" w:line="360" w:lineRule="auto"/>
              <w:ind w:firstLine="480" w:firstLineChars="200"/>
              <w:jc w:val="left"/>
              <w:rPr>
                <w:sz w:val="24"/>
                <w:szCs w:val="24"/>
              </w:rPr>
            </w:pPr>
          </w:p>
          <w:p>
            <w:pPr>
              <w:spacing w:beforeLines="50" w:line="360" w:lineRule="auto"/>
              <w:ind w:firstLine="480" w:firstLineChars="200"/>
              <w:jc w:val="left"/>
              <w:rPr>
                <w:sz w:val="24"/>
                <w:szCs w:val="24"/>
              </w:rPr>
            </w:pPr>
          </w:p>
          <w:p>
            <w:pPr>
              <w:spacing w:beforeLines="50" w:line="360" w:lineRule="auto"/>
              <w:ind w:firstLine="480" w:firstLineChars="200"/>
              <w:jc w:val="left"/>
              <w:rPr>
                <w:sz w:val="24"/>
                <w:szCs w:val="24"/>
              </w:rPr>
            </w:pPr>
          </w:p>
          <w:p>
            <w:pPr>
              <w:spacing w:beforeLines="50" w:line="360" w:lineRule="auto"/>
              <w:ind w:firstLine="480" w:firstLineChars="200"/>
              <w:jc w:val="left"/>
              <w:rPr>
                <w:sz w:val="24"/>
                <w:szCs w:val="24"/>
              </w:rPr>
            </w:pPr>
          </w:p>
          <w:p>
            <w:pPr>
              <w:spacing w:beforeLines="50" w:line="360" w:lineRule="auto"/>
              <w:ind w:firstLine="480" w:firstLineChars="200"/>
              <w:jc w:val="left"/>
              <w:rPr>
                <w:sz w:val="24"/>
                <w:szCs w:val="24"/>
              </w:rPr>
            </w:pPr>
          </w:p>
          <w:p>
            <w:pPr>
              <w:spacing w:beforeLines="50" w:line="360" w:lineRule="auto"/>
              <w:ind w:firstLine="480" w:firstLineChars="200"/>
              <w:jc w:val="left"/>
              <w:rPr>
                <w:sz w:val="24"/>
                <w:szCs w:val="24"/>
              </w:rPr>
            </w:pPr>
          </w:p>
          <w:p>
            <w:pPr>
              <w:spacing w:beforeLines="50" w:line="360" w:lineRule="auto"/>
              <w:ind w:firstLine="480" w:firstLineChars="200"/>
              <w:jc w:val="left"/>
              <w:rPr>
                <w:sz w:val="24"/>
                <w:szCs w:val="24"/>
              </w:rPr>
            </w:pPr>
          </w:p>
          <w:p>
            <w:pPr>
              <w:spacing w:beforeLines="50" w:line="360" w:lineRule="auto"/>
              <w:ind w:firstLine="480" w:firstLineChars="200"/>
              <w:jc w:val="left"/>
              <w:rPr>
                <w:sz w:val="24"/>
                <w:szCs w:val="24"/>
              </w:rPr>
            </w:pPr>
          </w:p>
          <w:p>
            <w:pPr>
              <w:spacing w:beforeLines="50" w:line="360" w:lineRule="auto"/>
              <w:ind w:firstLine="480" w:firstLineChars="200"/>
              <w:jc w:val="left"/>
              <w:rPr>
                <w:sz w:val="24"/>
                <w:szCs w:val="24"/>
              </w:rPr>
            </w:pPr>
          </w:p>
          <w:p>
            <w:pPr>
              <w:spacing w:beforeLines="50" w:line="360" w:lineRule="auto"/>
              <w:ind w:firstLine="480" w:firstLineChars="200"/>
              <w:jc w:val="left"/>
              <w:rPr>
                <w:sz w:val="24"/>
                <w:szCs w:val="24"/>
              </w:rPr>
            </w:pPr>
          </w:p>
          <w:p>
            <w:pPr>
              <w:spacing w:beforeLines="50" w:line="360" w:lineRule="auto"/>
              <w:ind w:firstLine="480" w:firstLineChars="200"/>
              <w:jc w:val="left"/>
              <w:rPr>
                <w:sz w:val="24"/>
                <w:szCs w:val="24"/>
              </w:rPr>
            </w:pPr>
          </w:p>
          <w:p>
            <w:pPr>
              <w:spacing w:beforeLines="50" w:line="360" w:lineRule="auto"/>
              <w:ind w:firstLine="480" w:firstLineChars="200"/>
              <w:jc w:val="left"/>
              <w:rPr>
                <w:sz w:val="24"/>
                <w:szCs w:val="24"/>
              </w:rPr>
            </w:pPr>
          </w:p>
          <w:p>
            <w:pPr>
              <w:spacing w:beforeLines="50" w:line="360" w:lineRule="auto"/>
              <w:ind w:firstLine="480" w:firstLineChars="200"/>
              <w:jc w:val="left"/>
              <w:rPr>
                <w:sz w:val="24"/>
                <w:szCs w:val="24"/>
              </w:rPr>
            </w:pPr>
          </w:p>
          <w:p>
            <w:pPr>
              <w:spacing w:beforeLines="50" w:line="360" w:lineRule="auto"/>
              <w:ind w:firstLine="480" w:firstLineChars="200"/>
              <w:jc w:val="left"/>
              <w:rPr>
                <w:sz w:val="24"/>
                <w:szCs w:val="24"/>
              </w:rPr>
            </w:pPr>
          </w:p>
          <w:p>
            <w:pPr>
              <w:spacing w:beforeLines="50" w:line="360" w:lineRule="auto"/>
              <w:ind w:firstLine="480" w:firstLineChars="200"/>
              <w:jc w:val="left"/>
              <w:rPr>
                <w:sz w:val="24"/>
                <w:szCs w:val="24"/>
              </w:rPr>
            </w:pPr>
          </w:p>
          <w:p>
            <w:pPr>
              <w:spacing w:beforeLines="50" w:line="360" w:lineRule="auto"/>
              <w:ind w:firstLine="480" w:firstLineChars="200"/>
              <w:jc w:val="left"/>
              <w:rPr>
                <w:sz w:val="24"/>
                <w:szCs w:val="24"/>
              </w:rPr>
            </w:pPr>
          </w:p>
          <w:p>
            <w:pPr>
              <w:spacing w:beforeLines="50" w:line="360" w:lineRule="auto"/>
              <w:ind w:firstLine="480" w:firstLineChars="200"/>
              <w:jc w:val="left"/>
              <w:rPr>
                <w:sz w:val="24"/>
                <w:szCs w:val="24"/>
              </w:rPr>
            </w:pPr>
          </w:p>
        </w:tc>
      </w:tr>
    </w:tbl>
    <w:p>
      <w:pPr>
        <w:outlineLvl w:val="0"/>
        <w:rPr>
          <w:b/>
          <w:sz w:val="32"/>
        </w:rPr>
      </w:pPr>
      <w:r>
        <w:rPr>
          <w:rFonts w:hint="eastAsia"/>
          <w:b/>
          <w:sz w:val="32"/>
        </w:rPr>
        <w:t>环境影响分析</w:t>
      </w:r>
    </w:p>
    <w:tbl>
      <w:tblPr>
        <w:tblStyle w:val="35"/>
        <w:tblW w:w="9117" w:type="dxa"/>
        <w:jc w:val="center"/>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11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8767" w:hRule="atLeast"/>
          <w:jc w:val="center"/>
        </w:trPr>
        <w:tc>
          <w:tcPr>
            <w:tcW w:w="9117" w:type="dxa"/>
          </w:tcPr>
          <w:p>
            <w:pPr>
              <w:spacing w:beforeLines="50" w:afterLines="50"/>
              <w:rPr>
                <w:b/>
                <w:sz w:val="24"/>
              </w:rPr>
            </w:pPr>
            <w:r>
              <w:rPr>
                <w:rFonts w:hint="eastAsia"/>
                <w:b/>
                <w:sz w:val="24"/>
              </w:rPr>
              <w:t xml:space="preserve">    生态环境影响分析：</w:t>
            </w:r>
          </w:p>
          <w:p>
            <w:pPr>
              <w:spacing w:line="360" w:lineRule="auto"/>
              <w:ind w:firstLine="480" w:firstLineChars="200"/>
              <w:jc w:val="left"/>
              <w:rPr>
                <w:rFonts w:ascii="宋体" w:hAnsi="宋体"/>
                <w:sz w:val="24"/>
              </w:rPr>
            </w:pPr>
            <w:r>
              <w:rPr>
                <w:rFonts w:hint="eastAsia" w:ascii="宋体" w:hAnsi="宋体"/>
                <w:sz w:val="24"/>
              </w:rPr>
              <w:t>（1）工程占地影响分析</w:t>
            </w:r>
          </w:p>
          <w:p>
            <w:pPr>
              <w:spacing w:line="360" w:lineRule="auto"/>
              <w:ind w:firstLine="480" w:firstLineChars="200"/>
              <w:jc w:val="left"/>
              <w:rPr>
                <w:sz w:val="24"/>
                <w:szCs w:val="24"/>
              </w:rPr>
            </w:pPr>
            <w:r>
              <w:rPr>
                <w:rFonts w:hint="eastAsia" w:ascii="宋体" w:hAnsi="宋体"/>
                <w:sz w:val="24"/>
              </w:rPr>
              <w:t>工程占地包括新增永久性占地和临时性占地。项目</w:t>
            </w:r>
            <w:r>
              <w:rPr>
                <w:rFonts w:hint="eastAsia"/>
                <w:sz w:val="24"/>
                <w:szCs w:val="24"/>
              </w:rPr>
              <w:t>在街区原国有土地基础上进行，无新增占用耕地。项目临时占地分布于工程建设区域施工沿线，占地类型主要为沿线原有道路，主要为排水管道开挖、机械运转、临时堆土等占地。临时性占地在施工期内暂时破坏路边植被，但项目区现有植被少，因此，对土地利用功能影响较小，工程结束后，临时占地经过绿化基本可恢复土地原有功能。</w:t>
            </w:r>
          </w:p>
          <w:p>
            <w:pPr>
              <w:spacing w:line="360" w:lineRule="auto"/>
              <w:ind w:firstLine="480" w:firstLineChars="200"/>
              <w:jc w:val="left"/>
              <w:rPr>
                <w:sz w:val="24"/>
                <w:szCs w:val="24"/>
              </w:rPr>
            </w:pPr>
            <w:r>
              <w:rPr>
                <w:rFonts w:hint="eastAsia"/>
                <w:sz w:val="24"/>
                <w:szCs w:val="24"/>
              </w:rPr>
              <w:t>（2）植被、土壤环境影响分析</w:t>
            </w:r>
          </w:p>
          <w:p>
            <w:pPr>
              <w:spacing w:line="360" w:lineRule="auto"/>
              <w:ind w:firstLine="480" w:firstLineChars="200"/>
              <w:jc w:val="left"/>
              <w:rPr>
                <w:rFonts w:ascii="宋体" w:hAnsi="宋体"/>
                <w:sz w:val="24"/>
              </w:rPr>
            </w:pPr>
            <w:r>
              <w:rPr>
                <w:rFonts w:ascii="宋体" w:hAnsi="宋体"/>
                <w:sz w:val="24"/>
              </w:rPr>
              <w:t xml:space="preserve">①植被环境影响分析 </w:t>
            </w:r>
          </w:p>
          <w:p>
            <w:pPr>
              <w:spacing w:line="360" w:lineRule="auto"/>
              <w:ind w:firstLine="480" w:firstLineChars="200"/>
              <w:jc w:val="left"/>
              <w:rPr>
                <w:rFonts w:ascii="宋体" w:hAnsi="宋体"/>
                <w:sz w:val="24"/>
              </w:rPr>
            </w:pPr>
            <w:r>
              <w:rPr>
                <w:rFonts w:ascii="宋体" w:hAnsi="宋体"/>
                <w:sz w:val="24"/>
              </w:rPr>
              <w:t>a.过往车辆产生的扬尘会影响道路两侧百米内的植被，尘埃使项目区的植被叶面光和作用和呼吸作用能力降低，影响植物的生长；</w:t>
            </w:r>
          </w:p>
          <w:p>
            <w:pPr>
              <w:spacing w:line="360" w:lineRule="auto"/>
              <w:ind w:firstLine="480" w:firstLineChars="200"/>
              <w:jc w:val="left"/>
              <w:rPr>
                <w:rFonts w:ascii="宋体" w:hAnsi="宋体"/>
                <w:sz w:val="24"/>
              </w:rPr>
            </w:pPr>
            <w:r>
              <w:rPr>
                <w:rFonts w:ascii="宋体" w:hAnsi="宋体"/>
                <w:sz w:val="24"/>
              </w:rPr>
              <w:t>b.项目在施工期若随处在</w:t>
            </w:r>
            <w:r>
              <w:rPr>
                <w:rFonts w:hint="eastAsia" w:ascii="宋体" w:hAnsi="宋体"/>
                <w:sz w:val="24"/>
              </w:rPr>
              <w:t>道路两边绿化带</w:t>
            </w:r>
            <w:r>
              <w:rPr>
                <w:rFonts w:ascii="宋体" w:hAnsi="宋体"/>
                <w:sz w:val="24"/>
              </w:rPr>
              <w:t>上倾倒废弃</w:t>
            </w:r>
            <w:r>
              <w:rPr>
                <w:rFonts w:hint="eastAsia" w:ascii="宋体" w:hAnsi="宋体"/>
                <w:sz w:val="24"/>
              </w:rPr>
              <w:t>建筑</w:t>
            </w:r>
            <w:r>
              <w:rPr>
                <w:rFonts w:ascii="宋体" w:hAnsi="宋体"/>
                <w:sz w:val="24"/>
              </w:rPr>
              <w:t>材料，则会覆盖草地，对植被造成破坏。不仅使植被难以恢复，同时遇大风天气，极易造成风蚀，产生扬尘，二次扬尘再次覆盖植被，则影响植物的正常生长。</w:t>
            </w:r>
          </w:p>
          <w:p>
            <w:pPr>
              <w:spacing w:line="360" w:lineRule="auto"/>
              <w:ind w:firstLine="480" w:firstLineChars="200"/>
              <w:jc w:val="left"/>
              <w:rPr>
                <w:rFonts w:ascii="宋体" w:hAnsi="宋体"/>
                <w:sz w:val="24"/>
              </w:rPr>
            </w:pPr>
            <w:r>
              <w:rPr>
                <w:rFonts w:ascii="宋体" w:hAnsi="宋体"/>
                <w:sz w:val="24"/>
              </w:rPr>
              <w:t xml:space="preserve"> ②土壤环境影响分析</w:t>
            </w:r>
          </w:p>
          <w:p>
            <w:pPr>
              <w:spacing w:line="360" w:lineRule="auto"/>
              <w:ind w:firstLine="480" w:firstLineChars="200"/>
              <w:jc w:val="left"/>
              <w:rPr>
                <w:rFonts w:ascii="宋体" w:hAnsi="宋体"/>
                <w:sz w:val="24"/>
              </w:rPr>
            </w:pPr>
            <w:r>
              <w:rPr>
                <w:rFonts w:ascii="宋体" w:hAnsi="宋体"/>
                <w:sz w:val="24"/>
              </w:rPr>
              <w:t>a.施工人员的践踏和施工机械的碾压，将改变土壤的坚实度、通气性，对土壤的物理性质有所影响</w:t>
            </w:r>
            <w:r>
              <w:rPr>
                <w:rFonts w:hint="eastAsia" w:ascii="宋体" w:hAnsi="宋体"/>
                <w:sz w:val="24"/>
              </w:rPr>
              <w:t>，对本项目主要表现在污水站的施工建设</w:t>
            </w:r>
            <w:r>
              <w:rPr>
                <w:rFonts w:ascii="宋体" w:hAnsi="宋体"/>
                <w:sz w:val="24"/>
              </w:rPr>
              <w:t>；</w:t>
            </w:r>
          </w:p>
          <w:p>
            <w:pPr>
              <w:spacing w:line="360" w:lineRule="auto"/>
              <w:ind w:firstLine="480" w:firstLineChars="200"/>
              <w:jc w:val="left"/>
              <w:rPr>
                <w:rFonts w:ascii="宋体" w:hAnsi="宋体"/>
                <w:sz w:val="24"/>
              </w:rPr>
            </w:pPr>
            <w:r>
              <w:rPr>
                <w:rFonts w:ascii="宋体" w:hAnsi="宋体"/>
                <w:sz w:val="24"/>
              </w:rPr>
              <w:t>b.废弃</w:t>
            </w:r>
            <w:r>
              <w:rPr>
                <w:rFonts w:hint="eastAsia" w:ascii="宋体" w:hAnsi="宋体"/>
                <w:sz w:val="24"/>
              </w:rPr>
              <w:t>建筑</w:t>
            </w:r>
            <w:r>
              <w:rPr>
                <w:rFonts w:ascii="宋体" w:hAnsi="宋体"/>
                <w:sz w:val="24"/>
              </w:rPr>
              <w:t xml:space="preserve">材料在沿线如果不合理的堆放，不仅会扩大占用土地的面积而且使地表高有机质的表层壤土被掩盖，不仅影响景观而且对地表植被恢复造成难度，同时产生新的水土流失； </w:t>
            </w:r>
          </w:p>
          <w:p>
            <w:pPr>
              <w:spacing w:line="360" w:lineRule="auto"/>
              <w:ind w:firstLine="480" w:firstLineChars="200"/>
              <w:jc w:val="left"/>
              <w:rPr>
                <w:rFonts w:ascii="宋体" w:hAnsi="宋体"/>
                <w:sz w:val="24"/>
              </w:rPr>
            </w:pPr>
            <w:r>
              <w:rPr>
                <w:rFonts w:ascii="宋体" w:hAnsi="宋体"/>
                <w:sz w:val="24"/>
              </w:rPr>
              <w:t xml:space="preserve">c.路基工程施工时，因扰动了原土体结构，使地表失去保护层，增加降雨侵蚀的程度； </w:t>
            </w:r>
          </w:p>
          <w:p>
            <w:pPr>
              <w:spacing w:line="360" w:lineRule="auto"/>
              <w:ind w:firstLine="480" w:firstLineChars="200"/>
              <w:jc w:val="left"/>
              <w:rPr>
                <w:rFonts w:ascii="宋体" w:hAnsi="宋体"/>
                <w:sz w:val="24"/>
              </w:rPr>
            </w:pPr>
            <w:r>
              <w:rPr>
                <w:rFonts w:ascii="宋体" w:hAnsi="宋体"/>
                <w:sz w:val="24"/>
              </w:rPr>
              <w:t>d.施工人员产生的生活污水、生活垃圾不合理排放，也会污染土壤。</w:t>
            </w:r>
          </w:p>
          <w:p>
            <w:pPr>
              <w:spacing w:line="360" w:lineRule="auto"/>
              <w:ind w:firstLine="480" w:firstLineChars="200"/>
              <w:jc w:val="left"/>
              <w:rPr>
                <w:rFonts w:ascii="宋体" w:hAnsi="宋体"/>
                <w:sz w:val="24"/>
              </w:rPr>
            </w:pPr>
            <w:r>
              <w:rPr>
                <w:rFonts w:hint="eastAsia" w:ascii="宋体" w:hAnsi="宋体"/>
                <w:sz w:val="24"/>
              </w:rPr>
              <w:t>（3）景观影响分析</w:t>
            </w:r>
          </w:p>
          <w:p>
            <w:pPr>
              <w:spacing w:line="360" w:lineRule="auto"/>
              <w:ind w:firstLine="480" w:firstLineChars="200"/>
              <w:jc w:val="left"/>
              <w:rPr>
                <w:rFonts w:ascii="宋体" w:hAnsi="宋体"/>
                <w:sz w:val="24"/>
              </w:rPr>
            </w:pPr>
            <w:r>
              <w:rPr>
                <w:rFonts w:ascii="宋体" w:hAnsi="宋体"/>
                <w:sz w:val="24"/>
              </w:rPr>
              <w:t>①施工期的影响</w:t>
            </w:r>
          </w:p>
          <w:p>
            <w:pPr>
              <w:spacing w:line="360" w:lineRule="auto"/>
              <w:ind w:firstLine="480" w:firstLineChars="200"/>
              <w:jc w:val="left"/>
              <w:rPr>
                <w:rFonts w:ascii="宋体" w:hAnsi="宋体"/>
                <w:sz w:val="24"/>
              </w:rPr>
            </w:pPr>
            <w:r>
              <w:rPr>
                <w:rFonts w:ascii="宋体" w:hAnsi="宋体"/>
                <w:sz w:val="24"/>
              </w:rPr>
              <w:t>在施工活动中，本工程所在区部分景观会受到一定程度的影响，主要是施工便道及施工生产区的生产与运输过程，使沿线植被、农田等景观遭到破坏。施工期内，由于施工临时占地、工程永久占地、交通运输等都会破坏区域原有景观，尤其在景观组成的破坏和新建存在一定时滞效应时，沿线景观生态会受到较大影响，表现为地表更加裸露、风蚀作用加强等。原自然生态景观中增加了较多的人类活动成分，而且这种人为活动对自然景观的影响是不利的。但是，这种影响是短时且可控的，在施工过程中采取一定的生态环保措施能够减缓施工建设活动对景观资源的影响。</w:t>
            </w:r>
          </w:p>
          <w:p>
            <w:pPr>
              <w:spacing w:line="360" w:lineRule="auto"/>
              <w:ind w:firstLine="480" w:firstLineChars="200"/>
              <w:jc w:val="left"/>
              <w:rPr>
                <w:rFonts w:ascii="宋体" w:hAnsi="宋体"/>
                <w:sz w:val="24"/>
              </w:rPr>
            </w:pPr>
            <w:r>
              <w:rPr>
                <w:rFonts w:ascii="宋体" w:hAnsi="宋体"/>
                <w:sz w:val="24"/>
              </w:rPr>
              <w:t>②营运期的影响</w:t>
            </w:r>
          </w:p>
          <w:p>
            <w:pPr>
              <w:spacing w:line="360" w:lineRule="auto"/>
              <w:ind w:firstLine="480" w:firstLineChars="200"/>
              <w:jc w:val="left"/>
              <w:rPr>
                <w:rFonts w:ascii="宋体" w:hAnsi="宋体"/>
                <w:sz w:val="24"/>
              </w:rPr>
            </w:pPr>
            <w:r>
              <w:rPr>
                <w:rFonts w:ascii="宋体" w:hAnsi="宋体"/>
                <w:sz w:val="24"/>
              </w:rPr>
              <w:t>本工程建成后，</w:t>
            </w:r>
            <w:r>
              <w:rPr>
                <w:rFonts w:hint="eastAsia" w:ascii="宋体" w:hAnsi="宋体"/>
                <w:sz w:val="24"/>
              </w:rPr>
              <w:t>公路</w:t>
            </w:r>
            <w:r>
              <w:rPr>
                <w:rFonts w:ascii="宋体" w:hAnsi="宋体"/>
                <w:sz w:val="24"/>
              </w:rPr>
              <w:t>过往车辆</w:t>
            </w:r>
            <w:r>
              <w:rPr>
                <w:rFonts w:hint="eastAsia" w:ascii="宋体" w:hAnsi="宋体"/>
                <w:sz w:val="24"/>
              </w:rPr>
              <w:t>没有</w:t>
            </w:r>
            <w:r>
              <w:rPr>
                <w:rFonts w:ascii="宋体" w:hAnsi="宋体"/>
                <w:sz w:val="24"/>
              </w:rPr>
              <w:t>增多，</w:t>
            </w:r>
            <w:r>
              <w:rPr>
                <w:rFonts w:hint="eastAsia" w:ascii="宋体" w:hAnsi="宋体"/>
                <w:sz w:val="24"/>
              </w:rPr>
              <w:t>对</w:t>
            </w:r>
            <w:r>
              <w:rPr>
                <w:rFonts w:ascii="宋体" w:hAnsi="宋体"/>
                <w:sz w:val="24"/>
              </w:rPr>
              <w:t>区域景观系统输入的污染源</w:t>
            </w:r>
            <w:r>
              <w:rPr>
                <w:rFonts w:hint="eastAsia" w:ascii="宋体" w:hAnsi="宋体"/>
                <w:sz w:val="24"/>
              </w:rPr>
              <w:t>不增加</w:t>
            </w:r>
            <w:r>
              <w:rPr>
                <w:rFonts w:ascii="宋体" w:hAnsi="宋体"/>
                <w:sz w:val="24"/>
              </w:rPr>
              <w:t>，</w:t>
            </w:r>
            <w:r>
              <w:rPr>
                <w:rFonts w:hint="eastAsia" w:ascii="宋体" w:hAnsi="宋体"/>
                <w:sz w:val="24"/>
              </w:rPr>
              <w:t>公路沿线绿化，给排水工程完成后路面压实硬化，恢复土地利用类型，广场硬化绿化，合理的绿化布局</w:t>
            </w:r>
            <w:r>
              <w:rPr>
                <w:rFonts w:ascii="宋体" w:hAnsi="宋体"/>
                <w:sz w:val="24"/>
              </w:rPr>
              <w:t>能够形成居民区污染防治的缓冲带，减小其不利影响。</w:t>
            </w:r>
          </w:p>
          <w:p>
            <w:pPr>
              <w:spacing w:line="360" w:lineRule="auto"/>
              <w:ind w:firstLine="480" w:firstLineChars="200"/>
              <w:jc w:val="left"/>
              <w:rPr>
                <w:rFonts w:ascii="宋体" w:hAnsi="宋体"/>
                <w:sz w:val="24"/>
              </w:rPr>
            </w:pPr>
            <w:r>
              <w:rPr>
                <w:rFonts w:ascii="宋体" w:hAnsi="宋体"/>
                <w:sz w:val="24"/>
              </w:rPr>
              <w:t>工程所在区总体呈现出农田景观和宅基地景观的镶嵌式空间分布格局。工程建设完成后，按原线路分布景观，</w:t>
            </w:r>
            <w:r>
              <w:rPr>
                <w:rFonts w:hint="eastAsia" w:ascii="宋体" w:hAnsi="宋体"/>
                <w:sz w:val="24"/>
              </w:rPr>
              <w:t>原有景观虽然破碎，但经过布局绿化带，恢复土地利用类型，沿线景观的形成基本恢复，不会破坏其生态稳定性。</w:t>
            </w: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2" w:firstLineChars="200"/>
              <w:jc w:val="left"/>
              <w:rPr>
                <w:rFonts w:ascii="宋体" w:hAnsi="宋体"/>
                <w:sz w:val="24"/>
              </w:rPr>
            </w:pPr>
            <w:r>
              <w:rPr>
                <w:rFonts w:hint="eastAsia"/>
                <w:b/>
                <w:sz w:val="24"/>
              </w:rPr>
              <w:t>施工期环境影响分析：</w:t>
            </w:r>
          </w:p>
          <w:p>
            <w:pPr>
              <w:spacing w:line="360" w:lineRule="auto"/>
              <w:ind w:firstLine="480" w:firstLineChars="200"/>
              <w:jc w:val="left"/>
              <w:rPr>
                <w:rFonts w:ascii="宋体" w:hAnsi="宋体"/>
                <w:sz w:val="24"/>
              </w:rPr>
            </w:pPr>
            <w:r>
              <w:rPr>
                <w:rFonts w:ascii="宋体" w:hAnsi="宋体"/>
                <w:sz w:val="24"/>
              </w:rPr>
              <w:t>工程施工期将会产生扬尘、</w:t>
            </w:r>
            <w:r>
              <w:rPr>
                <w:rFonts w:hint="eastAsia" w:ascii="宋体" w:hAnsi="宋体"/>
                <w:sz w:val="24"/>
              </w:rPr>
              <w:t>废水、</w:t>
            </w:r>
            <w:r>
              <w:rPr>
                <w:rFonts w:ascii="宋体" w:hAnsi="宋体"/>
                <w:sz w:val="24"/>
              </w:rPr>
              <w:t>噪声和固体废物，对周围环境产生一定的影响，但相对于工程建成运行后对环境的影响，施工期内环境影响范围较小，影响是近距离的，影响时间随着施工期结束而结束，不会有累积效应。</w:t>
            </w:r>
          </w:p>
          <w:p>
            <w:pPr>
              <w:spacing w:line="360" w:lineRule="auto"/>
              <w:ind w:firstLine="480" w:firstLineChars="200"/>
              <w:jc w:val="left"/>
              <w:rPr>
                <w:sz w:val="24"/>
              </w:rPr>
            </w:pPr>
            <w:r>
              <w:rPr>
                <w:sz w:val="24"/>
              </w:rPr>
              <w:t>1</w:t>
            </w:r>
            <w:r>
              <w:rPr>
                <w:rFonts w:hAnsi="宋体"/>
                <w:sz w:val="24"/>
              </w:rPr>
              <w:t>、</w:t>
            </w:r>
            <w:r>
              <w:rPr>
                <w:rFonts w:hint="eastAsia" w:hAnsi="宋体"/>
                <w:sz w:val="24"/>
              </w:rPr>
              <w:t>项目建设地环境敏感因素分析及环境影响因素识别</w:t>
            </w:r>
          </w:p>
          <w:p>
            <w:pPr>
              <w:spacing w:line="360" w:lineRule="auto"/>
              <w:ind w:firstLine="480" w:firstLineChars="200"/>
              <w:jc w:val="left"/>
              <w:rPr>
                <w:sz w:val="24"/>
              </w:rPr>
            </w:pPr>
            <w:r>
              <w:rPr>
                <w:sz w:val="24"/>
              </w:rPr>
              <w:t>采用矩阵识别法对拟建项目在建设期产生的环境影响因素进行识别，识别结果见表</w:t>
            </w:r>
            <w:r>
              <w:rPr>
                <w:rFonts w:hint="eastAsia"/>
                <w:sz w:val="24"/>
              </w:rPr>
              <w:t>46</w:t>
            </w:r>
            <w:r>
              <w:rPr>
                <w:sz w:val="24"/>
              </w:rPr>
              <w:t>。</w:t>
            </w:r>
          </w:p>
          <w:p>
            <w:pPr>
              <w:spacing w:line="360" w:lineRule="auto"/>
              <w:ind w:firstLine="422" w:firstLineChars="200"/>
              <w:jc w:val="center"/>
              <w:rPr>
                <w:b/>
                <w:szCs w:val="21"/>
              </w:rPr>
            </w:pPr>
            <w:r>
              <w:rPr>
                <w:rFonts w:hint="eastAsia"/>
                <w:b/>
                <w:szCs w:val="21"/>
              </w:rPr>
              <w:t>表46  施工期环境影响因素识别矩阵</w:t>
            </w:r>
          </w:p>
          <w:tbl>
            <w:tblPr>
              <w:tblStyle w:val="35"/>
              <w:tblW w:w="890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9"/>
              <w:gridCol w:w="1067"/>
              <w:gridCol w:w="1566"/>
              <w:gridCol w:w="951"/>
              <w:gridCol w:w="951"/>
              <w:gridCol w:w="951"/>
              <w:gridCol w:w="951"/>
              <w:gridCol w:w="951"/>
              <w:gridCol w:w="9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 w:hRule="atLeast"/>
              </w:trPr>
              <w:tc>
                <w:tcPr>
                  <w:tcW w:w="1636" w:type="dxa"/>
                  <w:gridSpan w:val="2"/>
                  <w:tcBorders>
                    <w:top w:val="single" w:color="auto" w:sz="12" w:space="0"/>
                    <w:left w:val="nil"/>
                    <w:bottom w:val="single" w:color="auto" w:sz="12" w:space="0"/>
                  </w:tcBorders>
                  <w:vAlign w:val="center"/>
                </w:tcPr>
                <w:p>
                  <w:pPr>
                    <w:jc w:val="center"/>
                    <w:rPr>
                      <w:b/>
                      <w:caps/>
                      <w:szCs w:val="21"/>
                    </w:rPr>
                  </w:pPr>
                  <w:r>
                    <w:rPr>
                      <w:rFonts w:hAnsi="宋体"/>
                      <w:b/>
                      <w:caps/>
                      <w:szCs w:val="21"/>
                    </w:rPr>
                    <w:t>时段</w:t>
                  </w:r>
                </w:p>
              </w:tc>
              <w:tc>
                <w:tcPr>
                  <w:tcW w:w="1566" w:type="dxa"/>
                  <w:tcBorders>
                    <w:top w:val="single" w:color="auto" w:sz="12" w:space="0"/>
                    <w:bottom w:val="single" w:color="auto" w:sz="12" w:space="0"/>
                  </w:tcBorders>
                  <w:vAlign w:val="center"/>
                </w:tcPr>
                <w:p>
                  <w:pPr>
                    <w:jc w:val="center"/>
                    <w:rPr>
                      <w:b/>
                      <w:caps/>
                      <w:szCs w:val="21"/>
                    </w:rPr>
                  </w:pPr>
                  <w:r>
                    <w:rPr>
                      <w:rFonts w:hAnsi="宋体"/>
                      <w:b/>
                      <w:caps/>
                      <w:szCs w:val="21"/>
                    </w:rPr>
                    <w:t>评价因子</w:t>
                  </w:r>
                </w:p>
              </w:tc>
              <w:tc>
                <w:tcPr>
                  <w:tcW w:w="951" w:type="dxa"/>
                  <w:tcBorders>
                    <w:top w:val="single" w:color="auto" w:sz="12" w:space="0"/>
                    <w:bottom w:val="single" w:color="auto" w:sz="12" w:space="0"/>
                  </w:tcBorders>
                  <w:vAlign w:val="center"/>
                </w:tcPr>
                <w:p>
                  <w:pPr>
                    <w:jc w:val="center"/>
                    <w:rPr>
                      <w:b/>
                      <w:caps/>
                      <w:szCs w:val="21"/>
                    </w:rPr>
                  </w:pPr>
                  <w:r>
                    <w:rPr>
                      <w:rFonts w:hAnsi="宋体"/>
                      <w:b/>
                      <w:caps/>
                      <w:szCs w:val="21"/>
                    </w:rPr>
                    <w:t>性质</w:t>
                  </w:r>
                </w:p>
              </w:tc>
              <w:tc>
                <w:tcPr>
                  <w:tcW w:w="951" w:type="dxa"/>
                  <w:tcBorders>
                    <w:top w:val="single" w:color="auto" w:sz="12" w:space="0"/>
                    <w:bottom w:val="single" w:color="auto" w:sz="12" w:space="0"/>
                  </w:tcBorders>
                  <w:vAlign w:val="center"/>
                </w:tcPr>
                <w:p>
                  <w:pPr>
                    <w:jc w:val="center"/>
                    <w:rPr>
                      <w:b/>
                      <w:caps/>
                      <w:szCs w:val="21"/>
                    </w:rPr>
                  </w:pPr>
                  <w:r>
                    <w:rPr>
                      <w:rFonts w:hAnsi="宋体"/>
                      <w:b/>
                      <w:caps/>
                      <w:szCs w:val="21"/>
                    </w:rPr>
                    <w:t>程度</w:t>
                  </w:r>
                </w:p>
              </w:tc>
              <w:tc>
                <w:tcPr>
                  <w:tcW w:w="951" w:type="dxa"/>
                  <w:tcBorders>
                    <w:top w:val="single" w:color="auto" w:sz="12" w:space="0"/>
                    <w:bottom w:val="single" w:color="auto" w:sz="12" w:space="0"/>
                  </w:tcBorders>
                  <w:vAlign w:val="center"/>
                </w:tcPr>
                <w:p>
                  <w:pPr>
                    <w:jc w:val="center"/>
                    <w:rPr>
                      <w:b/>
                      <w:caps/>
                      <w:szCs w:val="21"/>
                    </w:rPr>
                  </w:pPr>
                  <w:r>
                    <w:rPr>
                      <w:rFonts w:hAnsi="宋体"/>
                      <w:b/>
                      <w:caps/>
                      <w:szCs w:val="21"/>
                    </w:rPr>
                    <w:t>时间</w:t>
                  </w:r>
                </w:p>
              </w:tc>
              <w:tc>
                <w:tcPr>
                  <w:tcW w:w="951" w:type="dxa"/>
                  <w:tcBorders>
                    <w:top w:val="single" w:color="auto" w:sz="12" w:space="0"/>
                    <w:bottom w:val="single" w:color="auto" w:sz="12" w:space="0"/>
                  </w:tcBorders>
                  <w:vAlign w:val="center"/>
                </w:tcPr>
                <w:p>
                  <w:pPr>
                    <w:jc w:val="center"/>
                    <w:rPr>
                      <w:b/>
                      <w:caps/>
                      <w:szCs w:val="21"/>
                    </w:rPr>
                  </w:pPr>
                  <w:r>
                    <w:rPr>
                      <w:rFonts w:hAnsi="宋体"/>
                      <w:b/>
                      <w:caps/>
                      <w:szCs w:val="21"/>
                    </w:rPr>
                    <w:t>可能性</w:t>
                  </w:r>
                </w:p>
              </w:tc>
              <w:tc>
                <w:tcPr>
                  <w:tcW w:w="951" w:type="dxa"/>
                  <w:tcBorders>
                    <w:top w:val="single" w:color="auto" w:sz="12" w:space="0"/>
                    <w:bottom w:val="single" w:color="auto" w:sz="12" w:space="0"/>
                  </w:tcBorders>
                  <w:vAlign w:val="center"/>
                </w:tcPr>
                <w:p>
                  <w:pPr>
                    <w:jc w:val="center"/>
                    <w:rPr>
                      <w:b/>
                      <w:caps/>
                      <w:szCs w:val="21"/>
                    </w:rPr>
                  </w:pPr>
                  <w:r>
                    <w:rPr>
                      <w:rFonts w:hAnsi="宋体"/>
                      <w:b/>
                      <w:caps/>
                      <w:szCs w:val="21"/>
                    </w:rPr>
                    <w:t>范围</w:t>
                  </w:r>
                </w:p>
              </w:tc>
              <w:tc>
                <w:tcPr>
                  <w:tcW w:w="944" w:type="dxa"/>
                  <w:tcBorders>
                    <w:top w:val="single" w:color="auto" w:sz="12" w:space="0"/>
                    <w:bottom w:val="single" w:color="auto" w:sz="12" w:space="0"/>
                    <w:right w:val="nil"/>
                  </w:tcBorders>
                  <w:vAlign w:val="center"/>
                </w:tcPr>
                <w:p>
                  <w:pPr>
                    <w:jc w:val="center"/>
                    <w:rPr>
                      <w:b/>
                      <w:caps/>
                      <w:szCs w:val="21"/>
                    </w:rPr>
                  </w:pPr>
                  <w:r>
                    <w:rPr>
                      <w:rFonts w:hAnsi="宋体"/>
                      <w:b/>
                      <w:caps/>
                      <w:szCs w:val="21"/>
                    </w:rPr>
                    <w:t>可逆性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 w:hRule="atLeast"/>
              </w:trPr>
              <w:tc>
                <w:tcPr>
                  <w:tcW w:w="569" w:type="dxa"/>
                  <w:vMerge w:val="restart"/>
                  <w:tcBorders>
                    <w:top w:val="single" w:color="auto" w:sz="12" w:space="0"/>
                    <w:left w:val="nil"/>
                  </w:tcBorders>
                  <w:vAlign w:val="center"/>
                </w:tcPr>
                <w:p>
                  <w:pPr>
                    <w:jc w:val="center"/>
                    <w:rPr>
                      <w:szCs w:val="21"/>
                    </w:rPr>
                  </w:pPr>
                  <w:r>
                    <w:rPr>
                      <w:rFonts w:hAnsi="宋体"/>
                      <w:szCs w:val="21"/>
                    </w:rPr>
                    <w:t>施工期</w:t>
                  </w:r>
                </w:p>
              </w:tc>
              <w:tc>
                <w:tcPr>
                  <w:tcW w:w="1067" w:type="dxa"/>
                  <w:vMerge w:val="restart"/>
                  <w:tcBorders>
                    <w:top w:val="single" w:color="auto" w:sz="12" w:space="0"/>
                  </w:tcBorders>
                  <w:vAlign w:val="center"/>
                </w:tcPr>
                <w:p>
                  <w:pPr>
                    <w:jc w:val="center"/>
                    <w:rPr>
                      <w:szCs w:val="21"/>
                    </w:rPr>
                  </w:pPr>
                  <w:r>
                    <w:rPr>
                      <w:rFonts w:hAnsi="宋体"/>
                      <w:szCs w:val="21"/>
                    </w:rPr>
                    <w:t>基础施工</w:t>
                  </w:r>
                </w:p>
              </w:tc>
              <w:tc>
                <w:tcPr>
                  <w:tcW w:w="1566" w:type="dxa"/>
                  <w:tcBorders>
                    <w:top w:val="single" w:color="auto" w:sz="12" w:space="0"/>
                  </w:tcBorders>
                  <w:vAlign w:val="center"/>
                </w:tcPr>
                <w:p>
                  <w:pPr>
                    <w:jc w:val="center"/>
                    <w:rPr>
                      <w:szCs w:val="21"/>
                    </w:rPr>
                  </w:pPr>
                  <w:r>
                    <w:rPr>
                      <w:rFonts w:hAnsi="宋体"/>
                      <w:szCs w:val="21"/>
                    </w:rPr>
                    <w:t>地表水</w:t>
                  </w:r>
                </w:p>
              </w:tc>
              <w:tc>
                <w:tcPr>
                  <w:tcW w:w="951" w:type="dxa"/>
                  <w:tcBorders>
                    <w:top w:val="single" w:color="auto" w:sz="12" w:space="0"/>
                  </w:tcBorders>
                  <w:vAlign w:val="center"/>
                </w:tcPr>
                <w:p>
                  <w:pPr>
                    <w:jc w:val="center"/>
                    <w:rPr>
                      <w:szCs w:val="21"/>
                    </w:rPr>
                  </w:pPr>
                  <w:r>
                    <w:rPr>
                      <w:szCs w:val="21"/>
                    </w:rPr>
                    <w:t>-</w:t>
                  </w:r>
                </w:p>
              </w:tc>
              <w:tc>
                <w:tcPr>
                  <w:tcW w:w="951" w:type="dxa"/>
                  <w:tcBorders>
                    <w:top w:val="single" w:color="auto" w:sz="12" w:space="0"/>
                  </w:tcBorders>
                  <w:vAlign w:val="center"/>
                </w:tcPr>
                <w:p>
                  <w:pPr>
                    <w:jc w:val="center"/>
                    <w:rPr>
                      <w:szCs w:val="21"/>
                    </w:rPr>
                  </w:pPr>
                  <w:r>
                    <w:rPr>
                      <w:rFonts w:hAnsi="宋体"/>
                      <w:szCs w:val="21"/>
                    </w:rPr>
                    <w:t>较小</w:t>
                  </w:r>
                </w:p>
              </w:tc>
              <w:tc>
                <w:tcPr>
                  <w:tcW w:w="951" w:type="dxa"/>
                  <w:tcBorders>
                    <w:top w:val="single" w:color="auto" w:sz="12" w:space="0"/>
                  </w:tcBorders>
                  <w:vAlign w:val="center"/>
                </w:tcPr>
                <w:p>
                  <w:pPr>
                    <w:jc w:val="center"/>
                    <w:rPr>
                      <w:szCs w:val="21"/>
                    </w:rPr>
                  </w:pPr>
                  <w:r>
                    <w:rPr>
                      <w:rFonts w:hAnsi="宋体"/>
                      <w:szCs w:val="21"/>
                    </w:rPr>
                    <w:t>短期</w:t>
                  </w:r>
                </w:p>
              </w:tc>
              <w:tc>
                <w:tcPr>
                  <w:tcW w:w="951" w:type="dxa"/>
                  <w:tcBorders>
                    <w:top w:val="single" w:color="auto" w:sz="12" w:space="0"/>
                  </w:tcBorders>
                  <w:vAlign w:val="center"/>
                </w:tcPr>
                <w:p>
                  <w:pPr>
                    <w:jc w:val="center"/>
                    <w:rPr>
                      <w:szCs w:val="21"/>
                    </w:rPr>
                  </w:pPr>
                  <w:r>
                    <w:rPr>
                      <w:rFonts w:hAnsi="宋体"/>
                      <w:szCs w:val="21"/>
                    </w:rPr>
                    <w:t>较小</w:t>
                  </w:r>
                </w:p>
              </w:tc>
              <w:tc>
                <w:tcPr>
                  <w:tcW w:w="951" w:type="dxa"/>
                  <w:tcBorders>
                    <w:top w:val="single" w:color="auto" w:sz="12" w:space="0"/>
                  </w:tcBorders>
                  <w:vAlign w:val="center"/>
                </w:tcPr>
                <w:p>
                  <w:pPr>
                    <w:jc w:val="center"/>
                    <w:rPr>
                      <w:szCs w:val="21"/>
                    </w:rPr>
                  </w:pPr>
                  <w:r>
                    <w:rPr>
                      <w:rFonts w:hAnsi="宋体"/>
                      <w:szCs w:val="21"/>
                    </w:rPr>
                    <w:t>局部</w:t>
                  </w:r>
                </w:p>
              </w:tc>
              <w:tc>
                <w:tcPr>
                  <w:tcW w:w="944" w:type="dxa"/>
                  <w:tcBorders>
                    <w:top w:val="single" w:color="auto" w:sz="12" w:space="0"/>
                    <w:right w:val="nil"/>
                  </w:tcBorders>
                  <w:vAlign w:val="center"/>
                </w:tcPr>
                <w:p>
                  <w:pPr>
                    <w:jc w:val="center"/>
                    <w:rPr>
                      <w:szCs w:val="21"/>
                    </w:rPr>
                  </w:pPr>
                  <w:r>
                    <w:rPr>
                      <w:rFonts w:hAnsi="宋体"/>
                      <w:szCs w:val="21"/>
                    </w:rPr>
                    <w:t>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569" w:type="dxa"/>
                  <w:vMerge w:val="continue"/>
                  <w:tcBorders>
                    <w:left w:val="nil"/>
                  </w:tcBorders>
                  <w:vAlign w:val="center"/>
                </w:tcPr>
                <w:p>
                  <w:pPr>
                    <w:jc w:val="center"/>
                    <w:rPr>
                      <w:szCs w:val="21"/>
                    </w:rPr>
                  </w:pPr>
                </w:p>
              </w:tc>
              <w:tc>
                <w:tcPr>
                  <w:tcW w:w="1067" w:type="dxa"/>
                  <w:vMerge w:val="continue"/>
                  <w:vAlign w:val="center"/>
                </w:tcPr>
                <w:p>
                  <w:pPr>
                    <w:jc w:val="center"/>
                    <w:rPr>
                      <w:szCs w:val="21"/>
                    </w:rPr>
                  </w:pPr>
                </w:p>
              </w:tc>
              <w:tc>
                <w:tcPr>
                  <w:tcW w:w="1566" w:type="dxa"/>
                  <w:vAlign w:val="center"/>
                </w:tcPr>
                <w:p>
                  <w:pPr>
                    <w:jc w:val="center"/>
                    <w:rPr>
                      <w:szCs w:val="21"/>
                    </w:rPr>
                  </w:pPr>
                  <w:r>
                    <w:rPr>
                      <w:rFonts w:hAnsi="宋体"/>
                      <w:szCs w:val="21"/>
                    </w:rPr>
                    <w:t>环境空气</w:t>
                  </w:r>
                </w:p>
              </w:tc>
              <w:tc>
                <w:tcPr>
                  <w:tcW w:w="951" w:type="dxa"/>
                  <w:vAlign w:val="center"/>
                </w:tcPr>
                <w:p>
                  <w:pPr>
                    <w:jc w:val="center"/>
                    <w:rPr>
                      <w:szCs w:val="21"/>
                    </w:rPr>
                  </w:pPr>
                  <w:r>
                    <w:rPr>
                      <w:szCs w:val="21"/>
                    </w:rPr>
                    <w:t>-</w:t>
                  </w:r>
                </w:p>
              </w:tc>
              <w:tc>
                <w:tcPr>
                  <w:tcW w:w="951" w:type="dxa"/>
                  <w:vAlign w:val="center"/>
                </w:tcPr>
                <w:p>
                  <w:pPr>
                    <w:jc w:val="center"/>
                    <w:rPr>
                      <w:szCs w:val="21"/>
                    </w:rPr>
                  </w:pPr>
                  <w:r>
                    <w:rPr>
                      <w:rFonts w:hAnsi="宋体"/>
                      <w:szCs w:val="21"/>
                    </w:rPr>
                    <w:t>较大</w:t>
                  </w:r>
                </w:p>
              </w:tc>
              <w:tc>
                <w:tcPr>
                  <w:tcW w:w="951" w:type="dxa"/>
                  <w:vAlign w:val="center"/>
                </w:tcPr>
                <w:p>
                  <w:pPr>
                    <w:jc w:val="center"/>
                    <w:rPr>
                      <w:szCs w:val="21"/>
                    </w:rPr>
                  </w:pPr>
                  <w:r>
                    <w:rPr>
                      <w:rFonts w:hAnsi="宋体"/>
                      <w:szCs w:val="21"/>
                    </w:rPr>
                    <w:t>短期</w:t>
                  </w:r>
                </w:p>
              </w:tc>
              <w:tc>
                <w:tcPr>
                  <w:tcW w:w="951" w:type="dxa"/>
                  <w:vAlign w:val="center"/>
                </w:tcPr>
                <w:p>
                  <w:pPr>
                    <w:jc w:val="center"/>
                    <w:rPr>
                      <w:szCs w:val="21"/>
                    </w:rPr>
                  </w:pPr>
                  <w:r>
                    <w:rPr>
                      <w:rFonts w:hAnsi="宋体"/>
                      <w:szCs w:val="21"/>
                    </w:rPr>
                    <w:t>较大</w:t>
                  </w:r>
                </w:p>
              </w:tc>
              <w:tc>
                <w:tcPr>
                  <w:tcW w:w="951" w:type="dxa"/>
                  <w:vAlign w:val="center"/>
                </w:tcPr>
                <w:p>
                  <w:pPr>
                    <w:jc w:val="center"/>
                    <w:rPr>
                      <w:szCs w:val="21"/>
                    </w:rPr>
                  </w:pPr>
                  <w:r>
                    <w:rPr>
                      <w:rFonts w:hAnsi="宋体"/>
                      <w:szCs w:val="21"/>
                    </w:rPr>
                    <w:t>局部</w:t>
                  </w:r>
                </w:p>
              </w:tc>
              <w:tc>
                <w:tcPr>
                  <w:tcW w:w="944" w:type="dxa"/>
                  <w:tcBorders>
                    <w:right w:val="nil"/>
                  </w:tcBorders>
                  <w:vAlign w:val="center"/>
                </w:tcPr>
                <w:p>
                  <w:pPr>
                    <w:jc w:val="center"/>
                    <w:rPr>
                      <w:szCs w:val="21"/>
                    </w:rPr>
                  </w:pPr>
                  <w:r>
                    <w:rPr>
                      <w:rFonts w:hAnsi="宋体"/>
                      <w:szCs w:val="21"/>
                    </w:rPr>
                    <w:t>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569" w:type="dxa"/>
                  <w:vMerge w:val="continue"/>
                  <w:tcBorders>
                    <w:left w:val="nil"/>
                  </w:tcBorders>
                  <w:vAlign w:val="center"/>
                </w:tcPr>
                <w:p>
                  <w:pPr>
                    <w:jc w:val="center"/>
                    <w:rPr>
                      <w:szCs w:val="21"/>
                    </w:rPr>
                  </w:pPr>
                </w:p>
              </w:tc>
              <w:tc>
                <w:tcPr>
                  <w:tcW w:w="1067" w:type="dxa"/>
                  <w:vMerge w:val="continue"/>
                  <w:vAlign w:val="center"/>
                </w:tcPr>
                <w:p>
                  <w:pPr>
                    <w:jc w:val="center"/>
                    <w:rPr>
                      <w:szCs w:val="21"/>
                    </w:rPr>
                  </w:pPr>
                </w:p>
              </w:tc>
              <w:tc>
                <w:tcPr>
                  <w:tcW w:w="1566" w:type="dxa"/>
                  <w:vAlign w:val="center"/>
                </w:tcPr>
                <w:p>
                  <w:pPr>
                    <w:jc w:val="center"/>
                    <w:rPr>
                      <w:szCs w:val="21"/>
                    </w:rPr>
                  </w:pPr>
                  <w:r>
                    <w:rPr>
                      <w:rFonts w:hAnsi="宋体"/>
                      <w:szCs w:val="21"/>
                    </w:rPr>
                    <w:t>声环境</w:t>
                  </w:r>
                </w:p>
              </w:tc>
              <w:tc>
                <w:tcPr>
                  <w:tcW w:w="951" w:type="dxa"/>
                  <w:vAlign w:val="center"/>
                </w:tcPr>
                <w:p>
                  <w:pPr>
                    <w:jc w:val="center"/>
                    <w:rPr>
                      <w:szCs w:val="21"/>
                    </w:rPr>
                  </w:pPr>
                  <w:r>
                    <w:rPr>
                      <w:szCs w:val="21"/>
                    </w:rPr>
                    <w:t>-</w:t>
                  </w:r>
                </w:p>
              </w:tc>
              <w:tc>
                <w:tcPr>
                  <w:tcW w:w="951" w:type="dxa"/>
                  <w:vAlign w:val="center"/>
                </w:tcPr>
                <w:p>
                  <w:pPr>
                    <w:jc w:val="center"/>
                    <w:rPr>
                      <w:szCs w:val="21"/>
                    </w:rPr>
                  </w:pPr>
                  <w:r>
                    <w:rPr>
                      <w:rFonts w:hAnsi="宋体"/>
                      <w:szCs w:val="21"/>
                    </w:rPr>
                    <w:t>较大</w:t>
                  </w:r>
                </w:p>
              </w:tc>
              <w:tc>
                <w:tcPr>
                  <w:tcW w:w="951" w:type="dxa"/>
                  <w:vAlign w:val="center"/>
                </w:tcPr>
                <w:p>
                  <w:pPr>
                    <w:jc w:val="center"/>
                    <w:rPr>
                      <w:szCs w:val="21"/>
                    </w:rPr>
                  </w:pPr>
                  <w:r>
                    <w:rPr>
                      <w:rFonts w:hAnsi="宋体"/>
                      <w:szCs w:val="21"/>
                    </w:rPr>
                    <w:t>短期</w:t>
                  </w:r>
                </w:p>
              </w:tc>
              <w:tc>
                <w:tcPr>
                  <w:tcW w:w="951" w:type="dxa"/>
                  <w:vAlign w:val="center"/>
                </w:tcPr>
                <w:p>
                  <w:pPr>
                    <w:jc w:val="center"/>
                    <w:rPr>
                      <w:szCs w:val="21"/>
                    </w:rPr>
                  </w:pPr>
                  <w:r>
                    <w:rPr>
                      <w:rFonts w:hAnsi="宋体"/>
                      <w:szCs w:val="21"/>
                    </w:rPr>
                    <w:t>较大</w:t>
                  </w:r>
                </w:p>
              </w:tc>
              <w:tc>
                <w:tcPr>
                  <w:tcW w:w="951" w:type="dxa"/>
                  <w:vAlign w:val="center"/>
                </w:tcPr>
                <w:p>
                  <w:pPr>
                    <w:jc w:val="center"/>
                    <w:rPr>
                      <w:szCs w:val="21"/>
                    </w:rPr>
                  </w:pPr>
                  <w:r>
                    <w:rPr>
                      <w:rFonts w:hAnsi="宋体"/>
                      <w:szCs w:val="21"/>
                    </w:rPr>
                    <w:t>局部</w:t>
                  </w:r>
                </w:p>
              </w:tc>
              <w:tc>
                <w:tcPr>
                  <w:tcW w:w="944" w:type="dxa"/>
                  <w:tcBorders>
                    <w:right w:val="nil"/>
                  </w:tcBorders>
                  <w:vAlign w:val="center"/>
                </w:tcPr>
                <w:p>
                  <w:pPr>
                    <w:jc w:val="center"/>
                    <w:rPr>
                      <w:szCs w:val="21"/>
                    </w:rPr>
                  </w:pPr>
                  <w:r>
                    <w:rPr>
                      <w:rFonts w:hAnsi="宋体"/>
                      <w:szCs w:val="21"/>
                    </w:rPr>
                    <w:t>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569" w:type="dxa"/>
                  <w:vMerge w:val="continue"/>
                  <w:tcBorders>
                    <w:left w:val="nil"/>
                  </w:tcBorders>
                  <w:vAlign w:val="center"/>
                </w:tcPr>
                <w:p>
                  <w:pPr>
                    <w:jc w:val="center"/>
                    <w:rPr>
                      <w:szCs w:val="21"/>
                    </w:rPr>
                  </w:pPr>
                </w:p>
              </w:tc>
              <w:tc>
                <w:tcPr>
                  <w:tcW w:w="1067" w:type="dxa"/>
                  <w:vMerge w:val="continue"/>
                  <w:vAlign w:val="center"/>
                </w:tcPr>
                <w:p>
                  <w:pPr>
                    <w:jc w:val="center"/>
                    <w:rPr>
                      <w:szCs w:val="21"/>
                    </w:rPr>
                  </w:pPr>
                </w:p>
              </w:tc>
              <w:tc>
                <w:tcPr>
                  <w:tcW w:w="1566" w:type="dxa"/>
                  <w:vAlign w:val="center"/>
                </w:tcPr>
                <w:p>
                  <w:pPr>
                    <w:jc w:val="center"/>
                    <w:rPr>
                      <w:szCs w:val="21"/>
                    </w:rPr>
                  </w:pPr>
                  <w:r>
                    <w:rPr>
                      <w:rFonts w:hAnsi="宋体"/>
                      <w:szCs w:val="21"/>
                    </w:rPr>
                    <w:t>固体废物</w:t>
                  </w:r>
                </w:p>
              </w:tc>
              <w:tc>
                <w:tcPr>
                  <w:tcW w:w="951" w:type="dxa"/>
                  <w:vAlign w:val="center"/>
                </w:tcPr>
                <w:p>
                  <w:pPr>
                    <w:jc w:val="center"/>
                    <w:rPr>
                      <w:szCs w:val="21"/>
                    </w:rPr>
                  </w:pPr>
                  <w:r>
                    <w:rPr>
                      <w:szCs w:val="21"/>
                    </w:rPr>
                    <w:t>-</w:t>
                  </w:r>
                </w:p>
              </w:tc>
              <w:tc>
                <w:tcPr>
                  <w:tcW w:w="951" w:type="dxa"/>
                  <w:vAlign w:val="center"/>
                </w:tcPr>
                <w:p>
                  <w:pPr>
                    <w:jc w:val="center"/>
                    <w:rPr>
                      <w:szCs w:val="21"/>
                    </w:rPr>
                  </w:pPr>
                  <w:r>
                    <w:rPr>
                      <w:rFonts w:hAnsi="宋体"/>
                      <w:szCs w:val="21"/>
                    </w:rPr>
                    <w:t>一般</w:t>
                  </w:r>
                </w:p>
              </w:tc>
              <w:tc>
                <w:tcPr>
                  <w:tcW w:w="951" w:type="dxa"/>
                  <w:vAlign w:val="center"/>
                </w:tcPr>
                <w:p>
                  <w:pPr>
                    <w:jc w:val="center"/>
                    <w:rPr>
                      <w:szCs w:val="21"/>
                    </w:rPr>
                  </w:pPr>
                  <w:r>
                    <w:rPr>
                      <w:rFonts w:hAnsi="宋体"/>
                      <w:szCs w:val="21"/>
                    </w:rPr>
                    <w:t>短期</w:t>
                  </w:r>
                </w:p>
              </w:tc>
              <w:tc>
                <w:tcPr>
                  <w:tcW w:w="951" w:type="dxa"/>
                  <w:vAlign w:val="center"/>
                </w:tcPr>
                <w:p>
                  <w:pPr>
                    <w:jc w:val="center"/>
                    <w:rPr>
                      <w:szCs w:val="21"/>
                    </w:rPr>
                  </w:pPr>
                  <w:r>
                    <w:rPr>
                      <w:rFonts w:hAnsi="宋体"/>
                      <w:szCs w:val="21"/>
                    </w:rPr>
                    <w:t>较大</w:t>
                  </w:r>
                </w:p>
              </w:tc>
              <w:tc>
                <w:tcPr>
                  <w:tcW w:w="951" w:type="dxa"/>
                  <w:vAlign w:val="center"/>
                </w:tcPr>
                <w:p>
                  <w:pPr>
                    <w:jc w:val="center"/>
                    <w:rPr>
                      <w:szCs w:val="21"/>
                    </w:rPr>
                  </w:pPr>
                  <w:r>
                    <w:rPr>
                      <w:rFonts w:hAnsi="宋体"/>
                      <w:szCs w:val="21"/>
                    </w:rPr>
                    <w:t>局部</w:t>
                  </w:r>
                </w:p>
              </w:tc>
              <w:tc>
                <w:tcPr>
                  <w:tcW w:w="944" w:type="dxa"/>
                  <w:tcBorders>
                    <w:right w:val="nil"/>
                  </w:tcBorders>
                  <w:vAlign w:val="center"/>
                </w:tcPr>
                <w:p>
                  <w:pPr>
                    <w:jc w:val="center"/>
                    <w:rPr>
                      <w:szCs w:val="21"/>
                    </w:rPr>
                  </w:pPr>
                  <w:r>
                    <w:rPr>
                      <w:rFonts w:hAnsi="宋体"/>
                      <w:szCs w:val="21"/>
                    </w:rPr>
                    <w:t>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569" w:type="dxa"/>
                  <w:vMerge w:val="continue"/>
                  <w:tcBorders>
                    <w:left w:val="nil"/>
                  </w:tcBorders>
                  <w:vAlign w:val="center"/>
                </w:tcPr>
                <w:p>
                  <w:pPr>
                    <w:jc w:val="center"/>
                    <w:rPr>
                      <w:szCs w:val="21"/>
                    </w:rPr>
                  </w:pPr>
                </w:p>
              </w:tc>
              <w:tc>
                <w:tcPr>
                  <w:tcW w:w="1067" w:type="dxa"/>
                  <w:vMerge w:val="restart"/>
                  <w:vAlign w:val="center"/>
                </w:tcPr>
                <w:p>
                  <w:pPr>
                    <w:jc w:val="center"/>
                    <w:rPr>
                      <w:szCs w:val="21"/>
                    </w:rPr>
                  </w:pPr>
                  <w:r>
                    <w:rPr>
                      <w:rFonts w:hAnsi="宋体"/>
                      <w:szCs w:val="21"/>
                    </w:rPr>
                    <w:t>结构施工</w:t>
                  </w:r>
                </w:p>
              </w:tc>
              <w:tc>
                <w:tcPr>
                  <w:tcW w:w="1566" w:type="dxa"/>
                  <w:vAlign w:val="center"/>
                </w:tcPr>
                <w:p>
                  <w:pPr>
                    <w:jc w:val="center"/>
                    <w:rPr>
                      <w:szCs w:val="21"/>
                    </w:rPr>
                  </w:pPr>
                  <w:r>
                    <w:rPr>
                      <w:rFonts w:hAnsi="宋体"/>
                      <w:szCs w:val="21"/>
                    </w:rPr>
                    <w:t>地表水</w:t>
                  </w:r>
                </w:p>
              </w:tc>
              <w:tc>
                <w:tcPr>
                  <w:tcW w:w="951" w:type="dxa"/>
                  <w:vAlign w:val="center"/>
                </w:tcPr>
                <w:p>
                  <w:pPr>
                    <w:jc w:val="center"/>
                    <w:rPr>
                      <w:szCs w:val="21"/>
                    </w:rPr>
                  </w:pPr>
                  <w:r>
                    <w:rPr>
                      <w:szCs w:val="21"/>
                    </w:rPr>
                    <w:t>-</w:t>
                  </w:r>
                </w:p>
              </w:tc>
              <w:tc>
                <w:tcPr>
                  <w:tcW w:w="951" w:type="dxa"/>
                  <w:vAlign w:val="center"/>
                </w:tcPr>
                <w:p>
                  <w:pPr>
                    <w:jc w:val="center"/>
                    <w:rPr>
                      <w:szCs w:val="21"/>
                    </w:rPr>
                  </w:pPr>
                  <w:r>
                    <w:rPr>
                      <w:rFonts w:hAnsi="宋体"/>
                      <w:szCs w:val="21"/>
                    </w:rPr>
                    <w:t>较小</w:t>
                  </w:r>
                </w:p>
              </w:tc>
              <w:tc>
                <w:tcPr>
                  <w:tcW w:w="951" w:type="dxa"/>
                  <w:vAlign w:val="center"/>
                </w:tcPr>
                <w:p>
                  <w:pPr>
                    <w:jc w:val="center"/>
                    <w:rPr>
                      <w:szCs w:val="21"/>
                    </w:rPr>
                  </w:pPr>
                  <w:r>
                    <w:rPr>
                      <w:rFonts w:hAnsi="宋体"/>
                      <w:szCs w:val="21"/>
                    </w:rPr>
                    <w:t>短期</w:t>
                  </w:r>
                </w:p>
              </w:tc>
              <w:tc>
                <w:tcPr>
                  <w:tcW w:w="951" w:type="dxa"/>
                  <w:vAlign w:val="center"/>
                </w:tcPr>
                <w:p>
                  <w:pPr>
                    <w:jc w:val="center"/>
                    <w:rPr>
                      <w:szCs w:val="21"/>
                    </w:rPr>
                  </w:pPr>
                  <w:r>
                    <w:rPr>
                      <w:rFonts w:hAnsi="宋体"/>
                      <w:szCs w:val="21"/>
                    </w:rPr>
                    <w:t>较大</w:t>
                  </w:r>
                </w:p>
              </w:tc>
              <w:tc>
                <w:tcPr>
                  <w:tcW w:w="951" w:type="dxa"/>
                  <w:vAlign w:val="center"/>
                </w:tcPr>
                <w:p>
                  <w:pPr>
                    <w:jc w:val="center"/>
                    <w:rPr>
                      <w:szCs w:val="21"/>
                    </w:rPr>
                  </w:pPr>
                  <w:r>
                    <w:rPr>
                      <w:rFonts w:hAnsi="宋体"/>
                      <w:szCs w:val="21"/>
                    </w:rPr>
                    <w:t>局部</w:t>
                  </w:r>
                </w:p>
              </w:tc>
              <w:tc>
                <w:tcPr>
                  <w:tcW w:w="944" w:type="dxa"/>
                  <w:tcBorders>
                    <w:right w:val="nil"/>
                  </w:tcBorders>
                  <w:vAlign w:val="center"/>
                </w:tcPr>
                <w:p>
                  <w:pPr>
                    <w:jc w:val="center"/>
                    <w:rPr>
                      <w:szCs w:val="21"/>
                    </w:rPr>
                  </w:pPr>
                  <w:r>
                    <w:rPr>
                      <w:rFonts w:hAnsi="宋体"/>
                      <w:szCs w:val="21"/>
                    </w:rPr>
                    <w:t>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569" w:type="dxa"/>
                  <w:vMerge w:val="continue"/>
                  <w:tcBorders>
                    <w:left w:val="nil"/>
                  </w:tcBorders>
                  <w:vAlign w:val="center"/>
                </w:tcPr>
                <w:p>
                  <w:pPr>
                    <w:jc w:val="center"/>
                    <w:rPr>
                      <w:szCs w:val="21"/>
                    </w:rPr>
                  </w:pPr>
                </w:p>
              </w:tc>
              <w:tc>
                <w:tcPr>
                  <w:tcW w:w="1067" w:type="dxa"/>
                  <w:vMerge w:val="continue"/>
                  <w:vAlign w:val="center"/>
                </w:tcPr>
                <w:p>
                  <w:pPr>
                    <w:jc w:val="center"/>
                    <w:rPr>
                      <w:szCs w:val="21"/>
                    </w:rPr>
                  </w:pPr>
                </w:p>
              </w:tc>
              <w:tc>
                <w:tcPr>
                  <w:tcW w:w="1566" w:type="dxa"/>
                  <w:vAlign w:val="center"/>
                </w:tcPr>
                <w:p>
                  <w:pPr>
                    <w:jc w:val="center"/>
                    <w:rPr>
                      <w:szCs w:val="21"/>
                    </w:rPr>
                  </w:pPr>
                  <w:r>
                    <w:rPr>
                      <w:rFonts w:hAnsi="宋体"/>
                      <w:szCs w:val="21"/>
                    </w:rPr>
                    <w:t>环境空气</w:t>
                  </w:r>
                </w:p>
              </w:tc>
              <w:tc>
                <w:tcPr>
                  <w:tcW w:w="951" w:type="dxa"/>
                  <w:vAlign w:val="center"/>
                </w:tcPr>
                <w:p>
                  <w:pPr>
                    <w:jc w:val="center"/>
                    <w:rPr>
                      <w:szCs w:val="21"/>
                    </w:rPr>
                  </w:pPr>
                  <w:r>
                    <w:rPr>
                      <w:szCs w:val="21"/>
                    </w:rPr>
                    <w:t>-</w:t>
                  </w:r>
                </w:p>
              </w:tc>
              <w:tc>
                <w:tcPr>
                  <w:tcW w:w="951" w:type="dxa"/>
                  <w:vAlign w:val="center"/>
                </w:tcPr>
                <w:p>
                  <w:pPr>
                    <w:jc w:val="center"/>
                    <w:rPr>
                      <w:szCs w:val="21"/>
                    </w:rPr>
                  </w:pPr>
                  <w:r>
                    <w:rPr>
                      <w:rFonts w:hAnsi="宋体"/>
                      <w:szCs w:val="21"/>
                    </w:rPr>
                    <w:t>较小</w:t>
                  </w:r>
                </w:p>
              </w:tc>
              <w:tc>
                <w:tcPr>
                  <w:tcW w:w="951" w:type="dxa"/>
                  <w:vAlign w:val="center"/>
                </w:tcPr>
                <w:p>
                  <w:pPr>
                    <w:jc w:val="center"/>
                    <w:rPr>
                      <w:szCs w:val="21"/>
                    </w:rPr>
                  </w:pPr>
                  <w:r>
                    <w:rPr>
                      <w:rFonts w:hAnsi="宋体"/>
                      <w:szCs w:val="21"/>
                    </w:rPr>
                    <w:t>短期</w:t>
                  </w:r>
                </w:p>
              </w:tc>
              <w:tc>
                <w:tcPr>
                  <w:tcW w:w="951" w:type="dxa"/>
                  <w:vAlign w:val="center"/>
                </w:tcPr>
                <w:p>
                  <w:pPr>
                    <w:jc w:val="center"/>
                    <w:rPr>
                      <w:szCs w:val="21"/>
                    </w:rPr>
                  </w:pPr>
                  <w:r>
                    <w:rPr>
                      <w:rFonts w:hAnsi="宋体"/>
                      <w:szCs w:val="21"/>
                    </w:rPr>
                    <w:t>较大</w:t>
                  </w:r>
                </w:p>
              </w:tc>
              <w:tc>
                <w:tcPr>
                  <w:tcW w:w="951" w:type="dxa"/>
                  <w:vAlign w:val="center"/>
                </w:tcPr>
                <w:p>
                  <w:pPr>
                    <w:jc w:val="center"/>
                    <w:rPr>
                      <w:szCs w:val="21"/>
                    </w:rPr>
                  </w:pPr>
                  <w:r>
                    <w:rPr>
                      <w:rFonts w:hAnsi="宋体"/>
                      <w:szCs w:val="21"/>
                    </w:rPr>
                    <w:t>局部</w:t>
                  </w:r>
                </w:p>
              </w:tc>
              <w:tc>
                <w:tcPr>
                  <w:tcW w:w="944" w:type="dxa"/>
                  <w:tcBorders>
                    <w:right w:val="nil"/>
                  </w:tcBorders>
                  <w:vAlign w:val="center"/>
                </w:tcPr>
                <w:p>
                  <w:pPr>
                    <w:jc w:val="center"/>
                    <w:rPr>
                      <w:szCs w:val="21"/>
                    </w:rPr>
                  </w:pPr>
                  <w:r>
                    <w:rPr>
                      <w:rFonts w:hAnsi="宋体"/>
                      <w:szCs w:val="21"/>
                    </w:rPr>
                    <w:t>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569" w:type="dxa"/>
                  <w:vMerge w:val="continue"/>
                  <w:tcBorders>
                    <w:left w:val="nil"/>
                  </w:tcBorders>
                  <w:vAlign w:val="center"/>
                </w:tcPr>
                <w:p>
                  <w:pPr>
                    <w:jc w:val="center"/>
                    <w:rPr>
                      <w:szCs w:val="21"/>
                    </w:rPr>
                  </w:pPr>
                </w:p>
              </w:tc>
              <w:tc>
                <w:tcPr>
                  <w:tcW w:w="1067" w:type="dxa"/>
                  <w:vMerge w:val="continue"/>
                  <w:vAlign w:val="center"/>
                </w:tcPr>
                <w:p>
                  <w:pPr>
                    <w:jc w:val="center"/>
                    <w:rPr>
                      <w:szCs w:val="21"/>
                    </w:rPr>
                  </w:pPr>
                </w:p>
              </w:tc>
              <w:tc>
                <w:tcPr>
                  <w:tcW w:w="1566" w:type="dxa"/>
                  <w:vAlign w:val="center"/>
                </w:tcPr>
                <w:p>
                  <w:pPr>
                    <w:jc w:val="center"/>
                    <w:rPr>
                      <w:szCs w:val="21"/>
                    </w:rPr>
                  </w:pPr>
                  <w:r>
                    <w:rPr>
                      <w:rFonts w:hAnsi="宋体"/>
                      <w:szCs w:val="21"/>
                    </w:rPr>
                    <w:t>声环境</w:t>
                  </w:r>
                </w:p>
              </w:tc>
              <w:tc>
                <w:tcPr>
                  <w:tcW w:w="951" w:type="dxa"/>
                  <w:vAlign w:val="center"/>
                </w:tcPr>
                <w:p>
                  <w:pPr>
                    <w:jc w:val="center"/>
                    <w:rPr>
                      <w:szCs w:val="21"/>
                    </w:rPr>
                  </w:pPr>
                  <w:r>
                    <w:rPr>
                      <w:szCs w:val="21"/>
                    </w:rPr>
                    <w:t>-</w:t>
                  </w:r>
                </w:p>
              </w:tc>
              <w:tc>
                <w:tcPr>
                  <w:tcW w:w="951" w:type="dxa"/>
                  <w:vAlign w:val="center"/>
                </w:tcPr>
                <w:p>
                  <w:pPr>
                    <w:jc w:val="center"/>
                    <w:rPr>
                      <w:szCs w:val="21"/>
                    </w:rPr>
                  </w:pPr>
                  <w:r>
                    <w:rPr>
                      <w:rFonts w:hAnsi="宋体"/>
                      <w:szCs w:val="21"/>
                    </w:rPr>
                    <w:t>一般</w:t>
                  </w:r>
                </w:p>
              </w:tc>
              <w:tc>
                <w:tcPr>
                  <w:tcW w:w="951" w:type="dxa"/>
                  <w:vAlign w:val="center"/>
                </w:tcPr>
                <w:p>
                  <w:pPr>
                    <w:jc w:val="center"/>
                    <w:rPr>
                      <w:szCs w:val="21"/>
                    </w:rPr>
                  </w:pPr>
                  <w:r>
                    <w:rPr>
                      <w:rFonts w:hAnsi="宋体"/>
                      <w:szCs w:val="21"/>
                    </w:rPr>
                    <w:t>短期</w:t>
                  </w:r>
                </w:p>
              </w:tc>
              <w:tc>
                <w:tcPr>
                  <w:tcW w:w="951" w:type="dxa"/>
                  <w:vAlign w:val="center"/>
                </w:tcPr>
                <w:p>
                  <w:pPr>
                    <w:jc w:val="center"/>
                    <w:rPr>
                      <w:szCs w:val="21"/>
                    </w:rPr>
                  </w:pPr>
                  <w:r>
                    <w:rPr>
                      <w:rFonts w:hAnsi="宋体"/>
                      <w:szCs w:val="21"/>
                    </w:rPr>
                    <w:t>较大</w:t>
                  </w:r>
                </w:p>
              </w:tc>
              <w:tc>
                <w:tcPr>
                  <w:tcW w:w="951" w:type="dxa"/>
                  <w:vAlign w:val="center"/>
                </w:tcPr>
                <w:p>
                  <w:pPr>
                    <w:jc w:val="center"/>
                    <w:rPr>
                      <w:szCs w:val="21"/>
                    </w:rPr>
                  </w:pPr>
                  <w:r>
                    <w:rPr>
                      <w:rFonts w:hAnsi="宋体"/>
                      <w:szCs w:val="21"/>
                    </w:rPr>
                    <w:t>局部</w:t>
                  </w:r>
                </w:p>
              </w:tc>
              <w:tc>
                <w:tcPr>
                  <w:tcW w:w="944" w:type="dxa"/>
                  <w:tcBorders>
                    <w:right w:val="nil"/>
                  </w:tcBorders>
                  <w:vAlign w:val="center"/>
                </w:tcPr>
                <w:p>
                  <w:pPr>
                    <w:jc w:val="center"/>
                    <w:rPr>
                      <w:szCs w:val="21"/>
                    </w:rPr>
                  </w:pPr>
                  <w:r>
                    <w:rPr>
                      <w:rFonts w:hAnsi="宋体"/>
                      <w:szCs w:val="21"/>
                    </w:rPr>
                    <w:t>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569" w:type="dxa"/>
                  <w:vMerge w:val="continue"/>
                  <w:tcBorders>
                    <w:left w:val="nil"/>
                  </w:tcBorders>
                  <w:vAlign w:val="center"/>
                </w:tcPr>
                <w:p>
                  <w:pPr>
                    <w:jc w:val="center"/>
                    <w:rPr>
                      <w:szCs w:val="21"/>
                    </w:rPr>
                  </w:pPr>
                </w:p>
              </w:tc>
              <w:tc>
                <w:tcPr>
                  <w:tcW w:w="1067" w:type="dxa"/>
                  <w:vMerge w:val="continue"/>
                  <w:vAlign w:val="center"/>
                </w:tcPr>
                <w:p>
                  <w:pPr>
                    <w:jc w:val="center"/>
                    <w:rPr>
                      <w:szCs w:val="21"/>
                    </w:rPr>
                  </w:pPr>
                </w:p>
              </w:tc>
              <w:tc>
                <w:tcPr>
                  <w:tcW w:w="1566" w:type="dxa"/>
                  <w:vAlign w:val="center"/>
                </w:tcPr>
                <w:p>
                  <w:pPr>
                    <w:jc w:val="center"/>
                    <w:rPr>
                      <w:szCs w:val="21"/>
                    </w:rPr>
                  </w:pPr>
                  <w:r>
                    <w:rPr>
                      <w:rFonts w:hAnsi="宋体"/>
                      <w:szCs w:val="21"/>
                    </w:rPr>
                    <w:t>固体废物</w:t>
                  </w:r>
                </w:p>
              </w:tc>
              <w:tc>
                <w:tcPr>
                  <w:tcW w:w="951" w:type="dxa"/>
                  <w:vAlign w:val="center"/>
                </w:tcPr>
                <w:p>
                  <w:pPr>
                    <w:jc w:val="center"/>
                    <w:rPr>
                      <w:szCs w:val="21"/>
                    </w:rPr>
                  </w:pPr>
                  <w:r>
                    <w:rPr>
                      <w:szCs w:val="21"/>
                    </w:rPr>
                    <w:t>-</w:t>
                  </w:r>
                </w:p>
              </w:tc>
              <w:tc>
                <w:tcPr>
                  <w:tcW w:w="951" w:type="dxa"/>
                  <w:vAlign w:val="center"/>
                </w:tcPr>
                <w:p>
                  <w:pPr>
                    <w:jc w:val="center"/>
                    <w:rPr>
                      <w:szCs w:val="21"/>
                    </w:rPr>
                  </w:pPr>
                  <w:r>
                    <w:rPr>
                      <w:rFonts w:hAnsi="宋体"/>
                      <w:szCs w:val="21"/>
                    </w:rPr>
                    <w:t>一般</w:t>
                  </w:r>
                </w:p>
              </w:tc>
              <w:tc>
                <w:tcPr>
                  <w:tcW w:w="951" w:type="dxa"/>
                  <w:vAlign w:val="center"/>
                </w:tcPr>
                <w:p>
                  <w:pPr>
                    <w:jc w:val="center"/>
                    <w:rPr>
                      <w:szCs w:val="21"/>
                    </w:rPr>
                  </w:pPr>
                  <w:r>
                    <w:rPr>
                      <w:rFonts w:hAnsi="宋体"/>
                      <w:szCs w:val="21"/>
                    </w:rPr>
                    <w:t>短期</w:t>
                  </w:r>
                </w:p>
              </w:tc>
              <w:tc>
                <w:tcPr>
                  <w:tcW w:w="951" w:type="dxa"/>
                  <w:vAlign w:val="center"/>
                </w:tcPr>
                <w:p>
                  <w:pPr>
                    <w:jc w:val="center"/>
                    <w:rPr>
                      <w:szCs w:val="21"/>
                    </w:rPr>
                  </w:pPr>
                  <w:r>
                    <w:rPr>
                      <w:rFonts w:hAnsi="宋体"/>
                      <w:szCs w:val="21"/>
                    </w:rPr>
                    <w:t>较大</w:t>
                  </w:r>
                </w:p>
              </w:tc>
              <w:tc>
                <w:tcPr>
                  <w:tcW w:w="951" w:type="dxa"/>
                  <w:vAlign w:val="center"/>
                </w:tcPr>
                <w:p>
                  <w:pPr>
                    <w:jc w:val="center"/>
                    <w:rPr>
                      <w:szCs w:val="21"/>
                    </w:rPr>
                  </w:pPr>
                  <w:r>
                    <w:rPr>
                      <w:rFonts w:hAnsi="宋体"/>
                      <w:szCs w:val="21"/>
                    </w:rPr>
                    <w:t>局部</w:t>
                  </w:r>
                </w:p>
              </w:tc>
              <w:tc>
                <w:tcPr>
                  <w:tcW w:w="944" w:type="dxa"/>
                  <w:tcBorders>
                    <w:right w:val="nil"/>
                  </w:tcBorders>
                  <w:vAlign w:val="center"/>
                </w:tcPr>
                <w:p>
                  <w:pPr>
                    <w:jc w:val="center"/>
                    <w:rPr>
                      <w:szCs w:val="21"/>
                    </w:rPr>
                  </w:pPr>
                  <w:r>
                    <w:rPr>
                      <w:rFonts w:hAnsi="宋体"/>
                      <w:szCs w:val="21"/>
                    </w:rPr>
                    <w:t>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569" w:type="dxa"/>
                  <w:vMerge w:val="continue"/>
                  <w:tcBorders>
                    <w:left w:val="nil"/>
                  </w:tcBorders>
                  <w:vAlign w:val="center"/>
                </w:tcPr>
                <w:p>
                  <w:pPr>
                    <w:jc w:val="center"/>
                    <w:rPr>
                      <w:szCs w:val="21"/>
                    </w:rPr>
                  </w:pPr>
                </w:p>
              </w:tc>
              <w:tc>
                <w:tcPr>
                  <w:tcW w:w="1067" w:type="dxa"/>
                  <w:vMerge w:val="restart"/>
                  <w:vAlign w:val="center"/>
                </w:tcPr>
                <w:p>
                  <w:pPr>
                    <w:jc w:val="center"/>
                    <w:rPr>
                      <w:szCs w:val="21"/>
                    </w:rPr>
                  </w:pPr>
                  <w:r>
                    <w:rPr>
                      <w:rFonts w:hAnsi="宋体"/>
                      <w:szCs w:val="21"/>
                    </w:rPr>
                    <w:t>设备安装</w:t>
                  </w:r>
                </w:p>
              </w:tc>
              <w:tc>
                <w:tcPr>
                  <w:tcW w:w="1566" w:type="dxa"/>
                  <w:vAlign w:val="center"/>
                </w:tcPr>
                <w:p>
                  <w:pPr>
                    <w:jc w:val="center"/>
                    <w:rPr>
                      <w:szCs w:val="21"/>
                    </w:rPr>
                  </w:pPr>
                  <w:r>
                    <w:rPr>
                      <w:rFonts w:hAnsi="宋体"/>
                      <w:szCs w:val="21"/>
                    </w:rPr>
                    <w:t>地表水</w:t>
                  </w:r>
                </w:p>
              </w:tc>
              <w:tc>
                <w:tcPr>
                  <w:tcW w:w="951" w:type="dxa"/>
                  <w:vAlign w:val="center"/>
                </w:tcPr>
                <w:p>
                  <w:pPr>
                    <w:jc w:val="center"/>
                    <w:rPr>
                      <w:szCs w:val="21"/>
                    </w:rPr>
                  </w:pPr>
                  <w:r>
                    <w:rPr>
                      <w:szCs w:val="21"/>
                    </w:rPr>
                    <w:t>-</w:t>
                  </w:r>
                </w:p>
              </w:tc>
              <w:tc>
                <w:tcPr>
                  <w:tcW w:w="951" w:type="dxa"/>
                  <w:vAlign w:val="center"/>
                </w:tcPr>
                <w:p>
                  <w:pPr>
                    <w:jc w:val="center"/>
                    <w:rPr>
                      <w:szCs w:val="21"/>
                    </w:rPr>
                  </w:pPr>
                  <w:r>
                    <w:rPr>
                      <w:rFonts w:hAnsi="宋体"/>
                      <w:szCs w:val="21"/>
                    </w:rPr>
                    <w:t>较小</w:t>
                  </w:r>
                </w:p>
              </w:tc>
              <w:tc>
                <w:tcPr>
                  <w:tcW w:w="951" w:type="dxa"/>
                  <w:vAlign w:val="center"/>
                </w:tcPr>
                <w:p>
                  <w:pPr>
                    <w:jc w:val="center"/>
                    <w:rPr>
                      <w:szCs w:val="21"/>
                    </w:rPr>
                  </w:pPr>
                  <w:r>
                    <w:rPr>
                      <w:rFonts w:hAnsi="宋体"/>
                      <w:szCs w:val="21"/>
                    </w:rPr>
                    <w:t>短期</w:t>
                  </w:r>
                </w:p>
              </w:tc>
              <w:tc>
                <w:tcPr>
                  <w:tcW w:w="951" w:type="dxa"/>
                  <w:vAlign w:val="center"/>
                </w:tcPr>
                <w:p>
                  <w:pPr>
                    <w:jc w:val="center"/>
                    <w:rPr>
                      <w:szCs w:val="21"/>
                    </w:rPr>
                  </w:pPr>
                  <w:r>
                    <w:rPr>
                      <w:rFonts w:hAnsi="宋体"/>
                      <w:szCs w:val="21"/>
                    </w:rPr>
                    <w:t>较大</w:t>
                  </w:r>
                </w:p>
              </w:tc>
              <w:tc>
                <w:tcPr>
                  <w:tcW w:w="951" w:type="dxa"/>
                  <w:vAlign w:val="center"/>
                </w:tcPr>
                <w:p>
                  <w:pPr>
                    <w:jc w:val="center"/>
                    <w:rPr>
                      <w:szCs w:val="21"/>
                    </w:rPr>
                  </w:pPr>
                  <w:r>
                    <w:rPr>
                      <w:rFonts w:hAnsi="宋体"/>
                      <w:szCs w:val="21"/>
                    </w:rPr>
                    <w:t>局部</w:t>
                  </w:r>
                </w:p>
              </w:tc>
              <w:tc>
                <w:tcPr>
                  <w:tcW w:w="944" w:type="dxa"/>
                  <w:tcBorders>
                    <w:right w:val="nil"/>
                  </w:tcBorders>
                  <w:vAlign w:val="center"/>
                </w:tcPr>
                <w:p>
                  <w:pPr>
                    <w:jc w:val="center"/>
                    <w:rPr>
                      <w:szCs w:val="21"/>
                    </w:rPr>
                  </w:pPr>
                  <w:r>
                    <w:rPr>
                      <w:rFonts w:hAnsi="宋体"/>
                      <w:szCs w:val="21"/>
                    </w:rPr>
                    <w:t>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569" w:type="dxa"/>
                  <w:vMerge w:val="continue"/>
                  <w:tcBorders>
                    <w:left w:val="nil"/>
                  </w:tcBorders>
                  <w:vAlign w:val="center"/>
                </w:tcPr>
                <w:p>
                  <w:pPr>
                    <w:jc w:val="center"/>
                    <w:rPr>
                      <w:szCs w:val="21"/>
                    </w:rPr>
                  </w:pPr>
                </w:p>
              </w:tc>
              <w:tc>
                <w:tcPr>
                  <w:tcW w:w="1067" w:type="dxa"/>
                  <w:vMerge w:val="continue"/>
                  <w:vAlign w:val="center"/>
                </w:tcPr>
                <w:p>
                  <w:pPr>
                    <w:jc w:val="center"/>
                    <w:rPr>
                      <w:szCs w:val="21"/>
                    </w:rPr>
                  </w:pPr>
                </w:p>
              </w:tc>
              <w:tc>
                <w:tcPr>
                  <w:tcW w:w="1566" w:type="dxa"/>
                  <w:vAlign w:val="center"/>
                </w:tcPr>
                <w:p>
                  <w:pPr>
                    <w:jc w:val="center"/>
                    <w:rPr>
                      <w:szCs w:val="21"/>
                    </w:rPr>
                  </w:pPr>
                  <w:r>
                    <w:rPr>
                      <w:rFonts w:hAnsi="宋体"/>
                      <w:szCs w:val="21"/>
                    </w:rPr>
                    <w:t>环境空气</w:t>
                  </w:r>
                </w:p>
              </w:tc>
              <w:tc>
                <w:tcPr>
                  <w:tcW w:w="951" w:type="dxa"/>
                  <w:vAlign w:val="center"/>
                </w:tcPr>
                <w:p>
                  <w:pPr>
                    <w:jc w:val="center"/>
                    <w:rPr>
                      <w:szCs w:val="21"/>
                    </w:rPr>
                  </w:pPr>
                  <w:r>
                    <w:rPr>
                      <w:szCs w:val="21"/>
                    </w:rPr>
                    <w:t>-</w:t>
                  </w:r>
                </w:p>
              </w:tc>
              <w:tc>
                <w:tcPr>
                  <w:tcW w:w="951" w:type="dxa"/>
                  <w:vAlign w:val="center"/>
                </w:tcPr>
                <w:p>
                  <w:pPr>
                    <w:jc w:val="center"/>
                    <w:rPr>
                      <w:szCs w:val="21"/>
                    </w:rPr>
                  </w:pPr>
                  <w:r>
                    <w:rPr>
                      <w:rFonts w:hAnsi="宋体"/>
                      <w:szCs w:val="21"/>
                    </w:rPr>
                    <w:t>较小</w:t>
                  </w:r>
                </w:p>
              </w:tc>
              <w:tc>
                <w:tcPr>
                  <w:tcW w:w="951" w:type="dxa"/>
                  <w:vAlign w:val="center"/>
                </w:tcPr>
                <w:p>
                  <w:pPr>
                    <w:jc w:val="center"/>
                    <w:rPr>
                      <w:szCs w:val="21"/>
                    </w:rPr>
                  </w:pPr>
                  <w:r>
                    <w:rPr>
                      <w:rFonts w:hAnsi="宋体"/>
                      <w:szCs w:val="21"/>
                    </w:rPr>
                    <w:t>短期</w:t>
                  </w:r>
                </w:p>
              </w:tc>
              <w:tc>
                <w:tcPr>
                  <w:tcW w:w="951" w:type="dxa"/>
                  <w:vAlign w:val="center"/>
                </w:tcPr>
                <w:p>
                  <w:pPr>
                    <w:jc w:val="center"/>
                    <w:rPr>
                      <w:szCs w:val="21"/>
                    </w:rPr>
                  </w:pPr>
                  <w:r>
                    <w:rPr>
                      <w:rFonts w:hAnsi="宋体"/>
                      <w:szCs w:val="21"/>
                    </w:rPr>
                    <w:t>较大</w:t>
                  </w:r>
                </w:p>
              </w:tc>
              <w:tc>
                <w:tcPr>
                  <w:tcW w:w="951" w:type="dxa"/>
                  <w:vAlign w:val="center"/>
                </w:tcPr>
                <w:p>
                  <w:pPr>
                    <w:jc w:val="center"/>
                    <w:rPr>
                      <w:szCs w:val="21"/>
                    </w:rPr>
                  </w:pPr>
                  <w:r>
                    <w:rPr>
                      <w:rFonts w:hAnsi="宋体"/>
                      <w:szCs w:val="21"/>
                    </w:rPr>
                    <w:t>局部</w:t>
                  </w:r>
                </w:p>
              </w:tc>
              <w:tc>
                <w:tcPr>
                  <w:tcW w:w="944" w:type="dxa"/>
                  <w:tcBorders>
                    <w:right w:val="nil"/>
                  </w:tcBorders>
                  <w:vAlign w:val="center"/>
                </w:tcPr>
                <w:p>
                  <w:pPr>
                    <w:jc w:val="center"/>
                    <w:rPr>
                      <w:szCs w:val="21"/>
                    </w:rPr>
                  </w:pPr>
                  <w:r>
                    <w:rPr>
                      <w:rFonts w:hAnsi="宋体"/>
                      <w:szCs w:val="21"/>
                    </w:rPr>
                    <w:t>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569" w:type="dxa"/>
                  <w:vMerge w:val="continue"/>
                  <w:tcBorders>
                    <w:left w:val="nil"/>
                  </w:tcBorders>
                  <w:vAlign w:val="center"/>
                </w:tcPr>
                <w:p>
                  <w:pPr>
                    <w:jc w:val="center"/>
                    <w:rPr>
                      <w:szCs w:val="21"/>
                    </w:rPr>
                  </w:pPr>
                </w:p>
              </w:tc>
              <w:tc>
                <w:tcPr>
                  <w:tcW w:w="1067" w:type="dxa"/>
                  <w:vMerge w:val="continue"/>
                  <w:vAlign w:val="center"/>
                </w:tcPr>
                <w:p>
                  <w:pPr>
                    <w:jc w:val="center"/>
                    <w:rPr>
                      <w:szCs w:val="21"/>
                    </w:rPr>
                  </w:pPr>
                </w:p>
              </w:tc>
              <w:tc>
                <w:tcPr>
                  <w:tcW w:w="1566" w:type="dxa"/>
                  <w:vAlign w:val="center"/>
                </w:tcPr>
                <w:p>
                  <w:pPr>
                    <w:jc w:val="center"/>
                    <w:rPr>
                      <w:szCs w:val="21"/>
                    </w:rPr>
                  </w:pPr>
                  <w:r>
                    <w:rPr>
                      <w:rFonts w:hAnsi="宋体"/>
                      <w:szCs w:val="21"/>
                    </w:rPr>
                    <w:t>声环境</w:t>
                  </w:r>
                </w:p>
              </w:tc>
              <w:tc>
                <w:tcPr>
                  <w:tcW w:w="951" w:type="dxa"/>
                  <w:vAlign w:val="center"/>
                </w:tcPr>
                <w:p>
                  <w:pPr>
                    <w:jc w:val="center"/>
                    <w:rPr>
                      <w:szCs w:val="21"/>
                    </w:rPr>
                  </w:pPr>
                  <w:r>
                    <w:rPr>
                      <w:szCs w:val="21"/>
                    </w:rPr>
                    <w:t>-</w:t>
                  </w:r>
                </w:p>
              </w:tc>
              <w:tc>
                <w:tcPr>
                  <w:tcW w:w="951" w:type="dxa"/>
                  <w:vAlign w:val="center"/>
                </w:tcPr>
                <w:p>
                  <w:pPr>
                    <w:jc w:val="center"/>
                    <w:rPr>
                      <w:szCs w:val="21"/>
                    </w:rPr>
                  </w:pPr>
                  <w:r>
                    <w:rPr>
                      <w:rFonts w:hAnsi="宋体"/>
                      <w:szCs w:val="21"/>
                    </w:rPr>
                    <w:t>较大</w:t>
                  </w:r>
                </w:p>
              </w:tc>
              <w:tc>
                <w:tcPr>
                  <w:tcW w:w="951" w:type="dxa"/>
                  <w:vAlign w:val="center"/>
                </w:tcPr>
                <w:p>
                  <w:pPr>
                    <w:jc w:val="center"/>
                    <w:rPr>
                      <w:szCs w:val="21"/>
                    </w:rPr>
                  </w:pPr>
                  <w:r>
                    <w:rPr>
                      <w:rFonts w:hAnsi="宋体"/>
                      <w:szCs w:val="21"/>
                    </w:rPr>
                    <w:t>短期</w:t>
                  </w:r>
                </w:p>
              </w:tc>
              <w:tc>
                <w:tcPr>
                  <w:tcW w:w="951" w:type="dxa"/>
                  <w:vAlign w:val="center"/>
                </w:tcPr>
                <w:p>
                  <w:pPr>
                    <w:jc w:val="center"/>
                    <w:rPr>
                      <w:szCs w:val="21"/>
                    </w:rPr>
                  </w:pPr>
                  <w:r>
                    <w:rPr>
                      <w:rFonts w:hAnsi="宋体"/>
                      <w:szCs w:val="21"/>
                    </w:rPr>
                    <w:t>较大</w:t>
                  </w:r>
                </w:p>
              </w:tc>
              <w:tc>
                <w:tcPr>
                  <w:tcW w:w="951" w:type="dxa"/>
                  <w:vAlign w:val="center"/>
                </w:tcPr>
                <w:p>
                  <w:pPr>
                    <w:jc w:val="center"/>
                    <w:rPr>
                      <w:szCs w:val="21"/>
                    </w:rPr>
                  </w:pPr>
                  <w:r>
                    <w:rPr>
                      <w:rFonts w:hAnsi="宋体"/>
                      <w:szCs w:val="21"/>
                    </w:rPr>
                    <w:t>局部</w:t>
                  </w:r>
                </w:p>
              </w:tc>
              <w:tc>
                <w:tcPr>
                  <w:tcW w:w="944" w:type="dxa"/>
                  <w:tcBorders>
                    <w:right w:val="nil"/>
                  </w:tcBorders>
                  <w:vAlign w:val="center"/>
                </w:tcPr>
                <w:p>
                  <w:pPr>
                    <w:jc w:val="center"/>
                    <w:rPr>
                      <w:szCs w:val="21"/>
                    </w:rPr>
                  </w:pPr>
                  <w:r>
                    <w:rPr>
                      <w:rFonts w:hAnsi="宋体"/>
                      <w:szCs w:val="21"/>
                    </w:rPr>
                    <w:t>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569" w:type="dxa"/>
                  <w:vMerge w:val="continue"/>
                  <w:tcBorders>
                    <w:left w:val="nil"/>
                  </w:tcBorders>
                  <w:vAlign w:val="center"/>
                </w:tcPr>
                <w:p>
                  <w:pPr>
                    <w:jc w:val="center"/>
                    <w:rPr>
                      <w:szCs w:val="21"/>
                    </w:rPr>
                  </w:pPr>
                </w:p>
              </w:tc>
              <w:tc>
                <w:tcPr>
                  <w:tcW w:w="1067" w:type="dxa"/>
                  <w:vMerge w:val="continue"/>
                  <w:vAlign w:val="center"/>
                </w:tcPr>
                <w:p>
                  <w:pPr>
                    <w:jc w:val="center"/>
                    <w:rPr>
                      <w:szCs w:val="21"/>
                    </w:rPr>
                  </w:pPr>
                </w:p>
              </w:tc>
              <w:tc>
                <w:tcPr>
                  <w:tcW w:w="1566" w:type="dxa"/>
                  <w:vAlign w:val="center"/>
                </w:tcPr>
                <w:p>
                  <w:pPr>
                    <w:jc w:val="center"/>
                    <w:rPr>
                      <w:szCs w:val="21"/>
                    </w:rPr>
                  </w:pPr>
                  <w:r>
                    <w:rPr>
                      <w:rFonts w:hAnsi="宋体"/>
                      <w:szCs w:val="21"/>
                    </w:rPr>
                    <w:t>固体废物</w:t>
                  </w:r>
                </w:p>
              </w:tc>
              <w:tc>
                <w:tcPr>
                  <w:tcW w:w="951" w:type="dxa"/>
                  <w:vAlign w:val="center"/>
                </w:tcPr>
                <w:p>
                  <w:pPr>
                    <w:jc w:val="center"/>
                    <w:rPr>
                      <w:szCs w:val="21"/>
                    </w:rPr>
                  </w:pPr>
                  <w:r>
                    <w:rPr>
                      <w:szCs w:val="21"/>
                    </w:rPr>
                    <w:t>-</w:t>
                  </w:r>
                </w:p>
              </w:tc>
              <w:tc>
                <w:tcPr>
                  <w:tcW w:w="951" w:type="dxa"/>
                  <w:vAlign w:val="center"/>
                </w:tcPr>
                <w:p>
                  <w:pPr>
                    <w:jc w:val="center"/>
                    <w:rPr>
                      <w:szCs w:val="21"/>
                    </w:rPr>
                  </w:pPr>
                  <w:r>
                    <w:rPr>
                      <w:rFonts w:hAnsi="宋体"/>
                      <w:szCs w:val="21"/>
                    </w:rPr>
                    <w:t>较小</w:t>
                  </w:r>
                </w:p>
              </w:tc>
              <w:tc>
                <w:tcPr>
                  <w:tcW w:w="951" w:type="dxa"/>
                  <w:vAlign w:val="center"/>
                </w:tcPr>
                <w:p>
                  <w:pPr>
                    <w:jc w:val="center"/>
                    <w:rPr>
                      <w:szCs w:val="21"/>
                    </w:rPr>
                  </w:pPr>
                  <w:r>
                    <w:rPr>
                      <w:rFonts w:hAnsi="宋体"/>
                      <w:szCs w:val="21"/>
                    </w:rPr>
                    <w:t>短期</w:t>
                  </w:r>
                </w:p>
              </w:tc>
              <w:tc>
                <w:tcPr>
                  <w:tcW w:w="951" w:type="dxa"/>
                  <w:vAlign w:val="center"/>
                </w:tcPr>
                <w:p>
                  <w:pPr>
                    <w:jc w:val="center"/>
                    <w:rPr>
                      <w:szCs w:val="21"/>
                    </w:rPr>
                  </w:pPr>
                  <w:r>
                    <w:rPr>
                      <w:rFonts w:hAnsi="宋体"/>
                      <w:szCs w:val="21"/>
                    </w:rPr>
                    <w:t>较大</w:t>
                  </w:r>
                </w:p>
              </w:tc>
              <w:tc>
                <w:tcPr>
                  <w:tcW w:w="951" w:type="dxa"/>
                  <w:vAlign w:val="center"/>
                </w:tcPr>
                <w:p>
                  <w:pPr>
                    <w:jc w:val="center"/>
                    <w:rPr>
                      <w:szCs w:val="21"/>
                    </w:rPr>
                  </w:pPr>
                  <w:r>
                    <w:rPr>
                      <w:rFonts w:hAnsi="宋体"/>
                      <w:szCs w:val="21"/>
                    </w:rPr>
                    <w:t>局部</w:t>
                  </w:r>
                </w:p>
              </w:tc>
              <w:tc>
                <w:tcPr>
                  <w:tcW w:w="944" w:type="dxa"/>
                  <w:tcBorders>
                    <w:right w:val="nil"/>
                  </w:tcBorders>
                  <w:vAlign w:val="center"/>
                </w:tcPr>
                <w:p>
                  <w:pPr>
                    <w:jc w:val="center"/>
                    <w:rPr>
                      <w:szCs w:val="21"/>
                    </w:rPr>
                  </w:pPr>
                  <w:r>
                    <w:rPr>
                      <w:rFonts w:hAnsi="宋体"/>
                      <w:szCs w:val="21"/>
                    </w:rPr>
                    <w:t>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569" w:type="dxa"/>
                  <w:vMerge w:val="continue"/>
                  <w:tcBorders>
                    <w:left w:val="nil"/>
                    <w:bottom w:val="single" w:color="auto" w:sz="12" w:space="0"/>
                  </w:tcBorders>
                  <w:vAlign w:val="center"/>
                </w:tcPr>
                <w:p>
                  <w:pPr>
                    <w:jc w:val="center"/>
                    <w:rPr>
                      <w:szCs w:val="21"/>
                    </w:rPr>
                  </w:pPr>
                </w:p>
              </w:tc>
              <w:tc>
                <w:tcPr>
                  <w:tcW w:w="2633" w:type="dxa"/>
                  <w:gridSpan w:val="2"/>
                  <w:tcBorders>
                    <w:bottom w:val="single" w:color="auto" w:sz="12" w:space="0"/>
                  </w:tcBorders>
                  <w:vAlign w:val="center"/>
                </w:tcPr>
                <w:p>
                  <w:pPr>
                    <w:jc w:val="center"/>
                    <w:rPr>
                      <w:szCs w:val="21"/>
                    </w:rPr>
                  </w:pPr>
                  <w:r>
                    <w:rPr>
                      <w:rFonts w:hAnsi="宋体"/>
                      <w:szCs w:val="21"/>
                    </w:rPr>
                    <w:t>社会经济</w:t>
                  </w:r>
                </w:p>
              </w:tc>
              <w:tc>
                <w:tcPr>
                  <w:tcW w:w="951" w:type="dxa"/>
                  <w:tcBorders>
                    <w:bottom w:val="single" w:color="auto" w:sz="12" w:space="0"/>
                  </w:tcBorders>
                  <w:vAlign w:val="center"/>
                </w:tcPr>
                <w:p>
                  <w:pPr>
                    <w:jc w:val="center"/>
                    <w:rPr>
                      <w:szCs w:val="21"/>
                    </w:rPr>
                  </w:pPr>
                  <w:r>
                    <w:rPr>
                      <w:szCs w:val="21"/>
                    </w:rPr>
                    <w:t>+</w:t>
                  </w:r>
                </w:p>
              </w:tc>
              <w:tc>
                <w:tcPr>
                  <w:tcW w:w="951" w:type="dxa"/>
                  <w:tcBorders>
                    <w:bottom w:val="single" w:color="auto" w:sz="12" w:space="0"/>
                  </w:tcBorders>
                  <w:vAlign w:val="center"/>
                </w:tcPr>
                <w:p>
                  <w:pPr>
                    <w:jc w:val="center"/>
                    <w:rPr>
                      <w:szCs w:val="21"/>
                    </w:rPr>
                  </w:pPr>
                  <w:r>
                    <w:rPr>
                      <w:rFonts w:hAnsi="宋体"/>
                      <w:szCs w:val="21"/>
                    </w:rPr>
                    <w:t>较小</w:t>
                  </w:r>
                </w:p>
              </w:tc>
              <w:tc>
                <w:tcPr>
                  <w:tcW w:w="951" w:type="dxa"/>
                  <w:tcBorders>
                    <w:bottom w:val="single" w:color="auto" w:sz="12" w:space="0"/>
                  </w:tcBorders>
                  <w:vAlign w:val="center"/>
                </w:tcPr>
                <w:p>
                  <w:pPr>
                    <w:jc w:val="center"/>
                    <w:rPr>
                      <w:szCs w:val="21"/>
                    </w:rPr>
                  </w:pPr>
                  <w:r>
                    <w:rPr>
                      <w:rFonts w:hAnsi="宋体"/>
                      <w:szCs w:val="21"/>
                    </w:rPr>
                    <w:t>短期</w:t>
                  </w:r>
                </w:p>
              </w:tc>
              <w:tc>
                <w:tcPr>
                  <w:tcW w:w="951" w:type="dxa"/>
                  <w:tcBorders>
                    <w:bottom w:val="single" w:color="auto" w:sz="12" w:space="0"/>
                  </w:tcBorders>
                  <w:vAlign w:val="center"/>
                </w:tcPr>
                <w:p>
                  <w:pPr>
                    <w:jc w:val="center"/>
                    <w:rPr>
                      <w:szCs w:val="21"/>
                    </w:rPr>
                  </w:pPr>
                  <w:r>
                    <w:rPr>
                      <w:rFonts w:hAnsi="宋体"/>
                      <w:szCs w:val="21"/>
                    </w:rPr>
                    <w:t>较大</w:t>
                  </w:r>
                </w:p>
              </w:tc>
              <w:tc>
                <w:tcPr>
                  <w:tcW w:w="951" w:type="dxa"/>
                  <w:tcBorders>
                    <w:bottom w:val="single" w:color="auto" w:sz="12" w:space="0"/>
                  </w:tcBorders>
                  <w:vAlign w:val="center"/>
                </w:tcPr>
                <w:p>
                  <w:pPr>
                    <w:jc w:val="center"/>
                    <w:rPr>
                      <w:szCs w:val="21"/>
                    </w:rPr>
                  </w:pPr>
                  <w:r>
                    <w:rPr>
                      <w:rFonts w:hAnsi="宋体"/>
                      <w:szCs w:val="21"/>
                    </w:rPr>
                    <w:t>局部</w:t>
                  </w:r>
                </w:p>
              </w:tc>
              <w:tc>
                <w:tcPr>
                  <w:tcW w:w="944" w:type="dxa"/>
                  <w:tcBorders>
                    <w:bottom w:val="single" w:color="auto" w:sz="12" w:space="0"/>
                    <w:right w:val="nil"/>
                  </w:tcBorders>
                  <w:vAlign w:val="center"/>
                </w:tcPr>
                <w:p>
                  <w:pPr>
                    <w:jc w:val="center"/>
                    <w:rPr>
                      <w:szCs w:val="21"/>
                    </w:rPr>
                  </w:pPr>
                  <w:r>
                    <w:rPr>
                      <w:rFonts w:hAnsi="宋体"/>
                      <w:szCs w:val="21"/>
                    </w:rPr>
                    <w:t>可</w:t>
                  </w:r>
                </w:p>
              </w:tc>
            </w:tr>
          </w:tbl>
          <w:p>
            <w:pPr>
              <w:spacing w:line="360" w:lineRule="auto"/>
              <w:ind w:firstLine="420" w:firstLineChars="200"/>
              <w:jc w:val="left"/>
              <w:rPr>
                <w:szCs w:val="21"/>
              </w:rPr>
            </w:pPr>
            <w:r>
              <w:rPr>
                <w:rFonts w:hint="eastAsia"/>
                <w:szCs w:val="21"/>
              </w:rPr>
              <w:t>注：“+“为有利影响，”-“为不利影响。</w:t>
            </w:r>
          </w:p>
          <w:p>
            <w:pPr>
              <w:spacing w:line="360" w:lineRule="auto"/>
              <w:ind w:firstLine="480" w:firstLineChars="200"/>
              <w:jc w:val="left"/>
              <w:rPr>
                <w:sz w:val="24"/>
              </w:rPr>
            </w:pPr>
            <w:r>
              <w:rPr>
                <w:rFonts w:hint="eastAsia"/>
                <w:sz w:val="24"/>
              </w:rPr>
              <w:t>2</w:t>
            </w:r>
            <w:r>
              <w:rPr>
                <w:rFonts w:hAnsi="宋体"/>
                <w:sz w:val="24"/>
              </w:rPr>
              <w:t>、环境空气影响分析</w:t>
            </w:r>
          </w:p>
          <w:p>
            <w:pPr>
              <w:spacing w:line="360" w:lineRule="auto"/>
              <w:ind w:firstLine="480" w:firstLineChars="200"/>
              <w:jc w:val="left"/>
              <w:rPr>
                <w:sz w:val="24"/>
              </w:rPr>
            </w:pPr>
            <w:r>
              <w:rPr>
                <w:sz w:val="24"/>
              </w:rPr>
              <w:t>施工期对大气环境的影响主要是施工扬尘</w:t>
            </w:r>
            <w:r>
              <w:rPr>
                <w:rFonts w:hint="eastAsia"/>
                <w:sz w:val="24"/>
              </w:rPr>
              <w:t>、少量沥青烟气</w:t>
            </w:r>
            <w:r>
              <w:rPr>
                <w:sz w:val="24"/>
              </w:rPr>
              <w:t>及汽车尾气。</w:t>
            </w:r>
          </w:p>
          <w:p>
            <w:pPr>
              <w:spacing w:line="360" w:lineRule="auto"/>
              <w:ind w:firstLine="480" w:firstLineChars="200"/>
              <w:jc w:val="left"/>
              <w:rPr>
                <w:sz w:val="24"/>
              </w:rPr>
            </w:pPr>
            <w:r>
              <w:rPr>
                <w:rFonts w:hint="eastAsia"/>
                <w:sz w:val="24"/>
              </w:rPr>
              <w:t>（1）</w:t>
            </w:r>
            <w:r>
              <w:rPr>
                <w:sz w:val="24"/>
              </w:rPr>
              <w:t>施工扬尘</w:t>
            </w:r>
          </w:p>
          <w:p>
            <w:pPr>
              <w:spacing w:line="360" w:lineRule="auto"/>
              <w:ind w:firstLine="480" w:firstLineChars="200"/>
              <w:jc w:val="left"/>
              <w:rPr>
                <w:sz w:val="24"/>
              </w:rPr>
            </w:pPr>
            <w:r>
              <w:rPr>
                <w:sz w:val="24"/>
              </w:rPr>
              <w:t>1）运输扬尘</w:t>
            </w:r>
          </w:p>
          <w:p>
            <w:pPr>
              <w:spacing w:line="360" w:lineRule="auto"/>
              <w:ind w:firstLine="480" w:firstLineChars="200"/>
              <w:jc w:val="left"/>
              <w:rPr>
                <w:sz w:val="24"/>
              </w:rPr>
            </w:pPr>
            <w:r>
              <w:rPr>
                <w:sz w:val="24"/>
              </w:rPr>
              <w:t>运输扬尘与路面地面清洁程度、车辆行驶速度等因素有关，表</w:t>
            </w:r>
            <w:r>
              <w:rPr>
                <w:rFonts w:hint="eastAsia"/>
                <w:sz w:val="24"/>
              </w:rPr>
              <w:t>47</w:t>
            </w:r>
            <w:r>
              <w:rPr>
                <w:sz w:val="24"/>
              </w:rPr>
              <w:t>为1辆10 t卡车，通过一段长度为1km的路面时的扬尘量。</w:t>
            </w:r>
          </w:p>
          <w:p>
            <w:pPr>
              <w:spacing w:line="440" w:lineRule="exact"/>
              <w:ind w:firstLine="411" w:firstLineChars="196"/>
              <w:jc w:val="center"/>
              <w:rPr>
                <w:rFonts w:hAnsi="宋体"/>
                <w:b/>
                <w:szCs w:val="21"/>
              </w:rPr>
            </w:pPr>
            <w:r>
              <w:rPr>
                <w:rFonts w:ascii="宋体" w:hAnsi="宋体"/>
                <w:szCs w:val="21"/>
              </w:rPr>
              <w:tab/>
            </w:r>
            <w:r>
              <w:rPr>
                <w:rFonts w:hAnsi="宋体"/>
                <w:b/>
                <w:szCs w:val="21"/>
              </w:rPr>
              <w:t>表</w:t>
            </w:r>
            <w:r>
              <w:rPr>
                <w:rFonts w:hint="eastAsia" w:hAnsi="宋体"/>
                <w:b/>
                <w:szCs w:val="21"/>
              </w:rPr>
              <w:t>47</w:t>
            </w:r>
            <w:r>
              <w:rPr>
                <w:rFonts w:hAnsi="宋体"/>
                <w:b/>
                <w:szCs w:val="21"/>
              </w:rPr>
              <w:t xml:space="preserve">   不同车速和地面清洁程度的汽车扬尘</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8"/>
              <w:gridCol w:w="1304"/>
              <w:gridCol w:w="1303"/>
              <w:gridCol w:w="1300"/>
              <w:gridCol w:w="1300"/>
              <w:gridCol w:w="1300"/>
              <w:gridCol w:w="12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1" w:hRule="atLeast"/>
                <w:jc w:val="center"/>
              </w:trPr>
              <w:tc>
                <w:tcPr>
                  <w:tcW w:w="1128" w:type="dxa"/>
                  <w:tcBorders>
                    <w:tl2br w:val="single" w:color="auto" w:sz="12" w:space="0"/>
                  </w:tcBorders>
                  <w:vAlign w:val="center"/>
                </w:tcPr>
                <w:p>
                  <w:pPr>
                    <w:pStyle w:val="4"/>
                    <w:spacing w:line="240" w:lineRule="auto"/>
                    <w:ind w:right="210" w:firstLine="0"/>
                    <w:jc w:val="center"/>
                    <w:rPr>
                      <w:rFonts w:ascii="Times New Roman" w:hAnsi="Times New Roman" w:eastAsiaTheme="minorEastAsia"/>
                      <w:b/>
                      <w:sz w:val="21"/>
                      <w:szCs w:val="21"/>
                    </w:rPr>
                  </w:pPr>
                  <w:r>
                    <w:rPr>
                      <w:rFonts w:ascii="Times New Roman" w:hAnsi="Times New Roman" w:eastAsiaTheme="minorEastAsia"/>
                      <w:b/>
                      <w:sz w:val="21"/>
                      <w:szCs w:val="21"/>
                    </w:rPr>
                    <w:t>P</w:t>
                  </w:r>
                </w:p>
                <w:p>
                  <w:pPr>
                    <w:pStyle w:val="4"/>
                    <w:spacing w:line="240" w:lineRule="auto"/>
                    <w:ind w:firstLine="0"/>
                    <w:jc w:val="center"/>
                    <w:rPr>
                      <w:rFonts w:ascii="Times New Roman" w:hAnsi="Times New Roman" w:eastAsiaTheme="minorEastAsia"/>
                      <w:b/>
                      <w:sz w:val="21"/>
                      <w:szCs w:val="21"/>
                    </w:rPr>
                  </w:pPr>
                  <w:r>
                    <w:rPr>
                      <w:rFonts w:ascii="Times New Roman" w:hAnsiTheme="minorEastAsia" w:eastAsiaTheme="minorEastAsia"/>
                      <w:b/>
                      <w:sz w:val="21"/>
                      <w:szCs w:val="21"/>
                    </w:rPr>
                    <w:t>车速</w:t>
                  </w:r>
                </w:p>
              </w:tc>
              <w:tc>
                <w:tcPr>
                  <w:tcW w:w="1304" w:type="dxa"/>
                  <w:vAlign w:val="center"/>
                </w:tcPr>
                <w:p>
                  <w:pPr>
                    <w:pStyle w:val="4"/>
                    <w:spacing w:line="240" w:lineRule="auto"/>
                    <w:ind w:firstLine="0"/>
                    <w:jc w:val="center"/>
                    <w:rPr>
                      <w:rFonts w:ascii="Times New Roman" w:hAnsi="Times New Roman" w:eastAsiaTheme="minorEastAsia"/>
                      <w:b/>
                      <w:sz w:val="21"/>
                      <w:szCs w:val="21"/>
                    </w:rPr>
                  </w:pPr>
                  <w:r>
                    <w:rPr>
                      <w:rFonts w:ascii="Times New Roman" w:hAnsi="Times New Roman" w:eastAsiaTheme="minorEastAsia"/>
                      <w:b/>
                      <w:sz w:val="21"/>
                      <w:szCs w:val="21"/>
                    </w:rPr>
                    <w:t>0.1(kg/m</w:t>
                  </w:r>
                  <w:r>
                    <w:rPr>
                      <w:rFonts w:ascii="Times New Roman" w:hAnsi="Times New Roman" w:eastAsiaTheme="minorEastAsia"/>
                      <w:b/>
                      <w:sz w:val="21"/>
                      <w:szCs w:val="21"/>
                      <w:vertAlign w:val="superscript"/>
                    </w:rPr>
                    <w:t>2</w:t>
                  </w:r>
                  <w:r>
                    <w:rPr>
                      <w:rFonts w:ascii="Times New Roman" w:hAnsi="Times New Roman" w:eastAsiaTheme="minorEastAsia"/>
                      <w:b/>
                      <w:sz w:val="21"/>
                      <w:szCs w:val="21"/>
                    </w:rPr>
                    <w:t>)</w:t>
                  </w:r>
                </w:p>
              </w:tc>
              <w:tc>
                <w:tcPr>
                  <w:tcW w:w="1303" w:type="dxa"/>
                  <w:vAlign w:val="center"/>
                </w:tcPr>
                <w:p>
                  <w:pPr>
                    <w:pStyle w:val="4"/>
                    <w:spacing w:line="240" w:lineRule="auto"/>
                    <w:ind w:firstLine="0"/>
                    <w:jc w:val="center"/>
                    <w:rPr>
                      <w:rFonts w:ascii="Times New Roman" w:hAnsi="Times New Roman" w:eastAsiaTheme="minorEastAsia"/>
                      <w:b/>
                      <w:sz w:val="21"/>
                      <w:szCs w:val="21"/>
                    </w:rPr>
                  </w:pPr>
                  <w:r>
                    <w:rPr>
                      <w:rFonts w:ascii="Times New Roman" w:hAnsi="Times New Roman" w:eastAsiaTheme="minorEastAsia"/>
                      <w:b/>
                      <w:sz w:val="21"/>
                      <w:szCs w:val="21"/>
                    </w:rPr>
                    <w:t>0.2(kg/m</w:t>
                  </w:r>
                  <w:r>
                    <w:rPr>
                      <w:rFonts w:ascii="Times New Roman" w:hAnsi="Times New Roman" w:eastAsiaTheme="minorEastAsia"/>
                      <w:b/>
                      <w:sz w:val="21"/>
                      <w:szCs w:val="21"/>
                      <w:vertAlign w:val="superscript"/>
                    </w:rPr>
                    <w:t>2</w:t>
                  </w:r>
                  <w:r>
                    <w:rPr>
                      <w:rFonts w:ascii="Times New Roman" w:hAnsi="Times New Roman" w:eastAsiaTheme="minorEastAsia"/>
                      <w:b/>
                      <w:sz w:val="21"/>
                      <w:szCs w:val="21"/>
                    </w:rPr>
                    <w:t>)</w:t>
                  </w:r>
                </w:p>
              </w:tc>
              <w:tc>
                <w:tcPr>
                  <w:tcW w:w="1300" w:type="dxa"/>
                  <w:vAlign w:val="center"/>
                </w:tcPr>
                <w:p>
                  <w:pPr>
                    <w:pStyle w:val="4"/>
                    <w:spacing w:line="240" w:lineRule="auto"/>
                    <w:ind w:firstLine="0"/>
                    <w:jc w:val="center"/>
                    <w:rPr>
                      <w:rFonts w:ascii="Times New Roman" w:hAnsi="Times New Roman" w:eastAsiaTheme="minorEastAsia"/>
                      <w:b/>
                      <w:sz w:val="21"/>
                      <w:szCs w:val="21"/>
                    </w:rPr>
                  </w:pPr>
                  <w:r>
                    <w:rPr>
                      <w:rFonts w:ascii="Times New Roman" w:hAnsi="Times New Roman" w:eastAsiaTheme="minorEastAsia"/>
                      <w:b/>
                      <w:sz w:val="21"/>
                      <w:szCs w:val="21"/>
                    </w:rPr>
                    <w:t>0.3(kg/m</w:t>
                  </w:r>
                  <w:r>
                    <w:rPr>
                      <w:rFonts w:ascii="Times New Roman" w:hAnsi="Times New Roman" w:eastAsiaTheme="minorEastAsia"/>
                      <w:b/>
                      <w:sz w:val="21"/>
                      <w:szCs w:val="21"/>
                      <w:vertAlign w:val="superscript"/>
                    </w:rPr>
                    <w:t>2</w:t>
                  </w:r>
                  <w:r>
                    <w:rPr>
                      <w:rFonts w:ascii="Times New Roman" w:hAnsi="Times New Roman" w:eastAsiaTheme="minorEastAsia"/>
                      <w:b/>
                      <w:sz w:val="21"/>
                      <w:szCs w:val="21"/>
                    </w:rPr>
                    <w:t>)</w:t>
                  </w:r>
                </w:p>
              </w:tc>
              <w:tc>
                <w:tcPr>
                  <w:tcW w:w="1300" w:type="dxa"/>
                  <w:vAlign w:val="center"/>
                </w:tcPr>
                <w:p>
                  <w:pPr>
                    <w:pStyle w:val="4"/>
                    <w:spacing w:line="240" w:lineRule="auto"/>
                    <w:ind w:firstLine="0"/>
                    <w:jc w:val="center"/>
                    <w:rPr>
                      <w:rFonts w:ascii="Times New Roman" w:hAnsi="Times New Roman" w:eastAsiaTheme="minorEastAsia"/>
                      <w:b/>
                      <w:sz w:val="21"/>
                      <w:szCs w:val="21"/>
                    </w:rPr>
                  </w:pPr>
                  <w:r>
                    <w:rPr>
                      <w:rFonts w:ascii="Times New Roman" w:hAnsi="Times New Roman" w:eastAsiaTheme="minorEastAsia"/>
                      <w:b/>
                      <w:sz w:val="21"/>
                      <w:szCs w:val="21"/>
                    </w:rPr>
                    <w:t>0.4(kg/m</w:t>
                  </w:r>
                  <w:r>
                    <w:rPr>
                      <w:rFonts w:ascii="Times New Roman" w:hAnsi="Times New Roman" w:eastAsiaTheme="minorEastAsia"/>
                      <w:b/>
                      <w:sz w:val="21"/>
                      <w:szCs w:val="21"/>
                      <w:vertAlign w:val="superscript"/>
                    </w:rPr>
                    <w:t>2</w:t>
                  </w:r>
                  <w:r>
                    <w:rPr>
                      <w:rFonts w:ascii="Times New Roman" w:hAnsi="Times New Roman" w:eastAsiaTheme="minorEastAsia"/>
                      <w:b/>
                      <w:sz w:val="21"/>
                      <w:szCs w:val="21"/>
                    </w:rPr>
                    <w:t>)</w:t>
                  </w:r>
                </w:p>
              </w:tc>
              <w:tc>
                <w:tcPr>
                  <w:tcW w:w="1300" w:type="dxa"/>
                  <w:vAlign w:val="center"/>
                </w:tcPr>
                <w:p>
                  <w:pPr>
                    <w:pStyle w:val="4"/>
                    <w:spacing w:line="240" w:lineRule="auto"/>
                    <w:ind w:firstLine="0"/>
                    <w:jc w:val="center"/>
                    <w:rPr>
                      <w:rFonts w:ascii="Times New Roman" w:hAnsi="Times New Roman" w:eastAsiaTheme="minorEastAsia"/>
                      <w:b/>
                      <w:sz w:val="21"/>
                      <w:szCs w:val="21"/>
                    </w:rPr>
                  </w:pPr>
                  <w:r>
                    <w:rPr>
                      <w:rFonts w:ascii="Times New Roman" w:hAnsi="Times New Roman" w:eastAsiaTheme="minorEastAsia"/>
                      <w:b/>
                      <w:sz w:val="21"/>
                      <w:szCs w:val="21"/>
                    </w:rPr>
                    <w:t>0.5(kg/m</w:t>
                  </w:r>
                  <w:r>
                    <w:rPr>
                      <w:rFonts w:ascii="Times New Roman" w:hAnsi="Times New Roman" w:eastAsiaTheme="minorEastAsia"/>
                      <w:b/>
                      <w:sz w:val="21"/>
                      <w:szCs w:val="21"/>
                      <w:vertAlign w:val="superscript"/>
                    </w:rPr>
                    <w:t>2</w:t>
                  </w:r>
                  <w:r>
                    <w:rPr>
                      <w:rFonts w:ascii="Times New Roman" w:hAnsi="Times New Roman" w:eastAsiaTheme="minorEastAsia"/>
                      <w:b/>
                      <w:sz w:val="21"/>
                      <w:szCs w:val="21"/>
                    </w:rPr>
                    <w:t>)</w:t>
                  </w:r>
                </w:p>
              </w:tc>
              <w:tc>
                <w:tcPr>
                  <w:tcW w:w="1266" w:type="dxa"/>
                  <w:vAlign w:val="center"/>
                </w:tcPr>
                <w:p>
                  <w:pPr>
                    <w:pStyle w:val="4"/>
                    <w:spacing w:line="240" w:lineRule="auto"/>
                    <w:ind w:firstLine="0"/>
                    <w:jc w:val="center"/>
                    <w:rPr>
                      <w:rFonts w:ascii="Times New Roman" w:hAnsi="Times New Roman" w:eastAsiaTheme="minorEastAsia"/>
                      <w:b/>
                      <w:sz w:val="21"/>
                      <w:szCs w:val="21"/>
                    </w:rPr>
                  </w:pPr>
                  <w:r>
                    <w:rPr>
                      <w:rFonts w:ascii="Times New Roman" w:hAnsi="Times New Roman" w:eastAsiaTheme="minorEastAsia"/>
                      <w:b/>
                      <w:sz w:val="21"/>
                      <w:szCs w:val="21"/>
                    </w:rPr>
                    <w:t>1(kg/m</w:t>
                  </w:r>
                  <w:r>
                    <w:rPr>
                      <w:rFonts w:ascii="Times New Roman" w:hAnsi="Times New Roman" w:eastAsiaTheme="minorEastAsia"/>
                      <w:b/>
                      <w:sz w:val="21"/>
                      <w:szCs w:val="21"/>
                      <w:vertAlign w:val="superscript"/>
                    </w:rPr>
                    <w:t>2</w:t>
                  </w:r>
                  <w:r>
                    <w:rPr>
                      <w:rFonts w:ascii="Times New Roman" w:hAnsi="Times New Roman" w:eastAsiaTheme="minorEastAsia"/>
                      <w:b/>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0" w:hRule="atLeast"/>
                <w:jc w:val="center"/>
              </w:trPr>
              <w:tc>
                <w:tcPr>
                  <w:tcW w:w="1128"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5(km/h)</w:t>
                  </w:r>
                </w:p>
              </w:tc>
              <w:tc>
                <w:tcPr>
                  <w:tcW w:w="1304"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0.051056</w:t>
                  </w:r>
                </w:p>
              </w:tc>
              <w:tc>
                <w:tcPr>
                  <w:tcW w:w="1303"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0.085865</w:t>
                  </w:r>
                </w:p>
              </w:tc>
              <w:tc>
                <w:tcPr>
                  <w:tcW w:w="1300"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0.116382</w:t>
                  </w:r>
                </w:p>
              </w:tc>
              <w:tc>
                <w:tcPr>
                  <w:tcW w:w="1300"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0.144408</w:t>
                  </w:r>
                </w:p>
              </w:tc>
              <w:tc>
                <w:tcPr>
                  <w:tcW w:w="1300"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0.170715</w:t>
                  </w:r>
                </w:p>
              </w:tc>
              <w:tc>
                <w:tcPr>
                  <w:tcW w:w="1266"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0.287108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1128"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10(km/h)</w:t>
                  </w:r>
                </w:p>
              </w:tc>
              <w:tc>
                <w:tcPr>
                  <w:tcW w:w="1304"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0.102112</w:t>
                  </w:r>
                </w:p>
              </w:tc>
              <w:tc>
                <w:tcPr>
                  <w:tcW w:w="1303"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0.171731</w:t>
                  </w:r>
                </w:p>
              </w:tc>
              <w:tc>
                <w:tcPr>
                  <w:tcW w:w="1300"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0.232764</w:t>
                  </w:r>
                </w:p>
              </w:tc>
              <w:tc>
                <w:tcPr>
                  <w:tcW w:w="1300"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0.288815</w:t>
                  </w:r>
                </w:p>
              </w:tc>
              <w:tc>
                <w:tcPr>
                  <w:tcW w:w="1300"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0.341431</w:t>
                  </w:r>
                </w:p>
              </w:tc>
              <w:tc>
                <w:tcPr>
                  <w:tcW w:w="1266"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0.574216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1128"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15(km/h)</w:t>
                  </w:r>
                </w:p>
              </w:tc>
              <w:tc>
                <w:tcPr>
                  <w:tcW w:w="1304"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0.153167</w:t>
                  </w:r>
                </w:p>
              </w:tc>
              <w:tc>
                <w:tcPr>
                  <w:tcW w:w="1303"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0.257596</w:t>
                  </w:r>
                </w:p>
              </w:tc>
              <w:tc>
                <w:tcPr>
                  <w:tcW w:w="1300"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0.349146</w:t>
                  </w:r>
                </w:p>
              </w:tc>
              <w:tc>
                <w:tcPr>
                  <w:tcW w:w="1300"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0.433223</w:t>
                  </w:r>
                </w:p>
              </w:tc>
              <w:tc>
                <w:tcPr>
                  <w:tcW w:w="1300"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0.512146</w:t>
                  </w:r>
                </w:p>
              </w:tc>
              <w:tc>
                <w:tcPr>
                  <w:tcW w:w="1266"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0.861323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1128"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25(km/h)</w:t>
                  </w:r>
                </w:p>
              </w:tc>
              <w:tc>
                <w:tcPr>
                  <w:tcW w:w="1304"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0.255279</w:t>
                  </w:r>
                </w:p>
              </w:tc>
              <w:tc>
                <w:tcPr>
                  <w:tcW w:w="1303"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0.429326</w:t>
                  </w:r>
                </w:p>
              </w:tc>
              <w:tc>
                <w:tcPr>
                  <w:tcW w:w="1300"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0.58191</w:t>
                  </w:r>
                </w:p>
              </w:tc>
              <w:tc>
                <w:tcPr>
                  <w:tcW w:w="1300"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0.722038</w:t>
                  </w:r>
                </w:p>
              </w:tc>
              <w:tc>
                <w:tcPr>
                  <w:tcW w:w="1300"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0.853577</w:t>
                  </w:r>
                </w:p>
              </w:tc>
              <w:tc>
                <w:tcPr>
                  <w:tcW w:w="1266" w:type="dxa"/>
                  <w:vAlign w:val="center"/>
                </w:tcPr>
                <w:p>
                  <w:pPr>
                    <w:pStyle w:val="4"/>
                    <w:spacing w:line="240" w:lineRule="auto"/>
                    <w:ind w:firstLine="0"/>
                    <w:jc w:val="center"/>
                    <w:rPr>
                      <w:rFonts w:ascii="Times New Roman" w:hAnsi="Times New Roman" w:eastAsiaTheme="minorEastAsia"/>
                      <w:sz w:val="21"/>
                      <w:szCs w:val="21"/>
                    </w:rPr>
                  </w:pPr>
                  <w:r>
                    <w:rPr>
                      <w:rFonts w:ascii="Times New Roman" w:hAnsi="Times New Roman" w:eastAsiaTheme="minorEastAsia"/>
                      <w:sz w:val="21"/>
                      <w:szCs w:val="21"/>
                    </w:rPr>
                    <w:t>1.435539</w:t>
                  </w:r>
                </w:p>
              </w:tc>
            </w:tr>
          </w:tbl>
          <w:p>
            <w:pPr>
              <w:tabs>
                <w:tab w:val="left" w:pos="1129"/>
              </w:tabs>
              <w:spacing w:line="360" w:lineRule="auto"/>
              <w:ind w:firstLine="480" w:firstLineChars="200"/>
              <w:jc w:val="left"/>
              <w:rPr>
                <w:sz w:val="24"/>
              </w:rPr>
            </w:pPr>
            <w:r>
              <w:rPr>
                <w:rFonts w:ascii="宋体" w:hAnsi="宋体"/>
                <w:sz w:val="24"/>
              </w:rPr>
              <w:t>由此可见，在同样路面清洁程度条件下，车速越快，扬尘量越大；而在同样车速情况下，路面越脏</w:t>
            </w:r>
            <w:r>
              <w:rPr>
                <w:rFonts w:hAnsi="宋体"/>
                <w:sz w:val="24"/>
              </w:rPr>
              <w:t>，则扬尘量越大。因此，限速行驶及保持路面的清洁是减少汽车扬尘的有效手段。一般施工及运输车辆引起的扬尘对路边</w:t>
            </w:r>
            <w:r>
              <w:rPr>
                <w:sz w:val="24"/>
              </w:rPr>
              <w:t>30m</w:t>
            </w:r>
            <w:r>
              <w:rPr>
                <w:rFonts w:hAnsi="宋体"/>
                <w:sz w:val="24"/>
              </w:rPr>
              <w:t>范围以内影响较大，路边的</w:t>
            </w:r>
            <w:r>
              <w:rPr>
                <w:sz w:val="24"/>
              </w:rPr>
              <w:t>TSP</w:t>
            </w:r>
            <w:r>
              <w:rPr>
                <w:rFonts w:hAnsi="宋体"/>
                <w:sz w:val="24"/>
              </w:rPr>
              <w:t>浓度可达</w:t>
            </w:r>
            <w:r>
              <w:rPr>
                <w:sz w:val="24"/>
              </w:rPr>
              <w:t>10mg/m</w:t>
            </w:r>
            <w:r>
              <w:rPr>
                <w:sz w:val="24"/>
                <w:vertAlign w:val="superscript"/>
              </w:rPr>
              <w:t>3</w:t>
            </w:r>
            <w:r>
              <w:rPr>
                <w:rFonts w:hAnsi="宋体"/>
                <w:sz w:val="24"/>
              </w:rPr>
              <w:t>以上。</w:t>
            </w:r>
          </w:p>
          <w:p>
            <w:pPr>
              <w:tabs>
                <w:tab w:val="left" w:pos="1129"/>
              </w:tabs>
              <w:spacing w:line="360" w:lineRule="auto"/>
              <w:ind w:firstLine="480" w:firstLineChars="200"/>
              <w:jc w:val="left"/>
              <w:rPr>
                <w:sz w:val="24"/>
              </w:rPr>
            </w:pPr>
            <w:r>
              <w:rPr>
                <w:rFonts w:ascii="宋体" w:hAnsi="宋体"/>
                <w:sz w:val="24"/>
              </w:rPr>
              <w:t>拟建项目施工过程中建筑材料、土石方运输量较小，建议运输便道可充分利用既有道路，不但可以减少</w:t>
            </w:r>
            <w:r>
              <w:rPr>
                <w:rFonts w:hAnsi="宋体"/>
                <w:sz w:val="24"/>
              </w:rPr>
              <w:t>土地征用和水土保持设施破坏面积，也可减少路面硬化等防尘措施，同时满足降低路面运输扬尘的要求。施工过程中为减小起尘量，有效降低其对周围环境的不利影响，建议采取洒水降尘措施，洒水次数根据天气情况而定，一般原则每天</w:t>
            </w:r>
            <w:r>
              <w:rPr>
                <w:sz w:val="24"/>
              </w:rPr>
              <w:t>早（7:30～8:30）、中（12:00～13:00）、晚（17:30～19:00）上下班高峰期各洒水一次，洒水抑尘应不少于1日3次，</w:t>
            </w:r>
            <w:r>
              <w:rPr>
                <w:rFonts w:hAnsi="宋体"/>
                <w:sz w:val="24"/>
              </w:rPr>
              <w:t>干燥天气加大场内洒水降尘频次。</w:t>
            </w:r>
          </w:p>
          <w:p>
            <w:pPr>
              <w:tabs>
                <w:tab w:val="left" w:pos="1129"/>
              </w:tabs>
              <w:spacing w:line="360" w:lineRule="auto"/>
              <w:ind w:firstLine="480" w:firstLineChars="200"/>
              <w:jc w:val="left"/>
              <w:rPr>
                <w:sz w:val="24"/>
              </w:rPr>
            </w:pPr>
            <w:r>
              <w:rPr>
                <w:rFonts w:hAnsi="宋体"/>
                <w:sz w:val="24"/>
              </w:rPr>
              <w:t>采取以上措施后，施工过程产生的运输扬尘不会对周围环境敏感点造成</w:t>
            </w:r>
            <w:r>
              <w:rPr>
                <w:rFonts w:ascii="宋体" w:hAnsi="宋体"/>
                <w:sz w:val="24"/>
              </w:rPr>
              <w:t>明显不良影</w:t>
            </w:r>
            <w:r>
              <w:rPr>
                <w:rFonts w:hAnsi="宋体"/>
                <w:sz w:val="24"/>
              </w:rPr>
              <w:t>响。</w:t>
            </w:r>
          </w:p>
          <w:p>
            <w:pPr>
              <w:tabs>
                <w:tab w:val="left" w:pos="1129"/>
              </w:tabs>
              <w:spacing w:line="360" w:lineRule="auto"/>
              <w:ind w:firstLine="480" w:firstLineChars="200"/>
              <w:jc w:val="left"/>
              <w:rPr>
                <w:sz w:val="24"/>
              </w:rPr>
            </w:pPr>
            <w:r>
              <w:rPr>
                <w:sz w:val="24"/>
              </w:rPr>
              <w:t>2</w:t>
            </w:r>
            <w:r>
              <w:rPr>
                <w:rFonts w:hAnsi="宋体"/>
                <w:sz w:val="24"/>
              </w:rPr>
              <w:t>）施工扰动扬尘</w:t>
            </w:r>
          </w:p>
          <w:p>
            <w:pPr>
              <w:tabs>
                <w:tab w:val="left" w:pos="1129"/>
              </w:tabs>
              <w:spacing w:line="360" w:lineRule="auto"/>
              <w:ind w:firstLine="480" w:firstLineChars="200"/>
              <w:jc w:val="left"/>
              <w:rPr>
                <w:sz w:val="24"/>
              </w:rPr>
            </w:pPr>
            <w:r>
              <w:rPr>
                <w:rFonts w:hAnsi="宋体"/>
                <w:sz w:val="24"/>
              </w:rPr>
              <w:t>施工扰动无组</w:t>
            </w:r>
            <w:r>
              <w:rPr>
                <w:sz w:val="24"/>
              </w:rPr>
              <w:t>织</w:t>
            </w:r>
            <w:r>
              <w:rPr>
                <w:rFonts w:hAnsi="宋体"/>
                <w:sz w:val="24"/>
              </w:rPr>
              <w:t>扬尘来自地表开挖、</w:t>
            </w:r>
            <w:r>
              <w:rPr>
                <w:rFonts w:hint="eastAsia" w:hAnsi="宋体"/>
                <w:sz w:val="24"/>
              </w:rPr>
              <w:t>管道开挖、</w:t>
            </w:r>
            <w:r>
              <w:rPr>
                <w:rFonts w:hAnsi="宋体"/>
                <w:sz w:val="24"/>
              </w:rPr>
              <w:t>填充及粉状材料存储等施工活动，参考北京市环境保护科学研究院对</w:t>
            </w:r>
            <w:r>
              <w:rPr>
                <w:sz w:val="24"/>
              </w:rPr>
              <w:t>4</w:t>
            </w:r>
            <w:r>
              <w:rPr>
                <w:rFonts w:hAnsi="宋体"/>
                <w:sz w:val="24"/>
              </w:rPr>
              <w:t>个建筑施工场地扬尘的监测结果，具体见</w:t>
            </w:r>
            <w:r>
              <w:rPr>
                <w:sz w:val="24"/>
              </w:rPr>
              <w:t>表</w:t>
            </w:r>
            <w:r>
              <w:rPr>
                <w:rFonts w:hint="eastAsia"/>
                <w:sz w:val="24"/>
              </w:rPr>
              <w:t>48</w:t>
            </w:r>
            <w:r>
              <w:rPr>
                <w:sz w:val="24"/>
              </w:rPr>
              <w:t>。</w:t>
            </w:r>
          </w:p>
          <w:p>
            <w:pPr>
              <w:spacing w:line="360" w:lineRule="auto"/>
              <w:ind w:firstLine="413" w:firstLineChars="196"/>
              <w:jc w:val="center"/>
              <w:rPr>
                <w:b/>
                <w:szCs w:val="21"/>
              </w:rPr>
            </w:pPr>
            <w:r>
              <w:rPr>
                <w:b/>
                <w:szCs w:val="21"/>
              </w:rPr>
              <w:t>表</w:t>
            </w:r>
            <w:r>
              <w:rPr>
                <w:rFonts w:hint="eastAsia"/>
                <w:b/>
                <w:szCs w:val="21"/>
              </w:rPr>
              <w:t>48</w:t>
            </w:r>
            <w:r>
              <w:rPr>
                <w:b/>
                <w:szCs w:val="21"/>
              </w:rPr>
              <w:t xml:space="preserve">    施工场地扬尘监测汇总表</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82"/>
              <w:gridCol w:w="1485"/>
              <w:gridCol w:w="1043"/>
              <w:gridCol w:w="1050"/>
              <w:gridCol w:w="1129"/>
              <w:gridCol w:w="917"/>
              <w:gridCol w:w="11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082" w:type="dxa"/>
                  <w:vMerge w:val="restart"/>
                  <w:vAlign w:val="center"/>
                </w:tcPr>
                <w:p>
                  <w:pPr>
                    <w:pStyle w:val="4"/>
                    <w:spacing w:line="240" w:lineRule="auto"/>
                    <w:ind w:firstLine="0"/>
                    <w:jc w:val="center"/>
                    <w:rPr>
                      <w:rFonts w:ascii="Times New Roman" w:hAnsi="Times New Roman"/>
                      <w:b/>
                      <w:kern w:val="2"/>
                      <w:sz w:val="21"/>
                      <w:szCs w:val="21"/>
                    </w:rPr>
                  </w:pPr>
                  <w:r>
                    <w:rPr>
                      <w:rFonts w:ascii="Times New Roman" w:hAnsi="Times New Roman"/>
                      <w:b/>
                      <w:kern w:val="2"/>
                      <w:sz w:val="21"/>
                      <w:szCs w:val="21"/>
                    </w:rPr>
                    <w:t>工程名称</w:t>
                  </w:r>
                </w:p>
              </w:tc>
              <w:tc>
                <w:tcPr>
                  <w:tcW w:w="1485" w:type="dxa"/>
                  <w:vMerge w:val="restart"/>
                  <w:vAlign w:val="center"/>
                </w:tcPr>
                <w:p>
                  <w:pPr>
                    <w:pStyle w:val="4"/>
                    <w:spacing w:line="240" w:lineRule="auto"/>
                    <w:ind w:firstLine="0"/>
                    <w:jc w:val="center"/>
                    <w:rPr>
                      <w:rFonts w:ascii="Times New Roman" w:hAnsi="Times New Roman"/>
                      <w:b/>
                      <w:kern w:val="2"/>
                      <w:sz w:val="21"/>
                      <w:szCs w:val="21"/>
                    </w:rPr>
                  </w:pPr>
                  <w:r>
                    <w:rPr>
                      <w:rFonts w:ascii="Times New Roman" w:hAnsi="Times New Roman"/>
                      <w:b/>
                      <w:bCs/>
                      <w:kern w:val="2"/>
                      <w:sz w:val="21"/>
                      <w:szCs w:val="21"/>
                    </w:rPr>
                    <w:t>风速（m/</w:t>
                  </w:r>
                  <w:r>
                    <w:rPr>
                      <w:rFonts w:ascii="Times New Roman" w:hAnsi="Times New Roman"/>
                      <w:b/>
                      <w:kern w:val="2"/>
                      <w:sz w:val="21"/>
                      <w:szCs w:val="21"/>
                    </w:rPr>
                    <w:t>s）</w:t>
                  </w:r>
                </w:p>
              </w:tc>
              <w:tc>
                <w:tcPr>
                  <w:tcW w:w="5334" w:type="dxa"/>
                  <w:gridSpan w:val="5"/>
                  <w:vAlign w:val="center"/>
                </w:tcPr>
                <w:p>
                  <w:pPr>
                    <w:pStyle w:val="4"/>
                    <w:spacing w:line="240" w:lineRule="auto"/>
                    <w:ind w:firstLine="0"/>
                    <w:jc w:val="center"/>
                    <w:rPr>
                      <w:rFonts w:ascii="Times New Roman" w:hAnsi="Times New Roman"/>
                      <w:b/>
                      <w:kern w:val="2"/>
                      <w:sz w:val="21"/>
                      <w:szCs w:val="21"/>
                    </w:rPr>
                  </w:pPr>
                  <w:r>
                    <w:rPr>
                      <w:rFonts w:ascii="Times New Roman" w:hAnsi="Times New Roman"/>
                      <w:b/>
                      <w:kern w:val="2"/>
                      <w:sz w:val="21"/>
                      <w:szCs w:val="21"/>
                    </w:rPr>
                    <w:t>TSP浓度（mg/m</w:t>
                  </w:r>
                  <w:r>
                    <w:rPr>
                      <w:rFonts w:ascii="Times New Roman" w:hAnsi="Times New Roman"/>
                      <w:b/>
                      <w:kern w:val="2"/>
                      <w:sz w:val="21"/>
                      <w:szCs w:val="21"/>
                      <w:vertAlign w:val="superscript"/>
                    </w:rPr>
                    <w:t>3</w:t>
                  </w:r>
                  <w:r>
                    <w:rPr>
                      <w:rFonts w:ascii="Times New Roman" w:hAnsi="Times New Roman"/>
                      <w:b/>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082" w:type="dxa"/>
                  <w:vMerge w:val="continue"/>
                  <w:vAlign w:val="center"/>
                </w:tcPr>
                <w:p>
                  <w:pPr>
                    <w:pStyle w:val="4"/>
                    <w:spacing w:line="240" w:lineRule="auto"/>
                    <w:ind w:firstLine="0"/>
                    <w:jc w:val="center"/>
                    <w:rPr>
                      <w:rFonts w:ascii="Times New Roman" w:hAnsi="Times New Roman"/>
                      <w:kern w:val="2"/>
                      <w:sz w:val="21"/>
                      <w:szCs w:val="21"/>
                    </w:rPr>
                  </w:pPr>
                </w:p>
              </w:tc>
              <w:tc>
                <w:tcPr>
                  <w:tcW w:w="1485" w:type="dxa"/>
                  <w:vMerge w:val="continue"/>
                  <w:vAlign w:val="center"/>
                </w:tcPr>
                <w:p>
                  <w:pPr>
                    <w:pStyle w:val="4"/>
                    <w:spacing w:line="240" w:lineRule="auto"/>
                    <w:ind w:firstLine="0"/>
                    <w:jc w:val="center"/>
                    <w:rPr>
                      <w:rFonts w:ascii="Times New Roman" w:hAnsi="Times New Roman"/>
                      <w:kern w:val="2"/>
                      <w:sz w:val="21"/>
                      <w:szCs w:val="21"/>
                    </w:rPr>
                  </w:pPr>
                </w:p>
              </w:tc>
              <w:tc>
                <w:tcPr>
                  <w:tcW w:w="1043"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上风向</w:t>
                  </w:r>
                </w:p>
              </w:tc>
              <w:tc>
                <w:tcPr>
                  <w:tcW w:w="1050" w:type="dxa"/>
                  <w:vMerge w:val="restart"/>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工地内</w:t>
                  </w:r>
                </w:p>
              </w:tc>
              <w:tc>
                <w:tcPr>
                  <w:tcW w:w="3241" w:type="dxa"/>
                  <w:gridSpan w:val="3"/>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工地下风向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082" w:type="dxa"/>
                  <w:vMerge w:val="continue"/>
                  <w:vAlign w:val="center"/>
                </w:tcPr>
                <w:p>
                  <w:pPr>
                    <w:pStyle w:val="4"/>
                    <w:spacing w:line="240" w:lineRule="auto"/>
                    <w:ind w:firstLine="0"/>
                    <w:jc w:val="center"/>
                    <w:rPr>
                      <w:rFonts w:ascii="Times New Roman" w:hAnsi="Times New Roman"/>
                      <w:kern w:val="2"/>
                      <w:sz w:val="21"/>
                      <w:szCs w:val="21"/>
                    </w:rPr>
                  </w:pPr>
                </w:p>
              </w:tc>
              <w:tc>
                <w:tcPr>
                  <w:tcW w:w="1485" w:type="dxa"/>
                  <w:vMerge w:val="continue"/>
                  <w:vAlign w:val="center"/>
                </w:tcPr>
                <w:p>
                  <w:pPr>
                    <w:pStyle w:val="4"/>
                    <w:spacing w:line="240" w:lineRule="auto"/>
                    <w:ind w:firstLine="0"/>
                    <w:jc w:val="center"/>
                    <w:rPr>
                      <w:rFonts w:ascii="Times New Roman" w:hAnsi="Times New Roman"/>
                      <w:kern w:val="2"/>
                      <w:sz w:val="21"/>
                      <w:szCs w:val="21"/>
                    </w:rPr>
                  </w:pPr>
                </w:p>
              </w:tc>
              <w:tc>
                <w:tcPr>
                  <w:tcW w:w="1043"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50m</w:t>
                  </w:r>
                </w:p>
              </w:tc>
              <w:tc>
                <w:tcPr>
                  <w:tcW w:w="1050" w:type="dxa"/>
                  <w:vMerge w:val="continue"/>
                  <w:vAlign w:val="center"/>
                </w:tcPr>
                <w:p>
                  <w:pPr>
                    <w:pStyle w:val="4"/>
                    <w:spacing w:line="240" w:lineRule="auto"/>
                    <w:ind w:firstLine="0"/>
                    <w:jc w:val="center"/>
                    <w:rPr>
                      <w:rFonts w:ascii="Times New Roman" w:hAnsi="Times New Roman"/>
                      <w:kern w:val="2"/>
                      <w:sz w:val="21"/>
                      <w:szCs w:val="21"/>
                    </w:rPr>
                  </w:pPr>
                </w:p>
              </w:tc>
              <w:tc>
                <w:tcPr>
                  <w:tcW w:w="1129"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50m</w:t>
                  </w:r>
                </w:p>
              </w:tc>
              <w:tc>
                <w:tcPr>
                  <w:tcW w:w="917"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100m</w:t>
                  </w:r>
                </w:p>
              </w:tc>
              <w:tc>
                <w:tcPr>
                  <w:tcW w:w="1195"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150m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72" w:hRule="atLeast"/>
              </w:trPr>
              <w:tc>
                <w:tcPr>
                  <w:tcW w:w="2082"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bCs/>
                      <w:kern w:val="2"/>
                      <w:sz w:val="21"/>
                      <w:szCs w:val="21"/>
                    </w:rPr>
                    <w:t>侨办工地</w:t>
                  </w:r>
                </w:p>
              </w:tc>
              <w:tc>
                <w:tcPr>
                  <w:tcW w:w="1485" w:type="dxa"/>
                  <w:vMerge w:val="restart"/>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2.4</w:t>
                  </w:r>
                </w:p>
              </w:tc>
              <w:tc>
                <w:tcPr>
                  <w:tcW w:w="1043"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3.28</w:t>
                  </w:r>
                </w:p>
              </w:tc>
              <w:tc>
                <w:tcPr>
                  <w:tcW w:w="1050"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7.59</w:t>
                  </w:r>
                </w:p>
              </w:tc>
              <w:tc>
                <w:tcPr>
                  <w:tcW w:w="1129"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5.02</w:t>
                  </w:r>
                </w:p>
              </w:tc>
              <w:tc>
                <w:tcPr>
                  <w:tcW w:w="917"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3.67</w:t>
                  </w:r>
                </w:p>
              </w:tc>
              <w:tc>
                <w:tcPr>
                  <w:tcW w:w="1195"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3.36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082"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金属材料公司工地</w:t>
                  </w:r>
                </w:p>
              </w:tc>
              <w:tc>
                <w:tcPr>
                  <w:tcW w:w="1485" w:type="dxa"/>
                  <w:vMerge w:val="continue"/>
                  <w:vAlign w:val="center"/>
                </w:tcPr>
                <w:p>
                  <w:pPr>
                    <w:pStyle w:val="4"/>
                    <w:spacing w:line="240" w:lineRule="auto"/>
                    <w:ind w:firstLine="0"/>
                    <w:jc w:val="center"/>
                    <w:rPr>
                      <w:rFonts w:ascii="Times New Roman" w:hAnsi="Times New Roman"/>
                      <w:kern w:val="2"/>
                      <w:sz w:val="21"/>
                      <w:szCs w:val="21"/>
                    </w:rPr>
                  </w:pPr>
                </w:p>
              </w:tc>
              <w:tc>
                <w:tcPr>
                  <w:tcW w:w="1043"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3.25</w:t>
                  </w:r>
                </w:p>
              </w:tc>
              <w:tc>
                <w:tcPr>
                  <w:tcW w:w="1050"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6.18</w:t>
                  </w:r>
                </w:p>
              </w:tc>
              <w:tc>
                <w:tcPr>
                  <w:tcW w:w="1129"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4.72</w:t>
                  </w:r>
                </w:p>
              </w:tc>
              <w:tc>
                <w:tcPr>
                  <w:tcW w:w="917"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3.56</w:t>
                  </w:r>
                </w:p>
              </w:tc>
              <w:tc>
                <w:tcPr>
                  <w:tcW w:w="1195"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3.32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082"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广播电视部工地</w:t>
                  </w:r>
                </w:p>
              </w:tc>
              <w:tc>
                <w:tcPr>
                  <w:tcW w:w="1485" w:type="dxa"/>
                  <w:vMerge w:val="continue"/>
                  <w:vAlign w:val="center"/>
                </w:tcPr>
                <w:p>
                  <w:pPr>
                    <w:pStyle w:val="4"/>
                    <w:spacing w:line="240" w:lineRule="auto"/>
                    <w:ind w:firstLine="0"/>
                    <w:jc w:val="center"/>
                    <w:rPr>
                      <w:rFonts w:ascii="Times New Roman" w:hAnsi="Times New Roman"/>
                      <w:kern w:val="2"/>
                      <w:sz w:val="21"/>
                      <w:szCs w:val="21"/>
                    </w:rPr>
                  </w:pPr>
                </w:p>
              </w:tc>
              <w:tc>
                <w:tcPr>
                  <w:tcW w:w="1043"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3.11</w:t>
                  </w:r>
                </w:p>
              </w:tc>
              <w:tc>
                <w:tcPr>
                  <w:tcW w:w="1050"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5.96</w:t>
                  </w:r>
                </w:p>
              </w:tc>
              <w:tc>
                <w:tcPr>
                  <w:tcW w:w="1129"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4.34</w:t>
                  </w:r>
                </w:p>
              </w:tc>
              <w:tc>
                <w:tcPr>
                  <w:tcW w:w="917"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3.72</w:t>
                  </w:r>
                </w:p>
              </w:tc>
              <w:tc>
                <w:tcPr>
                  <w:tcW w:w="1195"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3.09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082"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劲松小区工地</w:t>
                  </w:r>
                </w:p>
              </w:tc>
              <w:tc>
                <w:tcPr>
                  <w:tcW w:w="1485" w:type="dxa"/>
                  <w:vMerge w:val="continue"/>
                  <w:vAlign w:val="center"/>
                </w:tcPr>
                <w:p>
                  <w:pPr>
                    <w:pStyle w:val="4"/>
                    <w:spacing w:line="240" w:lineRule="auto"/>
                    <w:ind w:firstLine="0"/>
                    <w:jc w:val="center"/>
                    <w:rPr>
                      <w:rFonts w:ascii="Times New Roman" w:hAnsi="Times New Roman"/>
                      <w:kern w:val="2"/>
                      <w:sz w:val="21"/>
                      <w:szCs w:val="21"/>
                    </w:rPr>
                  </w:pPr>
                </w:p>
              </w:tc>
              <w:tc>
                <w:tcPr>
                  <w:tcW w:w="1043"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3.03</w:t>
                  </w:r>
                </w:p>
              </w:tc>
              <w:tc>
                <w:tcPr>
                  <w:tcW w:w="1050"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4.09</w:t>
                  </w:r>
                </w:p>
              </w:tc>
              <w:tc>
                <w:tcPr>
                  <w:tcW w:w="1129"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5.38</w:t>
                  </w:r>
                </w:p>
              </w:tc>
              <w:tc>
                <w:tcPr>
                  <w:tcW w:w="917"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4.65</w:t>
                  </w:r>
                </w:p>
              </w:tc>
              <w:tc>
                <w:tcPr>
                  <w:tcW w:w="1195" w:type="dxa"/>
                  <w:vAlign w:val="center"/>
                </w:tcPr>
                <w:p>
                  <w:pPr>
                    <w:pStyle w:val="4"/>
                    <w:spacing w:line="240" w:lineRule="auto"/>
                    <w:ind w:firstLine="0"/>
                    <w:jc w:val="center"/>
                    <w:rPr>
                      <w:rFonts w:ascii="Times New Roman" w:hAnsi="Times New Roman"/>
                      <w:kern w:val="2"/>
                      <w:sz w:val="21"/>
                      <w:szCs w:val="21"/>
                    </w:rPr>
                  </w:pPr>
                  <w:r>
                    <w:rPr>
                      <w:rFonts w:ascii="Times New Roman" w:hAnsi="Times New Roman"/>
                      <w:kern w:val="2"/>
                      <w:sz w:val="21"/>
                      <w:szCs w:val="21"/>
                    </w:rPr>
                    <w:t>3.14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082" w:type="dxa"/>
                  <w:vAlign w:val="center"/>
                </w:tcPr>
                <w:p>
                  <w:pPr>
                    <w:jc w:val="center"/>
                    <w:rPr>
                      <w:szCs w:val="21"/>
                    </w:rPr>
                  </w:pPr>
                  <w:r>
                    <w:rPr>
                      <w:szCs w:val="21"/>
                    </w:rPr>
                    <w:t>备注</w:t>
                  </w:r>
                </w:p>
              </w:tc>
              <w:tc>
                <w:tcPr>
                  <w:tcW w:w="6819" w:type="dxa"/>
                  <w:gridSpan w:val="6"/>
                  <w:vAlign w:val="center"/>
                </w:tcPr>
                <w:p>
                  <w:pPr>
                    <w:rPr>
                      <w:szCs w:val="21"/>
                    </w:rPr>
                  </w:pPr>
                  <w:r>
                    <w:rPr>
                      <w:szCs w:val="21"/>
                    </w:rPr>
                    <w:t>施工场界外执行《大气污染物综合排放标准》（GB16297-1996）中表2中颗粒物其他排放标准，即周围外浓度1.0mg/m</w:t>
                  </w:r>
                  <w:r>
                    <w:rPr>
                      <w:szCs w:val="21"/>
                      <w:vertAlign w:val="superscript"/>
                    </w:rPr>
                    <w:t>3</w:t>
                  </w:r>
                  <w:r>
                    <w:rPr>
                      <w:szCs w:val="21"/>
                    </w:rPr>
                    <w:t>。</w:t>
                  </w:r>
                </w:p>
              </w:tc>
            </w:tr>
          </w:tbl>
          <w:p>
            <w:pPr>
              <w:tabs>
                <w:tab w:val="left" w:pos="1129"/>
              </w:tabs>
              <w:spacing w:line="360" w:lineRule="auto"/>
              <w:ind w:firstLine="480" w:firstLineChars="200"/>
              <w:jc w:val="left"/>
              <w:rPr>
                <w:sz w:val="24"/>
              </w:rPr>
            </w:pPr>
            <w:r>
              <w:rPr>
                <w:rFonts w:hAnsi="宋体"/>
                <w:sz w:val="24"/>
              </w:rPr>
              <w:t>由表</w:t>
            </w:r>
            <w:r>
              <w:rPr>
                <w:rFonts w:hint="eastAsia"/>
                <w:sz w:val="24"/>
              </w:rPr>
              <w:t>48</w:t>
            </w:r>
            <w:r>
              <w:rPr>
                <w:sz w:val="24"/>
              </w:rPr>
              <w:t>可</w:t>
            </w:r>
            <w:r>
              <w:rPr>
                <w:rFonts w:hAnsi="宋体"/>
                <w:sz w:val="24"/>
              </w:rPr>
              <w:t>知，当风</w:t>
            </w:r>
            <w:r>
              <w:rPr>
                <w:sz w:val="24"/>
              </w:rPr>
              <w:t>速为2.4m/s时，TSP浓度上风向对照点超标2.03～2.28倍，平均超标2.17倍；下风向100m以内TSP浓度平均值为3.90mg/m</w:t>
            </w:r>
            <w:r>
              <w:rPr>
                <w:sz w:val="24"/>
                <w:vertAlign w:val="superscript"/>
              </w:rPr>
              <w:t>3</w:t>
            </w:r>
            <w:r>
              <w:rPr>
                <w:sz w:val="24"/>
              </w:rPr>
              <w:t>，平</w:t>
            </w:r>
            <w:r>
              <w:rPr>
                <w:rFonts w:hAnsi="宋体"/>
                <w:sz w:val="24"/>
              </w:rPr>
              <w:t>均超标</w:t>
            </w:r>
            <w:r>
              <w:rPr>
                <w:sz w:val="24"/>
              </w:rPr>
              <w:t>2.90</w:t>
            </w:r>
            <w:r>
              <w:rPr>
                <w:rFonts w:hAnsi="宋体"/>
                <w:sz w:val="24"/>
              </w:rPr>
              <w:t>倍，为上风向对照点的</w:t>
            </w:r>
            <w:r>
              <w:rPr>
                <w:sz w:val="24"/>
              </w:rPr>
              <w:t>1.23</w:t>
            </w:r>
            <w:r>
              <w:rPr>
                <w:rFonts w:hAnsi="宋体"/>
                <w:sz w:val="24"/>
              </w:rPr>
              <w:t>倍；下风向</w:t>
            </w:r>
            <w:r>
              <w:rPr>
                <w:sz w:val="24"/>
              </w:rPr>
              <w:t>150m</w:t>
            </w:r>
            <w:r>
              <w:rPr>
                <w:rFonts w:hAnsi="宋体"/>
                <w:sz w:val="24"/>
              </w:rPr>
              <w:t>以内</w:t>
            </w:r>
            <w:r>
              <w:rPr>
                <w:sz w:val="24"/>
              </w:rPr>
              <w:t>TSP</w:t>
            </w:r>
            <w:r>
              <w:rPr>
                <w:rFonts w:hAnsi="宋体"/>
                <w:sz w:val="24"/>
              </w:rPr>
              <w:t>浓度平均值为</w:t>
            </w:r>
            <w:r>
              <w:rPr>
                <w:sz w:val="24"/>
              </w:rPr>
              <w:t>3.23mg/m</w:t>
            </w:r>
            <w:r>
              <w:rPr>
                <w:sz w:val="24"/>
                <w:vertAlign w:val="superscript"/>
              </w:rPr>
              <w:t>3</w:t>
            </w:r>
            <w:r>
              <w:rPr>
                <w:rFonts w:hAnsi="宋体"/>
                <w:sz w:val="24"/>
              </w:rPr>
              <w:t>，平均超标</w:t>
            </w:r>
            <w:r>
              <w:rPr>
                <w:sz w:val="24"/>
              </w:rPr>
              <w:t>2.23</w:t>
            </w:r>
            <w:r>
              <w:rPr>
                <w:rFonts w:hAnsi="宋体"/>
                <w:sz w:val="24"/>
              </w:rPr>
              <w:t>倍，为上风向对照点的</w:t>
            </w:r>
            <w:r>
              <w:rPr>
                <w:sz w:val="24"/>
              </w:rPr>
              <w:t>1.02</w:t>
            </w:r>
            <w:r>
              <w:rPr>
                <w:rFonts w:hAnsi="宋体"/>
                <w:sz w:val="24"/>
              </w:rPr>
              <w:t>倍。</w:t>
            </w:r>
          </w:p>
          <w:p>
            <w:pPr>
              <w:tabs>
                <w:tab w:val="left" w:pos="1129"/>
              </w:tabs>
              <w:spacing w:line="360" w:lineRule="auto"/>
              <w:ind w:firstLine="480" w:firstLineChars="200"/>
              <w:jc w:val="left"/>
              <w:rPr>
                <w:sz w:val="24"/>
              </w:rPr>
            </w:pPr>
            <w:r>
              <w:rPr>
                <w:sz w:val="24"/>
              </w:rPr>
              <w:t>拟建项目所在地平均风速为2.1m/s，施</w:t>
            </w:r>
            <w:r>
              <w:rPr>
                <w:rFonts w:hAnsi="宋体"/>
                <w:sz w:val="24"/>
              </w:rPr>
              <w:t>工场地施工扬尘对大气环境的影响范围小于</w:t>
            </w:r>
            <w:r>
              <w:rPr>
                <w:sz w:val="24"/>
              </w:rPr>
              <w:t>2.4m/s</w:t>
            </w:r>
            <w:r>
              <w:rPr>
                <w:rFonts w:hint="eastAsia"/>
                <w:sz w:val="24"/>
              </w:rPr>
              <w:t>风速</w:t>
            </w:r>
            <w:r>
              <w:rPr>
                <w:rFonts w:hAnsi="宋体"/>
                <w:sz w:val="24"/>
              </w:rPr>
              <w:t>的影响范围，扩散时间大于</w:t>
            </w:r>
            <w:r>
              <w:rPr>
                <w:sz w:val="24"/>
              </w:rPr>
              <w:t>2.4m/s</w:t>
            </w:r>
            <w:r>
              <w:rPr>
                <w:rFonts w:hAnsi="宋体"/>
                <w:sz w:val="24"/>
              </w:rPr>
              <w:t>风速的扩散时间，</w:t>
            </w:r>
            <w:r>
              <w:rPr>
                <w:rFonts w:hint="eastAsia" w:hAnsi="宋体"/>
                <w:sz w:val="24"/>
              </w:rPr>
              <w:t>本项目道路施工及管线施工两侧为商铺及周围居民，污水站四周为农田，周围环境空旷，最近居民为东南侧115m处。</w:t>
            </w:r>
          </w:p>
          <w:p>
            <w:pPr>
              <w:tabs>
                <w:tab w:val="left" w:pos="1129"/>
              </w:tabs>
              <w:spacing w:line="360" w:lineRule="auto"/>
              <w:ind w:firstLine="480" w:firstLineChars="200"/>
              <w:jc w:val="left"/>
              <w:rPr>
                <w:rFonts w:ascii="宋体" w:hAnsi="宋体"/>
                <w:sz w:val="24"/>
              </w:rPr>
            </w:pPr>
            <w:r>
              <w:rPr>
                <w:rFonts w:ascii="宋体" w:hAnsi="宋体"/>
                <w:sz w:val="24"/>
              </w:rPr>
              <w:t>在拟建项目施工现场设置防风抑尘措施，施工场地设置围墙，采用防风抑尘网对开挖地面和裸露地面进行遮盖，堆土及时回填，施工场地定期洒水，周边的环境敏感点（</w:t>
            </w:r>
            <w:r>
              <w:rPr>
                <w:rFonts w:hint="eastAsia" w:ascii="宋体" w:hAnsi="宋体"/>
                <w:sz w:val="24"/>
              </w:rPr>
              <w:t>东风村</w:t>
            </w:r>
            <w:r>
              <w:rPr>
                <w:rFonts w:ascii="宋体" w:hAnsi="宋体"/>
                <w:sz w:val="24"/>
              </w:rPr>
              <w:t>）张贴《安民告示》，并耐心向</w:t>
            </w:r>
            <w:r>
              <w:rPr>
                <w:rFonts w:hint="eastAsia" w:ascii="宋体" w:hAnsi="宋体"/>
                <w:sz w:val="24"/>
              </w:rPr>
              <w:t>公众</w:t>
            </w:r>
            <w:r>
              <w:rPr>
                <w:rFonts w:ascii="宋体" w:hAnsi="宋体"/>
                <w:sz w:val="24"/>
              </w:rPr>
              <w:t>做好说明、解释工作，以期求施工活动附近公众的理解和支持，缓解施工方和公众之间的抵触情绪。</w:t>
            </w:r>
          </w:p>
          <w:p>
            <w:pPr>
              <w:tabs>
                <w:tab w:val="left" w:pos="1129"/>
              </w:tabs>
              <w:spacing w:line="360" w:lineRule="auto"/>
              <w:ind w:firstLine="480" w:firstLineChars="200"/>
              <w:jc w:val="left"/>
              <w:rPr>
                <w:sz w:val="24"/>
              </w:rPr>
            </w:pPr>
            <w:r>
              <w:rPr>
                <w:rFonts w:ascii="宋体" w:hAnsi="宋体"/>
                <w:sz w:val="24"/>
              </w:rPr>
              <w:t>综上所述，拟建项目建设过程中应严格执行本报告表提出的粉尘污染防治措施，尽量</w:t>
            </w:r>
            <w:r>
              <w:rPr>
                <w:rFonts w:hAnsi="宋体"/>
                <w:sz w:val="24"/>
              </w:rPr>
              <w:t>减少施工扬尘对</w:t>
            </w:r>
            <w:r>
              <w:rPr>
                <w:rFonts w:hint="eastAsia" w:hAnsi="宋体"/>
                <w:sz w:val="24"/>
              </w:rPr>
              <w:t>环境空气及</w:t>
            </w:r>
            <w:r>
              <w:rPr>
                <w:rFonts w:hAnsi="宋体"/>
                <w:sz w:val="24"/>
              </w:rPr>
              <w:t>周边的环境敏感点的影响。</w:t>
            </w:r>
          </w:p>
          <w:p>
            <w:pPr>
              <w:tabs>
                <w:tab w:val="left" w:pos="1129"/>
              </w:tabs>
              <w:spacing w:line="360" w:lineRule="auto"/>
              <w:ind w:firstLine="480" w:firstLineChars="200"/>
              <w:jc w:val="left"/>
              <w:rPr>
                <w:sz w:val="24"/>
              </w:rPr>
            </w:pPr>
            <w:r>
              <w:rPr>
                <w:rFonts w:hint="eastAsia"/>
                <w:sz w:val="24"/>
              </w:rPr>
              <w:t>（2）</w:t>
            </w:r>
            <w:r>
              <w:rPr>
                <w:rFonts w:hAnsi="宋体"/>
                <w:sz w:val="24"/>
              </w:rPr>
              <w:t>汽车尾气</w:t>
            </w:r>
          </w:p>
          <w:p>
            <w:pPr>
              <w:tabs>
                <w:tab w:val="left" w:pos="1129"/>
              </w:tabs>
              <w:spacing w:line="360" w:lineRule="auto"/>
              <w:ind w:firstLine="480" w:firstLineChars="200"/>
              <w:jc w:val="left"/>
              <w:rPr>
                <w:rFonts w:hAnsi="宋体"/>
                <w:sz w:val="24"/>
              </w:rPr>
            </w:pPr>
            <w:r>
              <w:rPr>
                <w:rFonts w:hAnsi="宋体"/>
                <w:sz w:val="24"/>
              </w:rPr>
              <w:t>拟建道路施工期间，施工机械及各种运输车辆多以柴油为原料，使用过程中会排放一定量的尾气，主要污染物为</w:t>
            </w:r>
            <w:r>
              <w:rPr>
                <w:sz w:val="24"/>
              </w:rPr>
              <w:t>NO</w:t>
            </w:r>
            <w:r>
              <w:rPr>
                <w:sz w:val="24"/>
                <w:vertAlign w:val="subscript"/>
              </w:rPr>
              <w:t>x</w:t>
            </w:r>
            <w:r>
              <w:rPr>
                <w:rFonts w:hAnsi="宋体"/>
                <w:sz w:val="24"/>
              </w:rPr>
              <w:t>、</w:t>
            </w:r>
            <w:r>
              <w:rPr>
                <w:sz w:val="24"/>
              </w:rPr>
              <w:t>CO</w:t>
            </w:r>
            <w:r>
              <w:rPr>
                <w:rFonts w:hAnsi="宋体"/>
                <w:sz w:val="24"/>
              </w:rPr>
              <w:t>及</w:t>
            </w:r>
            <w:r>
              <w:rPr>
                <w:sz w:val="24"/>
              </w:rPr>
              <w:t>THC</w:t>
            </w:r>
            <w:r>
              <w:rPr>
                <w:rFonts w:hAnsi="宋体"/>
                <w:sz w:val="24"/>
              </w:rPr>
              <w:t>等，分散在施工场地及运输沿线，尾气排放有限且分散，加之项目所在地区风速相对较大，扩散条件好，不会对周围环境造成明显不良影响。</w:t>
            </w:r>
          </w:p>
          <w:p>
            <w:pPr>
              <w:tabs>
                <w:tab w:val="left" w:pos="1129"/>
              </w:tabs>
              <w:spacing w:line="360" w:lineRule="auto"/>
              <w:ind w:firstLine="480" w:firstLineChars="200"/>
              <w:jc w:val="left"/>
              <w:rPr>
                <w:rFonts w:hAnsi="宋体"/>
                <w:sz w:val="24"/>
              </w:rPr>
            </w:pPr>
            <w:r>
              <w:rPr>
                <w:rFonts w:hint="eastAsia" w:hAnsi="宋体"/>
                <w:sz w:val="24"/>
              </w:rPr>
              <w:t>（3）沥青烟气</w:t>
            </w:r>
          </w:p>
          <w:p>
            <w:pPr>
              <w:tabs>
                <w:tab w:val="left" w:pos="1129"/>
              </w:tabs>
              <w:spacing w:line="360" w:lineRule="auto"/>
              <w:ind w:firstLine="480" w:firstLineChars="200"/>
              <w:jc w:val="left"/>
              <w:rPr>
                <w:sz w:val="24"/>
              </w:rPr>
            </w:pPr>
            <w:r>
              <w:rPr>
                <w:sz w:val="24"/>
              </w:rPr>
              <w:t>沥青主要有石油沥青和煤焦油沥青。本工程所用沥青为石油沥青，沥青中含26.1%～40.7%的游离碳，沥青的熬制、搅拌、铺装过程均产生沥青烟，其中，沥青熬制过程产生量最大，烟气中主要有害成分为THC、酚和3,4-苯并芘。</w:t>
            </w:r>
            <w:r>
              <w:rPr>
                <w:rFonts w:hint="eastAsia"/>
                <w:sz w:val="24"/>
              </w:rPr>
              <w:t>本项目道路施工量小，不建设临时拌合站，外购</w:t>
            </w:r>
            <w:r>
              <w:rPr>
                <w:sz w:val="24"/>
              </w:rPr>
              <w:t>拌合好的沥青采用无热原或高温容器将沥青运至铺浇工地，使烟气的排放浓度降低，可满足《大气污染物综合排放标准》（GB162977-1996）中的沥青烟气最高允许排放浓度。</w:t>
            </w:r>
          </w:p>
          <w:p>
            <w:pPr>
              <w:tabs>
                <w:tab w:val="left" w:pos="1129"/>
              </w:tabs>
              <w:spacing w:line="360" w:lineRule="auto"/>
              <w:ind w:firstLine="480" w:firstLineChars="200"/>
              <w:jc w:val="left"/>
              <w:rPr>
                <w:rFonts w:hAnsi="宋体"/>
                <w:sz w:val="24"/>
              </w:rPr>
            </w:pPr>
            <w:r>
              <w:rPr>
                <w:rFonts w:hAnsi="宋体"/>
                <w:sz w:val="24"/>
              </w:rPr>
              <w:t>综上所述，施工期间对大气的环境影响较小，具有短暂性和临时性的特点，随着施工的结束上述影响将消失。</w:t>
            </w:r>
          </w:p>
          <w:p>
            <w:pPr>
              <w:spacing w:line="360" w:lineRule="auto"/>
              <w:ind w:firstLine="480" w:firstLineChars="200"/>
              <w:rPr>
                <w:bCs/>
                <w:sz w:val="24"/>
                <w:szCs w:val="24"/>
              </w:rPr>
            </w:pPr>
            <w:r>
              <w:rPr>
                <w:rFonts w:hint="eastAsia"/>
                <w:bCs/>
                <w:sz w:val="24"/>
                <w:szCs w:val="24"/>
              </w:rPr>
              <w:t>3、声环境影响分析</w:t>
            </w:r>
          </w:p>
          <w:p>
            <w:pPr>
              <w:spacing w:line="360" w:lineRule="auto"/>
              <w:ind w:firstLine="480" w:firstLineChars="200"/>
              <w:rPr>
                <w:bCs/>
                <w:sz w:val="24"/>
                <w:szCs w:val="24"/>
              </w:rPr>
            </w:pPr>
            <w:r>
              <w:rPr>
                <w:bCs/>
                <w:sz w:val="24"/>
                <w:szCs w:val="24"/>
              </w:rPr>
              <w:t>施工期噪声主要包括施工机械产生的噪声，以及运输车辆产生的噪声。施工机械噪声可视为点声源，运输车辆噪声则按线声源进行处理。</w:t>
            </w:r>
          </w:p>
          <w:p>
            <w:pPr>
              <w:spacing w:line="360" w:lineRule="auto"/>
              <w:ind w:firstLine="480" w:firstLineChars="200"/>
              <w:rPr>
                <w:bCs/>
                <w:sz w:val="24"/>
                <w:szCs w:val="24"/>
              </w:rPr>
            </w:pPr>
            <w:r>
              <w:rPr>
                <w:rFonts w:hint="eastAsia"/>
                <w:bCs/>
                <w:sz w:val="24"/>
                <w:szCs w:val="24"/>
              </w:rPr>
              <w:t>（1）</w:t>
            </w:r>
            <w:r>
              <w:rPr>
                <w:bCs/>
                <w:sz w:val="24"/>
                <w:szCs w:val="24"/>
              </w:rPr>
              <w:t>点声源预测模式</w:t>
            </w:r>
          </w:p>
          <w:p>
            <w:pPr>
              <w:spacing w:line="360" w:lineRule="auto"/>
              <w:ind w:firstLine="480" w:firstLineChars="200"/>
              <w:rPr>
                <w:bCs/>
                <w:sz w:val="24"/>
                <w:szCs w:val="24"/>
              </w:rPr>
            </w:pPr>
            <w:r>
              <w:rPr>
                <w:bCs/>
                <w:sz w:val="24"/>
                <w:szCs w:val="24"/>
              </w:rPr>
              <w:t>施工机械噪声采用点声源模式进行预测计算：</w:t>
            </w:r>
          </w:p>
          <w:p>
            <w:pPr>
              <w:spacing w:line="360" w:lineRule="auto"/>
              <w:ind w:firstLine="480" w:firstLineChars="200"/>
              <w:jc w:val="center"/>
              <w:rPr>
                <w:bCs/>
                <w:sz w:val="24"/>
                <w:szCs w:val="24"/>
              </w:rPr>
            </w:pPr>
            <w:r>
              <w:rPr>
                <w:bCs/>
                <w:sz w:val="24"/>
                <w:szCs w:val="24"/>
              </w:rPr>
              <w:drawing>
                <wp:inline distT="0" distB="0" distL="0" distR="0">
                  <wp:extent cx="1332865" cy="226695"/>
                  <wp:effectExtent l="19050" t="0" r="635" b="0"/>
                  <wp:docPr id="6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4"/>
                          <pic:cNvPicPr>
                            <a:picLocks noChangeAspect="1" noChangeArrowheads="1"/>
                          </pic:cNvPicPr>
                        </pic:nvPicPr>
                        <pic:blipFill>
                          <a:blip r:embed="rId26"/>
                          <a:srcRect/>
                          <a:stretch>
                            <a:fillRect/>
                          </a:stretch>
                        </pic:blipFill>
                        <pic:spPr>
                          <a:xfrm>
                            <a:off x="0" y="0"/>
                            <a:ext cx="1332865" cy="226695"/>
                          </a:xfrm>
                          <a:prstGeom prst="rect">
                            <a:avLst/>
                          </a:prstGeom>
                          <a:noFill/>
                          <a:ln w="9525" cmpd="sng">
                            <a:noFill/>
                            <a:miter lim="800000"/>
                            <a:headEnd/>
                            <a:tailEnd/>
                          </a:ln>
                        </pic:spPr>
                      </pic:pic>
                    </a:graphicData>
                  </a:graphic>
                </wp:inline>
              </w:drawing>
            </w:r>
          </w:p>
          <w:p>
            <w:pPr>
              <w:spacing w:line="360" w:lineRule="auto"/>
              <w:ind w:firstLine="480" w:firstLineChars="200"/>
              <w:rPr>
                <w:bCs/>
                <w:sz w:val="24"/>
                <w:szCs w:val="24"/>
              </w:rPr>
            </w:pPr>
            <w:r>
              <w:rPr>
                <w:bCs/>
                <w:sz w:val="24"/>
                <w:szCs w:val="24"/>
              </w:rPr>
              <w:t>式中：</w:t>
            </w:r>
            <w:r>
              <w:rPr>
                <w:bCs/>
                <w:i/>
                <w:iCs/>
                <w:sz w:val="24"/>
                <w:szCs w:val="24"/>
              </w:rPr>
              <w:t>L</w:t>
            </w:r>
            <w:r>
              <w:rPr>
                <w:bCs/>
                <w:i/>
                <w:iCs/>
                <w:sz w:val="24"/>
                <w:szCs w:val="24"/>
                <w:vertAlign w:val="subscript"/>
              </w:rPr>
              <w:t>i</w:t>
            </w:r>
            <w:r>
              <w:rPr>
                <w:bCs/>
                <w:sz w:val="24"/>
                <w:szCs w:val="24"/>
                <w:vertAlign w:val="subscript"/>
              </w:rPr>
              <w:t xml:space="preserve"> </w:t>
            </w:r>
            <w:r>
              <w:rPr>
                <w:bCs/>
                <w:sz w:val="24"/>
                <w:szCs w:val="24"/>
              </w:rPr>
              <w:t>——距声源r</w:t>
            </w:r>
            <w:r>
              <w:rPr>
                <w:bCs/>
                <w:sz w:val="24"/>
                <w:szCs w:val="24"/>
                <w:vertAlign w:val="subscript"/>
              </w:rPr>
              <w:t>i</w:t>
            </w:r>
            <w:r>
              <w:rPr>
                <w:bCs/>
                <w:sz w:val="24"/>
                <w:szCs w:val="24"/>
              </w:rPr>
              <w:t>处的声级dB(A)；</w:t>
            </w:r>
          </w:p>
          <w:p>
            <w:pPr>
              <w:spacing w:line="360" w:lineRule="auto"/>
              <w:ind w:firstLine="1200" w:firstLineChars="500"/>
              <w:rPr>
                <w:bCs/>
                <w:sz w:val="24"/>
                <w:szCs w:val="24"/>
              </w:rPr>
            </w:pPr>
            <w:r>
              <w:rPr>
                <w:bCs/>
                <w:i/>
                <w:iCs/>
                <w:sz w:val="24"/>
                <w:szCs w:val="24"/>
              </w:rPr>
              <w:t>L</w:t>
            </w:r>
            <w:r>
              <w:rPr>
                <w:bCs/>
                <w:i/>
                <w:iCs/>
                <w:sz w:val="24"/>
                <w:szCs w:val="24"/>
                <w:vertAlign w:val="subscript"/>
              </w:rPr>
              <w:t>0</w:t>
            </w:r>
            <w:r>
              <w:rPr>
                <w:bCs/>
                <w:sz w:val="24"/>
                <w:szCs w:val="24"/>
                <w:vertAlign w:val="subscript"/>
              </w:rPr>
              <w:t xml:space="preserve"> </w:t>
            </w:r>
            <w:r>
              <w:rPr>
                <w:bCs/>
                <w:sz w:val="24"/>
                <w:szCs w:val="24"/>
              </w:rPr>
              <w:t>——距声源r</w:t>
            </w:r>
            <w:r>
              <w:rPr>
                <w:bCs/>
                <w:sz w:val="24"/>
                <w:szCs w:val="24"/>
                <w:vertAlign w:val="subscript"/>
              </w:rPr>
              <w:t>0</w:t>
            </w:r>
            <w:r>
              <w:rPr>
                <w:bCs/>
                <w:sz w:val="24"/>
                <w:szCs w:val="24"/>
              </w:rPr>
              <w:t>处的声级dB(A)。</w:t>
            </w:r>
          </w:p>
          <w:p>
            <w:pPr>
              <w:spacing w:line="360" w:lineRule="auto"/>
              <w:ind w:firstLine="480" w:firstLineChars="200"/>
              <w:rPr>
                <w:bCs/>
                <w:sz w:val="24"/>
                <w:szCs w:val="24"/>
              </w:rPr>
            </w:pPr>
            <w:r>
              <w:rPr>
                <w:rFonts w:hint="eastAsia"/>
                <w:bCs/>
                <w:sz w:val="24"/>
                <w:szCs w:val="24"/>
              </w:rPr>
              <w:t>（2）</w:t>
            </w:r>
            <w:r>
              <w:rPr>
                <w:bCs/>
                <w:sz w:val="24"/>
                <w:szCs w:val="24"/>
              </w:rPr>
              <w:t>线声源预测模式</w:t>
            </w:r>
          </w:p>
          <w:p>
            <w:pPr>
              <w:spacing w:line="360" w:lineRule="auto"/>
              <w:ind w:firstLine="480" w:firstLineChars="200"/>
              <w:rPr>
                <w:bCs/>
                <w:sz w:val="24"/>
                <w:szCs w:val="24"/>
              </w:rPr>
            </w:pPr>
            <w:r>
              <w:rPr>
                <w:bCs/>
                <w:sz w:val="24"/>
                <w:szCs w:val="24"/>
              </w:rPr>
              <w:t>运输车辆噪声采用线声源模式进行预测计算：</w:t>
            </w:r>
          </w:p>
          <w:p>
            <w:pPr>
              <w:spacing w:line="360" w:lineRule="auto"/>
              <w:ind w:firstLine="480" w:firstLineChars="200"/>
              <w:jc w:val="center"/>
              <w:rPr>
                <w:bCs/>
                <w:sz w:val="24"/>
                <w:szCs w:val="24"/>
              </w:rPr>
            </w:pPr>
            <w:r>
              <w:rPr>
                <w:bCs/>
                <w:sz w:val="24"/>
                <w:szCs w:val="24"/>
              </w:rPr>
              <w:drawing>
                <wp:inline distT="0" distB="0" distL="0" distR="0">
                  <wp:extent cx="1325245" cy="226695"/>
                  <wp:effectExtent l="19050" t="0" r="8255" b="0"/>
                  <wp:docPr id="6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5"/>
                          <pic:cNvPicPr>
                            <a:picLocks noChangeAspect="1" noChangeArrowheads="1"/>
                          </pic:cNvPicPr>
                        </pic:nvPicPr>
                        <pic:blipFill>
                          <a:blip r:embed="rId27"/>
                          <a:srcRect/>
                          <a:stretch>
                            <a:fillRect/>
                          </a:stretch>
                        </pic:blipFill>
                        <pic:spPr>
                          <a:xfrm>
                            <a:off x="0" y="0"/>
                            <a:ext cx="1325245" cy="226695"/>
                          </a:xfrm>
                          <a:prstGeom prst="rect">
                            <a:avLst/>
                          </a:prstGeom>
                          <a:noFill/>
                          <a:ln w="9525" cmpd="sng">
                            <a:noFill/>
                            <a:miter lim="800000"/>
                            <a:headEnd/>
                            <a:tailEnd/>
                          </a:ln>
                        </pic:spPr>
                      </pic:pic>
                    </a:graphicData>
                  </a:graphic>
                </wp:inline>
              </w:drawing>
            </w:r>
          </w:p>
          <w:p>
            <w:pPr>
              <w:spacing w:line="360" w:lineRule="auto"/>
              <w:ind w:firstLine="480" w:firstLineChars="200"/>
              <w:rPr>
                <w:bCs/>
                <w:sz w:val="24"/>
                <w:szCs w:val="24"/>
              </w:rPr>
            </w:pPr>
            <w:r>
              <w:rPr>
                <w:bCs/>
                <w:sz w:val="24"/>
                <w:szCs w:val="24"/>
              </w:rPr>
              <w:t>式中：</w:t>
            </w:r>
            <w:r>
              <w:rPr>
                <w:bCs/>
                <w:i/>
                <w:iCs/>
                <w:sz w:val="24"/>
                <w:szCs w:val="24"/>
              </w:rPr>
              <w:t>L</w:t>
            </w:r>
            <w:r>
              <w:rPr>
                <w:bCs/>
                <w:i/>
                <w:iCs/>
                <w:sz w:val="24"/>
                <w:szCs w:val="24"/>
                <w:vertAlign w:val="subscript"/>
              </w:rPr>
              <w:t>i</w:t>
            </w:r>
            <w:r>
              <w:rPr>
                <w:bCs/>
                <w:sz w:val="24"/>
                <w:szCs w:val="24"/>
                <w:vertAlign w:val="subscript"/>
              </w:rPr>
              <w:t xml:space="preserve"> </w:t>
            </w:r>
            <w:r>
              <w:rPr>
                <w:bCs/>
                <w:sz w:val="24"/>
                <w:szCs w:val="24"/>
              </w:rPr>
              <w:t>——距声源r</w:t>
            </w:r>
            <w:r>
              <w:rPr>
                <w:bCs/>
                <w:sz w:val="24"/>
                <w:szCs w:val="24"/>
                <w:vertAlign w:val="subscript"/>
              </w:rPr>
              <w:t>i</w:t>
            </w:r>
            <w:r>
              <w:rPr>
                <w:bCs/>
                <w:sz w:val="24"/>
                <w:szCs w:val="24"/>
              </w:rPr>
              <w:t>处的声级dB(A)；</w:t>
            </w:r>
          </w:p>
          <w:p>
            <w:pPr>
              <w:spacing w:line="360" w:lineRule="auto"/>
              <w:ind w:firstLine="1200" w:firstLineChars="500"/>
              <w:rPr>
                <w:bCs/>
                <w:sz w:val="24"/>
                <w:szCs w:val="24"/>
              </w:rPr>
            </w:pPr>
            <w:r>
              <w:rPr>
                <w:bCs/>
                <w:i/>
                <w:iCs/>
                <w:sz w:val="24"/>
                <w:szCs w:val="24"/>
              </w:rPr>
              <w:t>L</w:t>
            </w:r>
            <w:r>
              <w:rPr>
                <w:bCs/>
                <w:i/>
                <w:iCs/>
                <w:sz w:val="24"/>
                <w:szCs w:val="24"/>
                <w:vertAlign w:val="subscript"/>
              </w:rPr>
              <w:t>0</w:t>
            </w:r>
            <w:r>
              <w:rPr>
                <w:bCs/>
                <w:sz w:val="24"/>
                <w:szCs w:val="24"/>
                <w:vertAlign w:val="subscript"/>
              </w:rPr>
              <w:t xml:space="preserve"> </w:t>
            </w:r>
            <w:r>
              <w:rPr>
                <w:bCs/>
                <w:sz w:val="24"/>
                <w:szCs w:val="24"/>
              </w:rPr>
              <w:t>——距声源r</w:t>
            </w:r>
            <w:r>
              <w:rPr>
                <w:bCs/>
                <w:sz w:val="24"/>
                <w:szCs w:val="24"/>
                <w:vertAlign w:val="subscript"/>
              </w:rPr>
              <w:t>0</w:t>
            </w:r>
            <w:r>
              <w:rPr>
                <w:bCs/>
                <w:sz w:val="24"/>
                <w:szCs w:val="24"/>
              </w:rPr>
              <w:t>处的声级dB(A)。</w:t>
            </w:r>
          </w:p>
          <w:p>
            <w:pPr>
              <w:spacing w:line="360" w:lineRule="auto"/>
              <w:ind w:firstLine="480" w:firstLineChars="200"/>
              <w:rPr>
                <w:bCs/>
                <w:sz w:val="24"/>
                <w:szCs w:val="24"/>
              </w:rPr>
            </w:pPr>
            <w:r>
              <w:rPr>
                <w:bCs/>
                <w:sz w:val="24"/>
                <w:szCs w:val="24"/>
              </w:rPr>
              <w:t>噪声叠加公式</w:t>
            </w:r>
          </w:p>
          <w:p>
            <w:pPr>
              <w:spacing w:line="360" w:lineRule="auto"/>
              <w:ind w:firstLine="480" w:firstLineChars="200"/>
              <w:rPr>
                <w:bCs/>
                <w:sz w:val="24"/>
                <w:szCs w:val="24"/>
              </w:rPr>
            </w:pPr>
            <w:r>
              <w:rPr>
                <w:bCs/>
                <w:sz w:val="24"/>
                <w:szCs w:val="24"/>
              </w:rPr>
              <w:t>对同一阶段的多个噪声源，采用以下公式进行叠加：</w:t>
            </w:r>
          </w:p>
          <w:p>
            <w:pPr>
              <w:spacing w:line="360" w:lineRule="auto"/>
              <w:ind w:firstLine="480" w:firstLineChars="200"/>
              <w:jc w:val="center"/>
              <w:rPr>
                <w:bCs/>
                <w:sz w:val="24"/>
                <w:szCs w:val="24"/>
              </w:rPr>
            </w:pPr>
            <w:r>
              <w:rPr>
                <w:bCs/>
                <w:sz w:val="24"/>
                <w:szCs w:val="24"/>
              </w:rPr>
              <w:drawing>
                <wp:inline distT="0" distB="0" distL="0" distR="0">
                  <wp:extent cx="1297305" cy="434340"/>
                  <wp:effectExtent l="19050" t="0" r="0" b="0"/>
                  <wp:docPr id="6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6"/>
                          <pic:cNvPicPr>
                            <a:picLocks noChangeAspect="1" noChangeArrowheads="1"/>
                          </pic:cNvPicPr>
                        </pic:nvPicPr>
                        <pic:blipFill>
                          <a:blip r:embed="rId28"/>
                          <a:srcRect/>
                          <a:stretch>
                            <a:fillRect/>
                          </a:stretch>
                        </pic:blipFill>
                        <pic:spPr>
                          <a:xfrm>
                            <a:off x="0" y="0"/>
                            <a:ext cx="1298114" cy="435101"/>
                          </a:xfrm>
                          <a:prstGeom prst="rect">
                            <a:avLst/>
                          </a:prstGeom>
                          <a:noFill/>
                          <a:ln w="9525" cmpd="sng">
                            <a:noFill/>
                            <a:miter lim="800000"/>
                            <a:headEnd/>
                            <a:tailEnd/>
                          </a:ln>
                        </pic:spPr>
                      </pic:pic>
                    </a:graphicData>
                  </a:graphic>
                </wp:inline>
              </w:drawing>
            </w:r>
          </w:p>
          <w:p>
            <w:pPr>
              <w:spacing w:line="360" w:lineRule="auto"/>
              <w:ind w:firstLine="480" w:firstLineChars="200"/>
              <w:rPr>
                <w:bCs/>
                <w:sz w:val="24"/>
                <w:szCs w:val="24"/>
              </w:rPr>
            </w:pPr>
            <w:r>
              <w:rPr>
                <w:bCs/>
                <w:sz w:val="24"/>
                <w:szCs w:val="24"/>
              </w:rPr>
              <w:t>式中：</w:t>
            </w:r>
            <w:r>
              <w:rPr>
                <w:bCs/>
                <w:i/>
                <w:sz w:val="24"/>
                <w:szCs w:val="24"/>
              </w:rPr>
              <w:t>L</w:t>
            </w:r>
            <w:r>
              <w:rPr>
                <w:bCs/>
                <w:i/>
                <w:sz w:val="24"/>
                <w:szCs w:val="24"/>
                <w:vertAlign w:val="subscript"/>
              </w:rPr>
              <w:t>TP</w:t>
            </w:r>
            <w:r>
              <w:rPr>
                <w:bCs/>
                <w:i/>
                <w:sz w:val="24"/>
                <w:szCs w:val="24"/>
              </w:rPr>
              <w:t>——</w:t>
            </w:r>
            <w:r>
              <w:rPr>
                <w:bCs/>
                <w:sz w:val="24"/>
                <w:szCs w:val="24"/>
              </w:rPr>
              <w:t>总噪声级dB(A)；</w:t>
            </w:r>
          </w:p>
          <w:p>
            <w:pPr>
              <w:spacing w:line="360" w:lineRule="auto"/>
              <w:ind w:firstLine="480" w:firstLineChars="200"/>
              <w:rPr>
                <w:bCs/>
                <w:sz w:val="24"/>
                <w:szCs w:val="24"/>
              </w:rPr>
            </w:pPr>
            <w:r>
              <w:rPr>
                <w:bCs/>
                <w:sz w:val="24"/>
                <w:szCs w:val="24"/>
              </w:rPr>
              <w:t xml:space="preserve">      </w:t>
            </w:r>
            <w:r>
              <w:rPr>
                <w:bCs/>
                <w:i/>
                <w:sz w:val="24"/>
                <w:szCs w:val="24"/>
              </w:rPr>
              <w:t>Li</w:t>
            </w:r>
            <w:r>
              <w:rPr>
                <w:bCs/>
                <w:sz w:val="24"/>
                <w:szCs w:val="24"/>
              </w:rPr>
              <w:t>——各噪声噪声级dB(A)。</w:t>
            </w:r>
          </w:p>
          <w:p>
            <w:pPr>
              <w:spacing w:line="360" w:lineRule="auto"/>
              <w:ind w:firstLine="480" w:firstLineChars="200"/>
              <w:rPr>
                <w:bCs/>
                <w:sz w:val="24"/>
                <w:szCs w:val="24"/>
              </w:rPr>
            </w:pPr>
            <w:r>
              <w:rPr>
                <w:rFonts w:hint="eastAsia"/>
                <w:bCs/>
                <w:sz w:val="24"/>
                <w:szCs w:val="24"/>
              </w:rPr>
              <w:t>（3）预测结果</w:t>
            </w:r>
          </w:p>
          <w:p>
            <w:pPr>
              <w:spacing w:line="360" w:lineRule="auto"/>
              <w:ind w:firstLine="480" w:firstLineChars="200"/>
              <w:rPr>
                <w:bCs/>
                <w:sz w:val="24"/>
                <w:szCs w:val="24"/>
              </w:rPr>
            </w:pPr>
            <w:r>
              <w:rPr>
                <w:rFonts w:hint="eastAsia"/>
                <w:bCs/>
                <w:sz w:val="24"/>
                <w:szCs w:val="24"/>
              </w:rPr>
              <w:t>①</w:t>
            </w:r>
            <w:r>
              <w:rPr>
                <w:bCs/>
                <w:sz w:val="24"/>
                <w:szCs w:val="24"/>
              </w:rPr>
              <w:t>主要施工机械设备噪声源强</w:t>
            </w:r>
            <w:r>
              <w:rPr>
                <w:bCs/>
                <w:sz w:val="24"/>
                <w:szCs w:val="24"/>
              </w:rPr>
              <w:tab/>
            </w:r>
          </w:p>
          <w:p>
            <w:pPr>
              <w:spacing w:line="360" w:lineRule="auto"/>
              <w:ind w:firstLine="480" w:firstLineChars="200"/>
              <w:rPr>
                <w:bCs/>
                <w:sz w:val="24"/>
                <w:szCs w:val="24"/>
              </w:rPr>
            </w:pPr>
            <w:r>
              <w:rPr>
                <w:bCs/>
                <w:sz w:val="24"/>
                <w:szCs w:val="24"/>
              </w:rPr>
              <w:t>根据拟建项目的性质，拟建项目中主要涉及的施工机械的噪声源强见表</w:t>
            </w:r>
            <w:r>
              <w:rPr>
                <w:rFonts w:hint="eastAsia"/>
                <w:bCs/>
                <w:sz w:val="24"/>
                <w:szCs w:val="24"/>
              </w:rPr>
              <w:t>49</w:t>
            </w:r>
            <w:r>
              <w:rPr>
                <w:bCs/>
                <w:sz w:val="24"/>
                <w:szCs w:val="24"/>
              </w:rPr>
              <w:t>。</w:t>
            </w:r>
          </w:p>
          <w:p>
            <w:pPr>
              <w:spacing w:line="440" w:lineRule="exact"/>
              <w:ind w:firstLine="413" w:firstLineChars="196"/>
              <w:jc w:val="center"/>
              <w:rPr>
                <w:rFonts w:hAnsi="宋体"/>
                <w:b/>
                <w:szCs w:val="21"/>
              </w:rPr>
            </w:pPr>
            <w:r>
              <w:rPr>
                <w:rFonts w:hAnsi="宋体"/>
                <w:b/>
                <w:szCs w:val="21"/>
              </w:rPr>
              <w:t>表</w:t>
            </w:r>
            <w:r>
              <w:rPr>
                <w:rFonts w:hint="eastAsia" w:hAnsi="宋体"/>
                <w:b/>
                <w:szCs w:val="21"/>
              </w:rPr>
              <w:t>49</w:t>
            </w:r>
            <w:r>
              <w:rPr>
                <w:rFonts w:hAnsi="宋体"/>
                <w:b/>
                <w:szCs w:val="21"/>
              </w:rPr>
              <w:t xml:space="preserve">    拟建项目施工机械噪声源强</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69"/>
              <w:gridCol w:w="2065"/>
              <w:gridCol w:w="2873"/>
              <w:gridCol w:w="25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0" w:hRule="atLeast"/>
                <w:jc w:val="center"/>
              </w:trPr>
              <w:tc>
                <w:tcPr>
                  <w:tcW w:w="1369" w:type="dxa"/>
                  <w:vAlign w:val="center"/>
                </w:tcPr>
                <w:p>
                  <w:pPr>
                    <w:spacing w:line="240" w:lineRule="exact"/>
                    <w:jc w:val="center"/>
                    <w:rPr>
                      <w:b/>
                      <w:szCs w:val="21"/>
                    </w:rPr>
                  </w:pPr>
                  <w:r>
                    <w:rPr>
                      <w:rFonts w:hAnsi="宋体"/>
                      <w:b/>
                      <w:szCs w:val="21"/>
                    </w:rPr>
                    <w:t>序号</w:t>
                  </w:r>
                </w:p>
              </w:tc>
              <w:tc>
                <w:tcPr>
                  <w:tcW w:w="2065" w:type="dxa"/>
                  <w:vAlign w:val="center"/>
                </w:tcPr>
                <w:p>
                  <w:pPr>
                    <w:spacing w:line="240" w:lineRule="exact"/>
                    <w:jc w:val="center"/>
                    <w:rPr>
                      <w:b/>
                      <w:szCs w:val="21"/>
                    </w:rPr>
                  </w:pPr>
                  <w:r>
                    <w:rPr>
                      <w:rFonts w:hAnsi="宋体"/>
                      <w:b/>
                      <w:szCs w:val="21"/>
                    </w:rPr>
                    <w:t>设备名称</w:t>
                  </w:r>
                </w:p>
              </w:tc>
              <w:tc>
                <w:tcPr>
                  <w:tcW w:w="2873" w:type="dxa"/>
                  <w:vAlign w:val="center"/>
                </w:tcPr>
                <w:p>
                  <w:pPr>
                    <w:spacing w:line="240" w:lineRule="exact"/>
                    <w:jc w:val="center"/>
                    <w:rPr>
                      <w:b/>
                      <w:szCs w:val="21"/>
                    </w:rPr>
                  </w:pPr>
                  <w:r>
                    <w:rPr>
                      <w:rFonts w:hAnsi="宋体"/>
                      <w:b/>
                      <w:szCs w:val="21"/>
                    </w:rPr>
                    <w:t>声级</w:t>
                  </w:r>
                  <w:r>
                    <w:rPr>
                      <w:b/>
                      <w:szCs w:val="21"/>
                    </w:rPr>
                    <w:t>dB(A)</w:t>
                  </w:r>
                </w:p>
              </w:tc>
              <w:tc>
                <w:tcPr>
                  <w:tcW w:w="2594" w:type="dxa"/>
                  <w:vAlign w:val="center"/>
                </w:tcPr>
                <w:p>
                  <w:pPr>
                    <w:spacing w:line="240" w:lineRule="exact"/>
                    <w:jc w:val="center"/>
                    <w:rPr>
                      <w:b/>
                      <w:szCs w:val="21"/>
                    </w:rPr>
                  </w:pPr>
                  <w:r>
                    <w:rPr>
                      <w:rFonts w:hAnsi="宋体"/>
                      <w:b/>
                      <w:szCs w:val="21"/>
                    </w:rPr>
                    <w:t>测点距离</w:t>
                  </w:r>
                  <w:r>
                    <w:rPr>
                      <w:b/>
                      <w:szCs w:val="21"/>
                    </w:rPr>
                    <w:t>(m</w:t>
                  </w:r>
                  <w:r>
                    <w:rPr>
                      <w:rFonts w:hAnsi="宋体"/>
                      <w:b/>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0" w:hRule="atLeast"/>
                <w:jc w:val="center"/>
              </w:trPr>
              <w:tc>
                <w:tcPr>
                  <w:tcW w:w="1369" w:type="dxa"/>
                  <w:vAlign w:val="center"/>
                </w:tcPr>
                <w:p>
                  <w:pPr>
                    <w:spacing w:line="240" w:lineRule="exact"/>
                    <w:jc w:val="center"/>
                    <w:rPr>
                      <w:szCs w:val="21"/>
                    </w:rPr>
                  </w:pPr>
                  <w:r>
                    <w:rPr>
                      <w:szCs w:val="21"/>
                    </w:rPr>
                    <w:t>1</w:t>
                  </w:r>
                </w:p>
              </w:tc>
              <w:tc>
                <w:tcPr>
                  <w:tcW w:w="2065" w:type="dxa"/>
                  <w:vAlign w:val="center"/>
                </w:tcPr>
                <w:p>
                  <w:pPr>
                    <w:adjustRightInd w:val="0"/>
                    <w:snapToGrid w:val="0"/>
                    <w:spacing w:line="240" w:lineRule="exact"/>
                    <w:jc w:val="center"/>
                    <w:rPr>
                      <w:szCs w:val="21"/>
                    </w:rPr>
                  </w:pPr>
                  <w:r>
                    <w:rPr>
                      <w:rFonts w:hAnsi="宋体"/>
                      <w:szCs w:val="21"/>
                    </w:rPr>
                    <w:t>挖掘机</w:t>
                  </w:r>
                </w:p>
              </w:tc>
              <w:tc>
                <w:tcPr>
                  <w:tcW w:w="2873" w:type="dxa"/>
                  <w:vAlign w:val="center"/>
                </w:tcPr>
                <w:p>
                  <w:pPr>
                    <w:adjustRightInd w:val="0"/>
                    <w:snapToGrid w:val="0"/>
                    <w:spacing w:line="240" w:lineRule="exact"/>
                    <w:jc w:val="center"/>
                    <w:rPr>
                      <w:szCs w:val="21"/>
                    </w:rPr>
                  </w:pPr>
                  <w:r>
                    <w:rPr>
                      <w:szCs w:val="21"/>
                    </w:rPr>
                    <w:t>84</w:t>
                  </w:r>
                </w:p>
              </w:tc>
              <w:tc>
                <w:tcPr>
                  <w:tcW w:w="2594" w:type="dxa"/>
                  <w:vMerge w:val="restart"/>
                  <w:vAlign w:val="center"/>
                </w:tcPr>
                <w:p>
                  <w:pPr>
                    <w:spacing w:line="240" w:lineRule="exact"/>
                    <w:jc w:val="center"/>
                    <w:rPr>
                      <w:szCs w:val="21"/>
                    </w:rPr>
                  </w:pPr>
                  <w:r>
                    <w:rPr>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jc w:val="center"/>
              </w:trPr>
              <w:tc>
                <w:tcPr>
                  <w:tcW w:w="1369" w:type="dxa"/>
                  <w:vAlign w:val="center"/>
                </w:tcPr>
                <w:p>
                  <w:pPr>
                    <w:spacing w:line="240" w:lineRule="exact"/>
                    <w:jc w:val="center"/>
                    <w:rPr>
                      <w:szCs w:val="21"/>
                    </w:rPr>
                  </w:pPr>
                  <w:r>
                    <w:rPr>
                      <w:szCs w:val="21"/>
                    </w:rPr>
                    <w:t>2</w:t>
                  </w:r>
                </w:p>
              </w:tc>
              <w:tc>
                <w:tcPr>
                  <w:tcW w:w="2065" w:type="dxa"/>
                  <w:vAlign w:val="center"/>
                </w:tcPr>
                <w:p>
                  <w:pPr>
                    <w:adjustRightInd w:val="0"/>
                    <w:snapToGrid w:val="0"/>
                    <w:spacing w:line="240" w:lineRule="exact"/>
                    <w:jc w:val="center"/>
                    <w:rPr>
                      <w:szCs w:val="21"/>
                    </w:rPr>
                  </w:pPr>
                  <w:r>
                    <w:rPr>
                      <w:rFonts w:hAnsi="宋体"/>
                      <w:szCs w:val="21"/>
                    </w:rPr>
                    <w:t>推土机</w:t>
                  </w:r>
                </w:p>
              </w:tc>
              <w:tc>
                <w:tcPr>
                  <w:tcW w:w="2873" w:type="dxa"/>
                  <w:vAlign w:val="center"/>
                </w:tcPr>
                <w:p>
                  <w:pPr>
                    <w:adjustRightInd w:val="0"/>
                    <w:snapToGrid w:val="0"/>
                    <w:spacing w:line="240" w:lineRule="exact"/>
                    <w:jc w:val="center"/>
                    <w:rPr>
                      <w:szCs w:val="21"/>
                    </w:rPr>
                  </w:pPr>
                  <w:r>
                    <w:rPr>
                      <w:szCs w:val="21"/>
                    </w:rPr>
                    <w:t>86</w:t>
                  </w:r>
                </w:p>
              </w:tc>
              <w:tc>
                <w:tcPr>
                  <w:tcW w:w="2594" w:type="dxa"/>
                  <w:vMerge w:val="continue"/>
                  <w:vAlign w:val="center"/>
                </w:tcPr>
                <w:p>
                  <w:pPr>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jc w:val="center"/>
              </w:trPr>
              <w:tc>
                <w:tcPr>
                  <w:tcW w:w="1369" w:type="dxa"/>
                  <w:vAlign w:val="center"/>
                </w:tcPr>
                <w:p>
                  <w:pPr>
                    <w:spacing w:line="240" w:lineRule="exact"/>
                    <w:jc w:val="center"/>
                    <w:rPr>
                      <w:szCs w:val="21"/>
                    </w:rPr>
                  </w:pPr>
                  <w:r>
                    <w:rPr>
                      <w:szCs w:val="21"/>
                    </w:rPr>
                    <w:t>3</w:t>
                  </w:r>
                </w:p>
              </w:tc>
              <w:tc>
                <w:tcPr>
                  <w:tcW w:w="2065" w:type="dxa"/>
                  <w:vAlign w:val="center"/>
                </w:tcPr>
                <w:p>
                  <w:pPr>
                    <w:adjustRightInd w:val="0"/>
                    <w:snapToGrid w:val="0"/>
                    <w:spacing w:line="240" w:lineRule="exact"/>
                    <w:jc w:val="center"/>
                    <w:rPr>
                      <w:szCs w:val="21"/>
                    </w:rPr>
                  </w:pPr>
                  <w:r>
                    <w:rPr>
                      <w:rFonts w:hAnsi="宋体"/>
                      <w:szCs w:val="21"/>
                    </w:rPr>
                    <w:t>搅拌机</w:t>
                  </w:r>
                </w:p>
              </w:tc>
              <w:tc>
                <w:tcPr>
                  <w:tcW w:w="2873" w:type="dxa"/>
                  <w:vAlign w:val="center"/>
                </w:tcPr>
                <w:p>
                  <w:pPr>
                    <w:adjustRightInd w:val="0"/>
                    <w:snapToGrid w:val="0"/>
                    <w:spacing w:line="240" w:lineRule="exact"/>
                    <w:jc w:val="center"/>
                    <w:rPr>
                      <w:szCs w:val="21"/>
                    </w:rPr>
                  </w:pPr>
                  <w:r>
                    <w:rPr>
                      <w:szCs w:val="21"/>
                    </w:rPr>
                    <w:t>79</w:t>
                  </w:r>
                </w:p>
              </w:tc>
              <w:tc>
                <w:tcPr>
                  <w:tcW w:w="2594" w:type="dxa"/>
                  <w:vMerge w:val="continue"/>
                  <w:vAlign w:val="center"/>
                </w:tcPr>
                <w:p>
                  <w:pPr>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jc w:val="center"/>
              </w:trPr>
              <w:tc>
                <w:tcPr>
                  <w:tcW w:w="1369" w:type="dxa"/>
                  <w:vAlign w:val="center"/>
                </w:tcPr>
                <w:p>
                  <w:pPr>
                    <w:spacing w:line="240" w:lineRule="exact"/>
                    <w:jc w:val="center"/>
                    <w:rPr>
                      <w:szCs w:val="21"/>
                    </w:rPr>
                  </w:pPr>
                  <w:r>
                    <w:rPr>
                      <w:szCs w:val="21"/>
                    </w:rPr>
                    <w:t>4</w:t>
                  </w:r>
                </w:p>
              </w:tc>
              <w:tc>
                <w:tcPr>
                  <w:tcW w:w="2065" w:type="dxa"/>
                  <w:vAlign w:val="center"/>
                </w:tcPr>
                <w:p>
                  <w:pPr>
                    <w:adjustRightInd w:val="0"/>
                    <w:snapToGrid w:val="0"/>
                    <w:spacing w:line="240" w:lineRule="exact"/>
                    <w:jc w:val="center"/>
                    <w:rPr>
                      <w:szCs w:val="21"/>
                    </w:rPr>
                  </w:pPr>
                  <w:r>
                    <w:rPr>
                      <w:rFonts w:hAnsi="宋体"/>
                      <w:szCs w:val="21"/>
                    </w:rPr>
                    <w:t>电焊机</w:t>
                  </w:r>
                </w:p>
              </w:tc>
              <w:tc>
                <w:tcPr>
                  <w:tcW w:w="2873" w:type="dxa"/>
                  <w:vAlign w:val="center"/>
                </w:tcPr>
                <w:p>
                  <w:pPr>
                    <w:adjustRightInd w:val="0"/>
                    <w:snapToGrid w:val="0"/>
                    <w:spacing w:line="240" w:lineRule="exact"/>
                    <w:jc w:val="center"/>
                    <w:rPr>
                      <w:szCs w:val="21"/>
                    </w:rPr>
                  </w:pPr>
                  <w:r>
                    <w:rPr>
                      <w:szCs w:val="21"/>
                    </w:rPr>
                    <w:t>90</w:t>
                  </w:r>
                </w:p>
              </w:tc>
              <w:tc>
                <w:tcPr>
                  <w:tcW w:w="2594" w:type="dxa"/>
                  <w:vMerge w:val="continue"/>
                  <w:vAlign w:val="center"/>
                </w:tcPr>
                <w:p>
                  <w:pPr>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jc w:val="center"/>
              </w:trPr>
              <w:tc>
                <w:tcPr>
                  <w:tcW w:w="1369" w:type="dxa"/>
                  <w:vAlign w:val="center"/>
                </w:tcPr>
                <w:p>
                  <w:pPr>
                    <w:spacing w:line="240" w:lineRule="exact"/>
                    <w:jc w:val="center"/>
                    <w:rPr>
                      <w:szCs w:val="21"/>
                    </w:rPr>
                  </w:pPr>
                  <w:r>
                    <w:rPr>
                      <w:szCs w:val="21"/>
                    </w:rPr>
                    <w:t>5</w:t>
                  </w:r>
                </w:p>
              </w:tc>
              <w:tc>
                <w:tcPr>
                  <w:tcW w:w="2065" w:type="dxa"/>
                  <w:vAlign w:val="center"/>
                </w:tcPr>
                <w:p>
                  <w:pPr>
                    <w:adjustRightInd w:val="0"/>
                    <w:snapToGrid w:val="0"/>
                    <w:spacing w:line="240" w:lineRule="exact"/>
                    <w:jc w:val="center"/>
                    <w:rPr>
                      <w:szCs w:val="21"/>
                    </w:rPr>
                  </w:pPr>
                  <w:r>
                    <w:rPr>
                      <w:rFonts w:hAnsi="宋体"/>
                      <w:szCs w:val="21"/>
                    </w:rPr>
                    <w:t>轮式装载机</w:t>
                  </w:r>
                </w:p>
              </w:tc>
              <w:tc>
                <w:tcPr>
                  <w:tcW w:w="2873" w:type="dxa"/>
                  <w:vAlign w:val="center"/>
                </w:tcPr>
                <w:p>
                  <w:pPr>
                    <w:adjustRightInd w:val="0"/>
                    <w:snapToGrid w:val="0"/>
                    <w:spacing w:line="240" w:lineRule="exact"/>
                    <w:jc w:val="center"/>
                    <w:rPr>
                      <w:szCs w:val="21"/>
                    </w:rPr>
                  </w:pPr>
                  <w:r>
                    <w:rPr>
                      <w:szCs w:val="21"/>
                    </w:rPr>
                    <w:t>90</w:t>
                  </w:r>
                </w:p>
              </w:tc>
              <w:tc>
                <w:tcPr>
                  <w:tcW w:w="2594" w:type="dxa"/>
                  <w:vMerge w:val="continue"/>
                  <w:vAlign w:val="center"/>
                </w:tcPr>
                <w:p>
                  <w:pPr>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jc w:val="center"/>
              </w:trPr>
              <w:tc>
                <w:tcPr>
                  <w:tcW w:w="1369" w:type="dxa"/>
                  <w:vAlign w:val="center"/>
                </w:tcPr>
                <w:p>
                  <w:pPr>
                    <w:spacing w:line="240" w:lineRule="exact"/>
                    <w:jc w:val="center"/>
                    <w:rPr>
                      <w:szCs w:val="21"/>
                    </w:rPr>
                  </w:pPr>
                  <w:r>
                    <w:rPr>
                      <w:szCs w:val="21"/>
                    </w:rPr>
                    <w:t>6</w:t>
                  </w:r>
                </w:p>
              </w:tc>
              <w:tc>
                <w:tcPr>
                  <w:tcW w:w="2065" w:type="dxa"/>
                  <w:vAlign w:val="center"/>
                </w:tcPr>
                <w:p>
                  <w:pPr>
                    <w:adjustRightInd w:val="0"/>
                    <w:snapToGrid w:val="0"/>
                    <w:spacing w:line="240" w:lineRule="exact"/>
                    <w:jc w:val="center"/>
                    <w:rPr>
                      <w:szCs w:val="21"/>
                    </w:rPr>
                  </w:pPr>
                  <w:r>
                    <w:rPr>
                      <w:rFonts w:hAnsi="宋体"/>
                      <w:szCs w:val="21"/>
                    </w:rPr>
                    <w:t>起重机</w:t>
                  </w:r>
                </w:p>
              </w:tc>
              <w:tc>
                <w:tcPr>
                  <w:tcW w:w="2873" w:type="dxa"/>
                  <w:vAlign w:val="center"/>
                </w:tcPr>
                <w:p>
                  <w:pPr>
                    <w:adjustRightInd w:val="0"/>
                    <w:snapToGrid w:val="0"/>
                    <w:spacing w:line="240" w:lineRule="exact"/>
                    <w:jc w:val="center"/>
                    <w:rPr>
                      <w:szCs w:val="21"/>
                    </w:rPr>
                  </w:pPr>
                  <w:r>
                    <w:rPr>
                      <w:szCs w:val="21"/>
                    </w:rPr>
                    <w:t>81</w:t>
                  </w:r>
                </w:p>
              </w:tc>
              <w:tc>
                <w:tcPr>
                  <w:tcW w:w="2594" w:type="dxa"/>
                  <w:vMerge w:val="continue"/>
                  <w:vAlign w:val="center"/>
                </w:tcPr>
                <w:p>
                  <w:pPr>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jc w:val="center"/>
              </w:trPr>
              <w:tc>
                <w:tcPr>
                  <w:tcW w:w="1369" w:type="dxa"/>
                  <w:vAlign w:val="center"/>
                </w:tcPr>
                <w:p>
                  <w:pPr>
                    <w:spacing w:line="240" w:lineRule="exact"/>
                    <w:jc w:val="center"/>
                    <w:rPr>
                      <w:szCs w:val="21"/>
                    </w:rPr>
                  </w:pPr>
                  <w:r>
                    <w:rPr>
                      <w:szCs w:val="21"/>
                    </w:rPr>
                    <w:t>7</w:t>
                  </w:r>
                </w:p>
              </w:tc>
              <w:tc>
                <w:tcPr>
                  <w:tcW w:w="2065" w:type="dxa"/>
                  <w:vAlign w:val="center"/>
                </w:tcPr>
                <w:p>
                  <w:pPr>
                    <w:adjustRightInd w:val="0"/>
                    <w:snapToGrid w:val="0"/>
                    <w:spacing w:line="240" w:lineRule="exact"/>
                    <w:jc w:val="center"/>
                    <w:rPr>
                      <w:szCs w:val="21"/>
                    </w:rPr>
                  </w:pPr>
                  <w:r>
                    <w:rPr>
                      <w:rFonts w:hAnsi="宋体"/>
                      <w:szCs w:val="21"/>
                    </w:rPr>
                    <w:t>运输车辆</w:t>
                  </w:r>
                </w:p>
              </w:tc>
              <w:tc>
                <w:tcPr>
                  <w:tcW w:w="2873" w:type="dxa"/>
                  <w:vAlign w:val="center"/>
                </w:tcPr>
                <w:p>
                  <w:pPr>
                    <w:adjustRightInd w:val="0"/>
                    <w:snapToGrid w:val="0"/>
                    <w:spacing w:line="240" w:lineRule="exact"/>
                    <w:jc w:val="center"/>
                    <w:rPr>
                      <w:szCs w:val="21"/>
                    </w:rPr>
                  </w:pPr>
                  <w:r>
                    <w:rPr>
                      <w:szCs w:val="21"/>
                    </w:rPr>
                    <w:t>86</w:t>
                  </w:r>
                </w:p>
              </w:tc>
              <w:tc>
                <w:tcPr>
                  <w:tcW w:w="2594" w:type="dxa"/>
                  <w:vMerge w:val="continue"/>
                  <w:vAlign w:val="center"/>
                </w:tcPr>
                <w:p>
                  <w:pPr>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jc w:val="center"/>
              </w:trPr>
              <w:tc>
                <w:tcPr>
                  <w:tcW w:w="1369" w:type="dxa"/>
                  <w:vAlign w:val="center"/>
                </w:tcPr>
                <w:p>
                  <w:pPr>
                    <w:spacing w:line="240" w:lineRule="exact"/>
                    <w:jc w:val="center"/>
                    <w:rPr>
                      <w:szCs w:val="21"/>
                    </w:rPr>
                  </w:pPr>
                  <w:r>
                    <w:rPr>
                      <w:szCs w:val="21"/>
                    </w:rPr>
                    <w:t>8</w:t>
                  </w:r>
                </w:p>
              </w:tc>
              <w:tc>
                <w:tcPr>
                  <w:tcW w:w="2065" w:type="dxa"/>
                  <w:vAlign w:val="center"/>
                </w:tcPr>
                <w:p>
                  <w:pPr>
                    <w:adjustRightInd w:val="0"/>
                    <w:snapToGrid w:val="0"/>
                    <w:spacing w:line="240" w:lineRule="exact"/>
                    <w:jc w:val="center"/>
                    <w:rPr>
                      <w:szCs w:val="21"/>
                    </w:rPr>
                  </w:pPr>
                  <w:r>
                    <w:rPr>
                      <w:rFonts w:hAnsi="宋体"/>
                      <w:szCs w:val="21"/>
                    </w:rPr>
                    <w:t>吊车</w:t>
                  </w:r>
                </w:p>
              </w:tc>
              <w:tc>
                <w:tcPr>
                  <w:tcW w:w="2873" w:type="dxa"/>
                  <w:vAlign w:val="center"/>
                </w:tcPr>
                <w:p>
                  <w:pPr>
                    <w:adjustRightInd w:val="0"/>
                    <w:snapToGrid w:val="0"/>
                    <w:spacing w:line="240" w:lineRule="exact"/>
                    <w:jc w:val="center"/>
                    <w:rPr>
                      <w:szCs w:val="21"/>
                    </w:rPr>
                  </w:pPr>
                  <w:r>
                    <w:rPr>
                      <w:szCs w:val="21"/>
                    </w:rPr>
                    <w:t>87</w:t>
                  </w:r>
                </w:p>
              </w:tc>
              <w:tc>
                <w:tcPr>
                  <w:tcW w:w="2594" w:type="dxa"/>
                  <w:vMerge w:val="continue"/>
                  <w:vAlign w:val="center"/>
                </w:tcPr>
                <w:p>
                  <w:pPr>
                    <w:spacing w:line="240" w:lineRule="exact"/>
                    <w:jc w:val="center"/>
                    <w:rPr>
                      <w:szCs w:val="21"/>
                    </w:rPr>
                  </w:pPr>
                </w:p>
              </w:tc>
            </w:tr>
          </w:tbl>
          <w:p>
            <w:pPr>
              <w:spacing w:line="360" w:lineRule="auto"/>
              <w:ind w:firstLine="480" w:firstLineChars="200"/>
              <w:rPr>
                <w:bCs/>
                <w:sz w:val="24"/>
                <w:szCs w:val="24"/>
              </w:rPr>
            </w:pPr>
            <w:r>
              <w:rPr>
                <w:bCs/>
                <w:sz w:val="24"/>
                <w:szCs w:val="24"/>
              </w:rPr>
              <w:t>由表</w:t>
            </w:r>
            <w:r>
              <w:rPr>
                <w:rFonts w:hint="eastAsia"/>
                <w:bCs/>
                <w:sz w:val="24"/>
                <w:szCs w:val="24"/>
              </w:rPr>
              <w:t>49</w:t>
            </w:r>
            <w:r>
              <w:rPr>
                <w:bCs/>
                <w:sz w:val="24"/>
                <w:szCs w:val="24"/>
              </w:rPr>
              <w:t>数据表明，施工机械中，电焊机和轮式装载机的噪声源强最高，在距离声源5 m处，可高达90 dB(A)，其余大部分施工机械声级水平在79-87 dB(A)。</w:t>
            </w:r>
          </w:p>
          <w:p>
            <w:pPr>
              <w:spacing w:line="360" w:lineRule="auto"/>
              <w:ind w:firstLine="480" w:firstLineChars="200"/>
              <w:rPr>
                <w:bCs/>
                <w:sz w:val="24"/>
                <w:szCs w:val="24"/>
              </w:rPr>
            </w:pPr>
            <w:r>
              <w:rPr>
                <w:rFonts w:hint="eastAsia"/>
                <w:bCs/>
                <w:sz w:val="24"/>
                <w:szCs w:val="24"/>
              </w:rPr>
              <w:t>②</w:t>
            </w:r>
            <w:r>
              <w:rPr>
                <w:bCs/>
                <w:sz w:val="24"/>
                <w:szCs w:val="24"/>
              </w:rPr>
              <w:t>建筑施工场界噪声限值标准</w:t>
            </w:r>
          </w:p>
          <w:p>
            <w:pPr>
              <w:spacing w:line="360" w:lineRule="auto"/>
              <w:ind w:firstLine="480" w:firstLineChars="200"/>
              <w:rPr>
                <w:b/>
                <w:bCs/>
                <w:sz w:val="24"/>
                <w:szCs w:val="24"/>
              </w:rPr>
            </w:pPr>
            <w:r>
              <w:rPr>
                <w:bCs/>
                <w:sz w:val="24"/>
                <w:szCs w:val="24"/>
              </w:rPr>
              <w:t>拟建项目施工阶段在施工场界执行《建筑施工场界环境噪声排放标准》（GB12523-2011），昼间70 dB(A)，夜间55 dB(A)。</w:t>
            </w:r>
          </w:p>
          <w:p>
            <w:pPr>
              <w:spacing w:line="360" w:lineRule="auto"/>
              <w:ind w:firstLine="480" w:firstLineChars="200"/>
              <w:rPr>
                <w:bCs/>
                <w:sz w:val="24"/>
                <w:szCs w:val="24"/>
              </w:rPr>
            </w:pPr>
            <w:r>
              <w:rPr>
                <w:rFonts w:hint="eastAsia"/>
                <w:bCs/>
                <w:sz w:val="24"/>
                <w:szCs w:val="24"/>
              </w:rPr>
              <w:t>③</w:t>
            </w:r>
            <w:r>
              <w:rPr>
                <w:bCs/>
                <w:sz w:val="24"/>
                <w:szCs w:val="24"/>
              </w:rPr>
              <w:t>主要施工机械设备噪声影响范围</w:t>
            </w:r>
          </w:p>
          <w:p>
            <w:pPr>
              <w:spacing w:line="360" w:lineRule="auto"/>
              <w:ind w:firstLine="480" w:firstLineChars="200"/>
              <w:rPr>
                <w:bCs/>
                <w:sz w:val="24"/>
                <w:szCs w:val="24"/>
              </w:rPr>
            </w:pPr>
            <w:r>
              <w:rPr>
                <w:bCs/>
                <w:sz w:val="24"/>
                <w:szCs w:val="24"/>
              </w:rPr>
              <w:t>建筑施工场界噪声标准的评价量为等效声级，施工机械等效声级影响范围见表</w:t>
            </w:r>
            <w:r>
              <w:rPr>
                <w:rFonts w:hint="eastAsia"/>
                <w:bCs/>
                <w:sz w:val="24"/>
                <w:szCs w:val="24"/>
              </w:rPr>
              <w:t>50</w:t>
            </w:r>
            <w:r>
              <w:rPr>
                <w:bCs/>
                <w:sz w:val="24"/>
                <w:szCs w:val="24"/>
              </w:rPr>
              <w:t>。表中数据表明，噪声最大的轮式装载机距离施工机械昼间16 m远处，夜间65 m远可达对应标准限值要求。</w:t>
            </w:r>
          </w:p>
          <w:p>
            <w:pPr>
              <w:spacing w:line="360" w:lineRule="auto"/>
              <w:ind w:firstLine="480" w:firstLineChars="200"/>
              <w:rPr>
                <w:bCs/>
                <w:sz w:val="24"/>
                <w:szCs w:val="24"/>
              </w:rPr>
            </w:pPr>
          </w:p>
          <w:p>
            <w:pPr>
              <w:spacing w:line="360" w:lineRule="auto"/>
              <w:ind w:firstLine="422" w:firstLineChars="200"/>
              <w:jc w:val="center"/>
              <w:rPr>
                <w:bCs/>
                <w:szCs w:val="21"/>
              </w:rPr>
            </w:pPr>
            <w:r>
              <w:rPr>
                <w:rFonts w:hAnsi="宋体"/>
                <w:b/>
                <w:szCs w:val="21"/>
              </w:rPr>
              <w:t>表</w:t>
            </w:r>
            <w:r>
              <w:rPr>
                <w:rFonts w:hint="eastAsia" w:hAnsi="宋体"/>
                <w:b/>
                <w:szCs w:val="21"/>
              </w:rPr>
              <w:t>50</w:t>
            </w:r>
            <w:r>
              <w:rPr>
                <w:rFonts w:hAnsi="宋体"/>
                <w:b/>
                <w:szCs w:val="21"/>
              </w:rPr>
              <w:t xml:space="preserve">  各种施工机械噪声影响范围    Leq：dB(A)</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26"/>
              <w:gridCol w:w="1609"/>
              <w:gridCol w:w="787"/>
              <w:gridCol w:w="796"/>
              <w:gridCol w:w="728"/>
              <w:gridCol w:w="810"/>
              <w:gridCol w:w="753"/>
              <w:gridCol w:w="1162"/>
              <w:gridCol w:w="12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0" w:hRule="atLeast"/>
                <w:jc w:val="center"/>
              </w:trPr>
              <w:tc>
                <w:tcPr>
                  <w:tcW w:w="1026" w:type="dxa"/>
                  <w:vMerge w:val="restart"/>
                  <w:vAlign w:val="center"/>
                </w:tcPr>
                <w:p>
                  <w:pPr>
                    <w:adjustRightInd w:val="0"/>
                    <w:snapToGrid w:val="0"/>
                    <w:spacing w:line="240" w:lineRule="exact"/>
                    <w:jc w:val="center"/>
                    <w:rPr>
                      <w:b/>
                      <w:szCs w:val="21"/>
                    </w:rPr>
                  </w:pPr>
                  <w:r>
                    <w:rPr>
                      <w:rFonts w:hAnsi="宋体"/>
                      <w:b/>
                      <w:szCs w:val="21"/>
                    </w:rPr>
                    <w:t>序号</w:t>
                  </w:r>
                </w:p>
              </w:tc>
              <w:tc>
                <w:tcPr>
                  <w:tcW w:w="1609" w:type="dxa"/>
                  <w:vMerge w:val="restart"/>
                  <w:vAlign w:val="center"/>
                </w:tcPr>
                <w:p>
                  <w:pPr>
                    <w:adjustRightInd w:val="0"/>
                    <w:snapToGrid w:val="0"/>
                    <w:spacing w:line="240" w:lineRule="exact"/>
                    <w:jc w:val="center"/>
                    <w:rPr>
                      <w:b/>
                      <w:szCs w:val="21"/>
                    </w:rPr>
                  </w:pPr>
                  <w:r>
                    <w:rPr>
                      <w:rFonts w:hAnsi="宋体"/>
                      <w:b/>
                      <w:szCs w:val="21"/>
                    </w:rPr>
                    <w:t>设备名称</w:t>
                  </w:r>
                </w:p>
              </w:tc>
              <w:tc>
                <w:tcPr>
                  <w:tcW w:w="3874" w:type="dxa"/>
                  <w:gridSpan w:val="5"/>
                  <w:vAlign w:val="center"/>
                </w:tcPr>
                <w:p>
                  <w:pPr>
                    <w:adjustRightInd w:val="0"/>
                    <w:snapToGrid w:val="0"/>
                    <w:spacing w:line="240" w:lineRule="exact"/>
                    <w:jc w:val="center"/>
                    <w:rPr>
                      <w:b/>
                      <w:szCs w:val="21"/>
                    </w:rPr>
                  </w:pPr>
                  <w:r>
                    <w:rPr>
                      <w:rFonts w:hAnsi="宋体"/>
                      <w:b/>
                      <w:szCs w:val="21"/>
                    </w:rPr>
                    <w:t>测点距离</w:t>
                  </w:r>
                  <w:r>
                    <w:rPr>
                      <w:b/>
                      <w:szCs w:val="21"/>
                    </w:rPr>
                    <w:t>(m</w:t>
                  </w:r>
                  <w:r>
                    <w:rPr>
                      <w:rFonts w:hAnsi="宋体"/>
                      <w:b/>
                      <w:szCs w:val="21"/>
                    </w:rPr>
                    <w:t>）</w:t>
                  </w:r>
                </w:p>
              </w:tc>
              <w:tc>
                <w:tcPr>
                  <w:tcW w:w="2392" w:type="dxa"/>
                  <w:gridSpan w:val="2"/>
                  <w:vAlign w:val="center"/>
                </w:tcPr>
                <w:p>
                  <w:pPr>
                    <w:adjustRightInd w:val="0"/>
                    <w:snapToGrid w:val="0"/>
                    <w:spacing w:line="240" w:lineRule="exact"/>
                    <w:jc w:val="center"/>
                    <w:rPr>
                      <w:b/>
                      <w:szCs w:val="21"/>
                    </w:rPr>
                  </w:pPr>
                  <w:r>
                    <w:rPr>
                      <w:rFonts w:hAnsi="宋体"/>
                      <w:b/>
                      <w:szCs w:val="21"/>
                    </w:rPr>
                    <w:t>达标距离</w:t>
                  </w:r>
                  <w:r>
                    <w:rPr>
                      <w:b/>
                      <w:szCs w:val="21"/>
                    </w:rPr>
                    <w:t>(m</w:t>
                  </w:r>
                  <w:r>
                    <w:rPr>
                      <w:rFonts w:hAnsi="宋体"/>
                      <w:b/>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4" w:hRule="atLeast"/>
                <w:jc w:val="center"/>
              </w:trPr>
              <w:tc>
                <w:tcPr>
                  <w:tcW w:w="1026" w:type="dxa"/>
                  <w:vMerge w:val="continue"/>
                  <w:vAlign w:val="center"/>
                </w:tcPr>
                <w:p>
                  <w:pPr>
                    <w:adjustRightInd w:val="0"/>
                    <w:snapToGrid w:val="0"/>
                    <w:spacing w:line="240" w:lineRule="exact"/>
                    <w:jc w:val="center"/>
                    <w:rPr>
                      <w:szCs w:val="21"/>
                    </w:rPr>
                  </w:pPr>
                </w:p>
              </w:tc>
              <w:tc>
                <w:tcPr>
                  <w:tcW w:w="1609" w:type="dxa"/>
                  <w:vMerge w:val="continue"/>
                  <w:vAlign w:val="center"/>
                </w:tcPr>
                <w:p>
                  <w:pPr>
                    <w:adjustRightInd w:val="0"/>
                    <w:snapToGrid w:val="0"/>
                    <w:spacing w:line="240" w:lineRule="exact"/>
                    <w:jc w:val="center"/>
                    <w:rPr>
                      <w:szCs w:val="21"/>
                    </w:rPr>
                  </w:pPr>
                </w:p>
              </w:tc>
              <w:tc>
                <w:tcPr>
                  <w:tcW w:w="787" w:type="dxa"/>
                  <w:vAlign w:val="center"/>
                </w:tcPr>
                <w:p>
                  <w:pPr>
                    <w:adjustRightInd w:val="0"/>
                    <w:snapToGrid w:val="0"/>
                    <w:spacing w:line="240" w:lineRule="exact"/>
                    <w:jc w:val="center"/>
                    <w:rPr>
                      <w:szCs w:val="21"/>
                    </w:rPr>
                  </w:pPr>
                  <w:r>
                    <w:rPr>
                      <w:szCs w:val="21"/>
                    </w:rPr>
                    <w:t>5</w:t>
                  </w:r>
                </w:p>
              </w:tc>
              <w:tc>
                <w:tcPr>
                  <w:tcW w:w="796" w:type="dxa"/>
                  <w:vAlign w:val="center"/>
                </w:tcPr>
                <w:p>
                  <w:pPr>
                    <w:adjustRightInd w:val="0"/>
                    <w:snapToGrid w:val="0"/>
                    <w:spacing w:line="240" w:lineRule="exact"/>
                    <w:jc w:val="center"/>
                    <w:rPr>
                      <w:szCs w:val="21"/>
                    </w:rPr>
                  </w:pPr>
                  <w:r>
                    <w:rPr>
                      <w:szCs w:val="21"/>
                    </w:rPr>
                    <w:t>10</w:t>
                  </w:r>
                </w:p>
              </w:tc>
              <w:tc>
                <w:tcPr>
                  <w:tcW w:w="728" w:type="dxa"/>
                  <w:vAlign w:val="center"/>
                </w:tcPr>
                <w:p>
                  <w:pPr>
                    <w:adjustRightInd w:val="0"/>
                    <w:snapToGrid w:val="0"/>
                    <w:spacing w:line="240" w:lineRule="exact"/>
                    <w:jc w:val="center"/>
                    <w:rPr>
                      <w:szCs w:val="21"/>
                    </w:rPr>
                  </w:pPr>
                  <w:r>
                    <w:rPr>
                      <w:szCs w:val="21"/>
                    </w:rPr>
                    <w:t>20</w:t>
                  </w:r>
                </w:p>
              </w:tc>
              <w:tc>
                <w:tcPr>
                  <w:tcW w:w="810" w:type="dxa"/>
                  <w:vAlign w:val="center"/>
                </w:tcPr>
                <w:p>
                  <w:pPr>
                    <w:adjustRightInd w:val="0"/>
                    <w:snapToGrid w:val="0"/>
                    <w:spacing w:line="240" w:lineRule="exact"/>
                    <w:jc w:val="center"/>
                    <w:rPr>
                      <w:szCs w:val="21"/>
                    </w:rPr>
                  </w:pPr>
                  <w:r>
                    <w:rPr>
                      <w:szCs w:val="21"/>
                    </w:rPr>
                    <w:t>50</w:t>
                  </w:r>
                </w:p>
              </w:tc>
              <w:tc>
                <w:tcPr>
                  <w:tcW w:w="753" w:type="dxa"/>
                  <w:vAlign w:val="center"/>
                </w:tcPr>
                <w:p>
                  <w:pPr>
                    <w:adjustRightInd w:val="0"/>
                    <w:snapToGrid w:val="0"/>
                    <w:spacing w:line="240" w:lineRule="exact"/>
                    <w:jc w:val="center"/>
                    <w:rPr>
                      <w:szCs w:val="21"/>
                    </w:rPr>
                  </w:pPr>
                  <w:r>
                    <w:rPr>
                      <w:szCs w:val="21"/>
                    </w:rPr>
                    <w:t>100</w:t>
                  </w:r>
                </w:p>
              </w:tc>
              <w:tc>
                <w:tcPr>
                  <w:tcW w:w="1162" w:type="dxa"/>
                  <w:vAlign w:val="center"/>
                </w:tcPr>
                <w:p>
                  <w:pPr>
                    <w:adjustRightInd w:val="0"/>
                    <w:snapToGrid w:val="0"/>
                    <w:spacing w:line="240" w:lineRule="exact"/>
                    <w:jc w:val="center"/>
                    <w:rPr>
                      <w:szCs w:val="21"/>
                    </w:rPr>
                  </w:pPr>
                  <w:r>
                    <w:rPr>
                      <w:rFonts w:hAnsi="宋体"/>
                      <w:szCs w:val="21"/>
                    </w:rPr>
                    <w:t>昼间</w:t>
                  </w:r>
                </w:p>
              </w:tc>
              <w:tc>
                <w:tcPr>
                  <w:tcW w:w="1230" w:type="dxa"/>
                  <w:vAlign w:val="center"/>
                </w:tcPr>
                <w:p>
                  <w:pPr>
                    <w:adjustRightInd w:val="0"/>
                    <w:snapToGrid w:val="0"/>
                    <w:spacing w:line="240" w:lineRule="exact"/>
                    <w:jc w:val="center"/>
                    <w:rPr>
                      <w:szCs w:val="21"/>
                    </w:rPr>
                  </w:pPr>
                  <w:r>
                    <w:rPr>
                      <w:rFonts w:hAnsi="宋体"/>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26" w:type="dxa"/>
                  <w:vAlign w:val="center"/>
                </w:tcPr>
                <w:p>
                  <w:pPr>
                    <w:adjustRightInd w:val="0"/>
                    <w:snapToGrid w:val="0"/>
                    <w:spacing w:line="240" w:lineRule="exact"/>
                    <w:jc w:val="center"/>
                    <w:rPr>
                      <w:szCs w:val="21"/>
                    </w:rPr>
                  </w:pPr>
                  <w:r>
                    <w:rPr>
                      <w:szCs w:val="21"/>
                    </w:rPr>
                    <w:t>1</w:t>
                  </w:r>
                </w:p>
              </w:tc>
              <w:tc>
                <w:tcPr>
                  <w:tcW w:w="1609" w:type="dxa"/>
                  <w:vAlign w:val="center"/>
                </w:tcPr>
                <w:p>
                  <w:pPr>
                    <w:adjustRightInd w:val="0"/>
                    <w:snapToGrid w:val="0"/>
                    <w:spacing w:line="240" w:lineRule="exact"/>
                    <w:jc w:val="center"/>
                    <w:rPr>
                      <w:szCs w:val="21"/>
                    </w:rPr>
                  </w:pPr>
                  <w:r>
                    <w:rPr>
                      <w:rFonts w:hAnsi="宋体"/>
                      <w:szCs w:val="21"/>
                    </w:rPr>
                    <w:t>挖掘机</w:t>
                  </w:r>
                </w:p>
              </w:tc>
              <w:tc>
                <w:tcPr>
                  <w:tcW w:w="787" w:type="dxa"/>
                  <w:vAlign w:val="center"/>
                </w:tcPr>
                <w:p>
                  <w:pPr>
                    <w:adjustRightInd w:val="0"/>
                    <w:snapToGrid w:val="0"/>
                    <w:spacing w:line="240" w:lineRule="exact"/>
                    <w:jc w:val="center"/>
                    <w:rPr>
                      <w:szCs w:val="21"/>
                    </w:rPr>
                  </w:pPr>
                  <w:r>
                    <w:rPr>
                      <w:szCs w:val="21"/>
                    </w:rPr>
                    <w:t>84</w:t>
                  </w:r>
                </w:p>
              </w:tc>
              <w:tc>
                <w:tcPr>
                  <w:tcW w:w="796" w:type="dxa"/>
                  <w:vAlign w:val="center"/>
                </w:tcPr>
                <w:p>
                  <w:pPr>
                    <w:adjustRightInd w:val="0"/>
                    <w:snapToGrid w:val="0"/>
                    <w:spacing w:line="240" w:lineRule="exact"/>
                    <w:jc w:val="center"/>
                    <w:rPr>
                      <w:szCs w:val="21"/>
                    </w:rPr>
                  </w:pPr>
                  <w:r>
                    <w:rPr>
                      <w:szCs w:val="21"/>
                    </w:rPr>
                    <w:t>70</w:t>
                  </w:r>
                </w:p>
              </w:tc>
              <w:tc>
                <w:tcPr>
                  <w:tcW w:w="728" w:type="dxa"/>
                  <w:vAlign w:val="center"/>
                </w:tcPr>
                <w:p>
                  <w:pPr>
                    <w:adjustRightInd w:val="0"/>
                    <w:snapToGrid w:val="0"/>
                    <w:spacing w:line="240" w:lineRule="exact"/>
                    <w:jc w:val="center"/>
                    <w:rPr>
                      <w:szCs w:val="21"/>
                    </w:rPr>
                  </w:pPr>
                  <w:r>
                    <w:rPr>
                      <w:szCs w:val="21"/>
                    </w:rPr>
                    <w:t>60</w:t>
                  </w:r>
                </w:p>
              </w:tc>
              <w:tc>
                <w:tcPr>
                  <w:tcW w:w="810" w:type="dxa"/>
                  <w:vAlign w:val="center"/>
                </w:tcPr>
                <w:p>
                  <w:pPr>
                    <w:adjustRightInd w:val="0"/>
                    <w:snapToGrid w:val="0"/>
                    <w:spacing w:line="240" w:lineRule="exact"/>
                    <w:jc w:val="center"/>
                    <w:rPr>
                      <w:szCs w:val="21"/>
                    </w:rPr>
                  </w:pPr>
                  <w:r>
                    <w:rPr>
                      <w:szCs w:val="21"/>
                    </w:rPr>
                    <w:t>51</w:t>
                  </w:r>
                </w:p>
              </w:tc>
              <w:tc>
                <w:tcPr>
                  <w:tcW w:w="753" w:type="dxa"/>
                  <w:vAlign w:val="center"/>
                </w:tcPr>
                <w:p>
                  <w:pPr>
                    <w:adjustRightInd w:val="0"/>
                    <w:snapToGrid w:val="0"/>
                    <w:spacing w:line="240" w:lineRule="exact"/>
                    <w:jc w:val="center"/>
                    <w:rPr>
                      <w:szCs w:val="21"/>
                    </w:rPr>
                  </w:pPr>
                  <w:r>
                    <w:rPr>
                      <w:szCs w:val="21"/>
                    </w:rPr>
                    <w:t>44</w:t>
                  </w:r>
                </w:p>
              </w:tc>
              <w:tc>
                <w:tcPr>
                  <w:tcW w:w="1162" w:type="dxa"/>
                  <w:vAlign w:val="bottom"/>
                </w:tcPr>
                <w:p>
                  <w:pPr>
                    <w:jc w:val="center"/>
                    <w:rPr>
                      <w:szCs w:val="21"/>
                    </w:rPr>
                  </w:pPr>
                  <w:r>
                    <w:rPr>
                      <w:szCs w:val="21"/>
                    </w:rPr>
                    <w:t>10</w:t>
                  </w:r>
                </w:p>
              </w:tc>
              <w:tc>
                <w:tcPr>
                  <w:tcW w:w="1230" w:type="dxa"/>
                  <w:vAlign w:val="bottom"/>
                </w:tcPr>
                <w:p>
                  <w:pPr>
                    <w:jc w:val="center"/>
                    <w:rPr>
                      <w:szCs w:val="21"/>
                    </w:rPr>
                  </w:pPr>
                  <w:r>
                    <w:rPr>
                      <w:szCs w:val="21"/>
                    </w:rPr>
                    <w:t>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26" w:type="dxa"/>
                  <w:vAlign w:val="center"/>
                </w:tcPr>
                <w:p>
                  <w:pPr>
                    <w:adjustRightInd w:val="0"/>
                    <w:snapToGrid w:val="0"/>
                    <w:spacing w:line="240" w:lineRule="exact"/>
                    <w:jc w:val="center"/>
                    <w:rPr>
                      <w:szCs w:val="21"/>
                    </w:rPr>
                  </w:pPr>
                  <w:r>
                    <w:rPr>
                      <w:szCs w:val="21"/>
                    </w:rPr>
                    <w:t>2</w:t>
                  </w:r>
                </w:p>
              </w:tc>
              <w:tc>
                <w:tcPr>
                  <w:tcW w:w="1609" w:type="dxa"/>
                  <w:vAlign w:val="center"/>
                </w:tcPr>
                <w:p>
                  <w:pPr>
                    <w:adjustRightInd w:val="0"/>
                    <w:snapToGrid w:val="0"/>
                    <w:spacing w:line="240" w:lineRule="exact"/>
                    <w:jc w:val="center"/>
                    <w:rPr>
                      <w:szCs w:val="21"/>
                    </w:rPr>
                  </w:pPr>
                  <w:r>
                    <w:rPr>
                      <w:rFonts w:hAnsi="宋体"/>
                      <w:szCs w:val="21"/>
                    </w:rPr>
                    <w:t>推土机</w:t>
                  </w:r>
                </w:p>
              </w:tc>
              <w:tc>
                <w:tcPr>
                  <w:tcW w:w="787" w:type="dxa"/>
                  <w:vAlign w:val="center"/>
                </w:tcPr>
                <w:p>
                  <w:pPr>
                    <w:adjustRightInd w:val="0"/>
                    <w:snapToGrid w:val="0"/>
                    <w:spacing w:line="240" w:lineRule="exact"/>
                    <w:jc w:val="center"/>
                    <w:rPr>
                      <w:szCs w:val="21"/>
                    </w:rPr>
                  </w:pPr>
                  <w:r>
                    <w:rPr>
                      <w:szCs w:val="21"/>
                    </w:rPr>
                    <w:t>86</w:t>
                  </w:r>
                </w:p>
              </w:tc>
              <w:tc>
                <w:tcPr>
                  <w:tcW w:w="796" w:type="dxa"/>
                  <w:vAlign w:val="center"/>
                </w:tcPr>
                <w:p>
                  <w:pPr>
                    <w:adjustRightInd w:val="0"/>
                    <w:snapToGrid w:val="0"/>
                    <w:spacing w:line="240" w:lineRule="exact"/>
                    <w:jc w:val="center"/>
                    <w:rPr>
                      <w:szCs w:val="21"/>
                    </w:rPr>
                  </w:pPr>
                  <w:r>
                    <w:rPr>
                      <w:szCs w:val="21"/>
                    </w:rPr>
                    <w:t>72</w:t>
                  </w:r>
                </w:p>
              </w:tc>
              <w:tc>
                <w:tcPr>
                  <w:tcW w:w="728" w:type="dxa"/>
                  <w:vAlign w:val="center"/>
                </w:tcPr>
                <w:p>
                  <w:pPr>
                    <w:adjustRightInd w:val="0"/>
                    <w:snapToGrid w:val="0"/>
                    <w:spacing w:line="240" w:lineRule="exact"/>
                    <w:jc w:val="center"/>
                    <w:rPr>
                      <w:szCs w:val="21"/>
                    </w:rPr>
                  </w:pPr>
                  <w:r>
                    <w:rPr>
                      <w:szCs w:val="21"/>
                    </w:rPr>
                    <w:t>62</w:t>
                  </w:r>
                </w:p>
              </w:tc>
              <w:tc>
                <w:tcPr>
                  <w:tcW w:w="810" w:type="dxa"/>
                  <w:vAlign w:val="center"/>
                </w:tcPr>
                <w:p>
                  <w:pPr>
                    <w:adjustRightInd w:val="0"/>
                    <w:snapToGrid w:val="0"/>
                    <w:spacing w:line="240" w:lineRule="exact"/>
                    <w:jc w:val="center"/>
                    <w:rPr>
                      <w:szCs w:val="21"/>
                    </w:rPr>
                  </w:pPr>
                  <w:r>
                    <w:rPr>
                      <w:szCs w:val="21"/>
                    </w:rPr>
                    <w:t>53</w:t>
                  </w:r>
                </w:p>
              </w:tc>
              <w:tc>
                <w:tcPr>
                  <w:tcW w:w="753" w:type="dxa"/>
                  <w:vAlign w:val="center"/>
                </w:tcPr>
                <w:p>
                  <w:pPr>
                    <w:adjustRightInd w:val="0"/>
                    <w:snapToGrid w:val="0"/>
                    <w:spacing w:line="240" w:lineRule="exact"/>
                    <w:jc w:val="center"/>
                    <w:rPr>
                      <w:szCs w:val="21"/>
                    </w:rPr>
                  </w:pPr>
                  <w:r>
                    <w:rPr>
                      <w:szCs w:val="21"/>
                    </w:rPr>
                    <w:t>46</w:t>
                  </w:r>
                </w:p>
              </w:tc>
              <w:tc>
                <w:tcPr>
                  <w:tcW w:w="1162" w:type="dxa"/>
                  <w:vAlign w:val="bottom"/>
                </w:tcPr>
                <w:p>
                  <w:pPr>
                    <w:jc w:val="center"/>
                    <w:rPr>
                      <w:szCs w:val="21"/>
                    </w:rPr>
                  </w:pPr>
                  <w:r>
                    <w:rPr>
                      <w:szCs w:val="21"/>
                    </w:rPr>
                    <w:t>12</w:t>
                  </w:r>
                </w:p>
              </w:tc>
              <w:tc>
                <w:tcPr>
                  <w:tcW w:w="1230" w:type="dxa"/>
                  <w:vAlign w:val="bottom"/>
                </w:tcPr>
                <w:p>
                  <w:pPr>
                    <w:jc w:val="center"/>
                    <w:rPr>
                      <w:szCs w:val="21"/>
                    </w:rPr>
                  </w:pPr>
                  <w:r>
                    <w:rPr>
                      <w:szCs w:val="21"/>
                    </w:rPr>
                    <w:t>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26" w:type="dxa"/>
                  <w:vAlign w:val="center"/>
                </w:tcPr>
                <w:p>
                  <w:pPr>
                    <w:adjustRightInd w:val="0"/>
                    <w:snapToGrid w:val="0"/>
                    <w:spacing w:line="240" w:lineRule="exact"/>
                    <w:jc w:val="center"/>
                    <w:rPr>
                      <w:szCs w:val="21"/>
                    </w:rPr>
                  </w:pPr>
                  <w:r>
                    <w:rPr>
                      <w:szCs w:val="21"/>
                    </w:rPr>
                    <w:t>3</w:t>
                  </w:r>
                </w:p>
              </w:tc>
              <w:tc>
                <w:tcPr>
                  <w:tcW w:w="1609" w:type="dxa"/>
                  <w:vAlign w:val="center"/>
                </w:tcPr>
                <w:p>
                  <w:pPr>
                    <w:adjustRightInd w:val="0"/>
                    <w:snapToGrid w:val="0"/>
                    <w:spacing w:line="240" w:lineRule="exact"/>
                    <w:jc w:val="center"/>
                    <w:rPr>
                      <w:szCs w:val="21"/>
                    </w:rPr>
                  </w:pPr>
                  <w:r>
                    <w:rPr>
                      <w:rFonts w:hAnsi="宋体"/>
                      <w:szCs w:val="21"/>
                    </w:rPr>
                    <w:t>搅拌机</w:t>
                  </w:r>
                </w:p>
              </w:tc>
              <w:tc>
                <w:tcPr>
                  <w:tcW w:w="787" w:type="dxa"/>
                  <w:vAlign w:val="center"/>
                </w:tcPr>
                <w:p>
                  <w:pPr>
                    <w:adjustRightInd w:val="0"/>
                    <w:snapToGrid w:val="0"/>
                    <w:spacing w:line="240" w:lineRule="exact"/>
                    <w:jc w:val="center"/>
                    <w:rPr>
                      <w:szCs w:val="21"/>
                    </w:rPr>
                  </w:pPr>
                  <w:r>
                    <w:rPr>
                      <w:szCs w:val="21"/>
                    </w:rPr>
                    <w:t>79</w:t>
                  </w:r>
                </w:p>
              </w:tc>
              <w:tc>
                <w:tcPr>
                  <w:tcW w:w="796" w:type="dxa"/>
                  <w:vAlign w:val="center"/>
                </w:tcPr>
                <w:p>
                  <w:pPr>
                    <w:adjustRightInd w:val="0"/>
                    <w:snapToGrid w:val="0"/>
                    <w:spacing w:line="240" w:lineRule="exact"/>
                    <w:jc w:val="center"/>
                    <w:rPr>
                      <w:szCs w:val="21"/>
                    </w:rPr>
                  </w:pPr>
                  <w:r>
                    <w:rPr>
                      <w:szCs w:val="21"/>
                    </w:rPr>
                    <w:t>65</w:t>
                  </w:r>
                </w:p>
              </w:tc>
              <w:tc>
                <w:tcPr>
                  <w:tcW w:w="728" w:type="dxa"/>
                  <w:vAlign w:val="center"/>
                </w:tcPr>
                <w:p>
                  <w:pPr>
                    <w:adjustRightInd w:val="0"/>
                    <w:snapToGrid w:val="0"/>
                    <w:spacing w:line="240" w:lineRule="exact"/>
                    <w:jc w:val="center"/>
                    <w:rPr>
                      <w:szCs w:val="21"/>
                    </w:rPr>
                  </w:pPr>
                  <w:r>
                    <w:rPr>
                      <w:szCs w:val="21"/>
                    </w:rPr>
                    <w:t>55</w:t>
                  </w:r>
                </w:p>
              </w:tc>
              <w:tc>
                <w:tcPr>
                  <w:tcW w:w="810" w:type="dxa"/>
                  <w:vAlign w:val="center"/>
                </w:tcPr>
                <w:p>
                  <w:pPr>
                    <w:adjustRightInd w:val="0"/>
                    <w:snapToGrid w:val="0"/>
                    <w:spacing w:line="240" w:lineRule="exact"/>
                    <w:jc w:val="center"/>
                    <w:rPr>
                      <w:szCs w:val="21"/>
                    </w:rPr>
                  </w:pPr>
                  <w:r>
                    <w:rPr>
                      <w:szCs w:val="21"/>
                    </w:rPr>
                    <w:t>46</w:t>
                  </w:r>
                </w:p>
              </w:tc>
              <w:tc>
                <w:tcPr>
                  <w:tcW w:w="753" w:type="dxa"/>
                  <w:vAlign w:val="center"/>
                </w:tcPr>
                <w:p>
                  <w:pPr>
                    <w:adjustRightInd w:val="0"/>
                    <w:snapToGrid w:val="0"/>
                    <w:spacing w:line="240" w:lineRule="exact"/>
                    <w:jc w:val="center"/>
                    <w:rPr>
                      <w:szCs w:val="21"/>
                    </w:rPr>
                  </w:pPr>
                  <w:r>
                    <w:rPr>
                      <w:szCs w:val="21"/>
                    </w:rPr>
                    <w:t>39</w:t>
                  </w:r>
                </w:p>
              </w:tc>
              <w:tc>
                <w:tcPr>
                  <w:tcW w:w="1162" w:type="dxa"/>
                  <w:vAlign w:val="bottom"/>
                </w:tcPr>
                <w:p>
                  <w:pPr>
                    <w:jc w:val="center"/>
                    <w:rPr>
                      <w:szCs w:val="21"/>
                    </w:rPr>
                  </w:pPr>
                  <w:r>
                    <w:rPr>
                      <w:szCs w:val="21"/>
                    </w:rPr>
                    <w:t>9</w:t>
                  </w:r>
                </w:p>
              </w:tc>
              <w:tc>
                <w:tcPr>
                  <w:tcW w:w="1230" w:type="dxa"/>
                  <w:vAlign w:val="bottom"/>
                </w:tcPr>
                <w:p>
                  <w:pPr>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26" w:type="dxa"/>
                  <w:vAlign w:val="center"/>
                </w:tcPr>
                <w:p>
                  <w:pPr>
                    <w:adjustRightInd w:val="0"/>
                    <w:snapToGrid w:val="0"/>
                    <w:spacing w:line="240" w:lineRule="exact"/>
                    <w:jc w:val="center"/>
                    <w:rPr>
                      <w:szCs w:val="21"/>
                    </w:rPr>
                  </w:pPr>
                  <w:r>
                    <w:rPr>
                      <w:szCs w:val="21"/>
                    </w:rPr>
                    <w:t>4</w:t>
                  </w:r>
                </w:p>
              </w:tc>
              <w:tc>
                <w:tcPr>
                  <w:tcW w:w="1609" w:type="dxa"/>
                  <w:vAlign w:val="center"/>
                </w:tcPr>
                <w:p>
                  <w:pPr>
                    <w:adjustRightInd w:val="0"/>
                    <w:snapToGrid w:val="0"/>
                    <w:spacing w:line="240" w:lineRule="exact"/>
                    <w:jc w:val="center"/>
                    <w:rPr>
                      <w:szCs w:val="21"/>
                    </w:rPr>
                  </w:pPr>
                  <w:r>
                    <w:rPr>
                      <w:rFonts w:hAnsi="宋体"/>
                      <w:szCs w:val="21"/>
                    </w:rPr>
                    <w:t>电焊机</w:t>
                  </w:r>
                </w:p>
              </w:tc>
              <w:tc>
                <w:tcPr>
                  <w:tcW w:w="787" w:type="dxa"/>
                  <w:vAlign w:val="center"/>
                </w:tcPr>
                <w:p>
                  <w:pPr>
                    <w:adjustRightInd w:val="0"/>
                    <w:snapToGrid w:val="0"/>
                    <w:spacing w:line="240" w:lineRule="exact"/>
                    <w:jc w:val="center"/>
                    <w:rPr>
                      <w:szCs w:val="21"/>
                    </w:rPr>
                  </w:pPr>
                  <w:r>
                    <w:rPr>
                      <w:szCs w:val="21"/>
                    </w:rPr>
                    <w:t>90</w:t>
                  </w:r>
                </w:p>
              </w:tc>
              <w:tc>
                <w:tcPr>
                  <w:tcW w:w="796" w:type="dxa"/>
                  <w:vAlign w:val="center"/>
                </w:tcPr>
                <w:p>
                  <w:pPr>
                    <w:adjustRightInd w:val="0"/>
                    <w:snapToGrid w:val="0"/>
                    <w:spacing w:line="240" w:lineRule="exact"/>
                    <w:jc w:val="center"/>
                    <w:rPr>
                      <w:szCs w:val="21"/>
                    </w:rPr>
                  </w:pPr>
                  <w:r>
                    <w:rPr>
                      <w:szCs w:val="21"/>
                    </w:rPr>
                    <w:t>76</w:t>
                  </w:r>
                </w:p>
              </w:tc>
              <w:tc>
                <w:tcPr>
                  <w:tcW w:w="728" w:type="dxa"/>
                  <w:vAlign w:val="center"/>
                </w:tcPr>
                <w:p>
                  <w:pPr>
                    <w:adjustRightInd w:val="0"/>
                    <w:snapToGrid w:val="0"/>
                    <w:spacing w:line="240" w:lineRule="exact"/>
                    <w:jc w:val="center"/>
                    <w:rPr>
                      <w:szCs w:val="21"/>
                    </w:rPr>
                  </w:pPr>
                  <w:r>
                    <w:rPr>
                      <w:szCs w:val="21"/>
                    </w:rPr>
                    <w:t>66</w:t>
                  </w:r>
                </w:p>
              </w:tc>
              <w:tc>
                <w:tcPr>
                  <w:tcW w:w="810" w:type="dxa"/>
                  <w:vAlign w:val="center"/>
                </w:tcPr>
                <w:p>
                  <w:pPr>
                    <w:adjustRightInd w:val="0"/>
                    <w:snapToGrid w:val="0"/>
                    <w:spacing w:line="240" w:lineRule="exact"/>
                    <w:jc w:val="center"/>
                    <w:rPr>
                      <w:szCs w:val="21"/>
                    </w:rPr>
                  </w:pPr>
                  <w:r>
                    <w:rPr>
                      <w:szCs w:val="21"/>
                    </w:rPr>
                    <w:t>57</w:t>
                  </w:r>
                </w:p>
              </w:tc>
              <w:tc>
                <w:tcPr>
                  <w:tcW w:w="753" w:type="dxa"/>
                  <w:vAlign w:val="center"/>
                </w:tcPr>
                <w:p>
                  <w:pPr>
                    <w:adjustRightInd w:val="0"/>
                    <w:snapToGrid w:val="0"/>
                    <w:spacing w:line="240" w:lineRule="exact"/>
                    <w:jc w:val="center"/>
                    <w:rPr>
                      <w:szCs w:val="21"/>
                    </w:rPr>
                  </w:pPr>
                  <w:r>
                    <w:rPr>
                      <w:szCs w:val="21"/>
                    </w:rPr>
                    <w:t>50</w:t>
                  </w:r>
                </w:p>
              </w:tc>
              <w:tc>
                <w:tcPr>
                  <w:tcW w:w="1162" w:type="dxa"/>
                  <w:vAlign w:val="bottom"/>
                </w:tcPr>
                <w:p>
                  <w:pPr>
                    <w:jc w:val="center"/>
                    <w:rPr>
                      <w:szCs w:val="21"/>
                    </w:rPr>
                  </w:pPr>
                  <w:r>
                    <w:rPr>
                      <w:szCs w:val="21"/>
                    </w:rPr>
                    <w:t>16</w:t>
                  </w:r>
                </w:p>
              </w:tc>
              <w:tc>
                <w:tcPr>
                  <w:tcW w:w="1230" w:type="dxa"/>
                  <w:vAlign w:val="bottom"/>
                </w:tcPr>
                <w:p>
                  <w:pPr>
                    <w:jc w:val="center"/>
                    <w:rPr>
                      <w:szCs w:val="21"/>
                    </w:rPr>
                  </w:pPr>
                  <w:r>
                    <w:rPr>
                      <w:szCs w:val="21"/>
                    </w:rPr>
                    <w:t>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26" w:type="dxa"/>
                  <w:vAlign w:val="center"/>
                </w:tcPr>
                <w:p>
                  <w:pPr>
                    <w:adjustRightInd w:val="0"/>
                    <w:snapToGrid w:val="0"/>
                    <w:spacing w:line="240" w:lineRule="exact"/>
                    <w:jc w:val="center"/>
                    <w:rPr>
                      <w:szCs w:val="21"/>
                    </w:rPr>
                  </w:pPr>
                  <w:r>
                    <w:rPr>
                      <w:szCs w:val="21"/>
                    </w:rPr>
                    <w:t>5</w:t>
                  </w:r>
                </w:p>
              </w:tc>
              <w:tc>
                <w:tcPr>
                  <w:tcW w:w="1609" w:type="dxa"/>
                  <w:vAlign w:val="center"/>
                </w:tcPr>
                <w:p>
                  <w:pPr>
                    <w:adjustRightInd w:val="0"/>
                    <w:snapToGrid w:val="0"/>
                    <w:spacing w:line="240" w:lineRule="exact"/>
                    <w:jc w:val="center"/>
                    <w:rPr>
                      <w:szCs w:val="21"/>
                    </w:rPr>
                  </w:pPr>
                  <w:r>
                    <w:rPr>
                      <w:rFonts w:hAnsi="宋体"/>
                      <w:szCs w:val="21"/>
                    </w:rPr>
                    <w:t>轮式装载机</w:t>
                  </w:r>
                </w:p>
              </w:tc>
              <w:tc>
                <w:tcPr>
                  <w:tcW w:w="787" w:type="dxa"/>
                  <w:vAlign w:val="center"/>
                </w:tcPr>
                <w:p>
                  <w:pPr>
                    <w:adjustRightInd w:val="0"/>
                    <w:snapToGrid w:val="0"/>
                    <w:spacing w:line="240" w:lineRule="exact"/>
                    <w:jc w:val="center"/>
                    <w:rPr>
                      <w:szCs w:val="21"/>
                    </w:rPr>
                  </w:pPr>
                  <w:r>
                    <w:rPr>
                      <w:szCs w:val="21"/>
                    </w:rPr>
                    <w:t>90</w:t>
                  </w:r>
                </w:p>
              </w:tc>
              <w:tc>
                <w:tcPr>
                  <w:tcW w:w="796" w:type="dxa"/>
                  <w:vAlign w:val="center"/>
                </w:tcPr>
                <w:p>
                  <w:pPr>
                    <w:adjustRightInd w:val="0"/>
                    <w:snapToGrid w:val="0"/>
                    <w:spacing w:line="240" w:lineRule="exact"/>
                    <w:jc w:val="center"/>
                    <w:rPr>
                      <w:szCs w:val="21"/>
                    </w:rPr>
                  </w:pPr>
                  <w:r>
                    <w:rPr>
                      <w:szCs w:val="21"/>
                    </w:rPr>
                    <w:t>76</w:t>
                  </w:r>
                </w:p>
              </w:tc>
              <w:tc>
                <w:tcPr>
                  <w:tcW w:w="728" w:type="dxa"/>
                  <w:vAlign w:val="center"/>
                </w:tcPr>
                <w:p>
                  <w:pPr>
                    <w:adjustRightInd w:val="0"/>
                    <w:snapToGrid w:val="0"/>
                    <w:spacing w:line="240" w:lineRule="exact"/>
                    <w:jc w:val="center"/>
                    <w:rPr>
                      <w:szCs w:val="21"/>
                    </w:rPr>
                  </w:pPr>
                  <w:r>
                    <w:rPr>
                      <w:szCs w:val="21"/>
                    </w:rPr>
                    <w:t>66</w:t>
                  </w:r>
                </w:p>
              </w:tc>
              <w:tc>
                <w:tcPr>
                  <w:tcW w:w="810" w:type="dxa"/>
                  <w:vAlign w:val="center"/>
                </w:tcPr>
                <w:p>
                  <w:pPr>
                    <w:adjustRightInd w:val="0"/>
                    <w:snapToGrid w:val="0"/>
                    <w:spacing w:line="240" w:lineRule="exact"/>
                    <w:jc w:val="center"/>
                    <w:rPr>
                      <w:szCs w:val="21"/>
                    </w:rPr>
                  </w:pPr>
                  <w:r>
                    <w:rPr>
                      <w:szCs w:val="21"/>
                    </w:rPr>
                    <w:t>57</w:t>
                  </w:r>
                </w:p>
              </w:tc>
              <w:tc>
                <w:tcPr>
                  <w:tcW w:w="753" w:type="dxa"/>
                  <w:vAlign w:val="center"/>
                </w:tcPr>
                <w:p>
                  <w:pPr>
                    <w:adjustRightInd w:val="0"/>
                    <w:snapToGrid w:val="0"/>
                    <w:spacing w:line="240" w:lineRule="exact"/>
                    <w:jc w:val="center"/>
                    <w:rPr>
                      <w:szCs w:val="21"/>
                    </w:rPr>
                  </w:pPr>
                  <w:r>
                    <w:rPr>
                      <w:szCs w:val="21"/>
                    </w:rPr>
                    <w:t>50</w:t>
                  </w:r>
                </w:p>
              </w:tc>
              <w:tc>
                <w:tcPr>
                  <w:tcW w:w="1162" w:type="dxa"/>
                  <w:vAlign w:val="bottom"/>
                </w:tcPr>
                <w:p>
                  <w:pPr>
                    <w:jc w:val="center"/>
                    <w:rPr>
                      <w:szCs w:val="21"/>
                    </w:rPr>
                  </w:pPr>
                  <w:r>
                    <w:rPr>
                      <w:szCs w:val="21"/>
                    </w:rPr>
                    <w:t>16</w:t>
                  </w:r>
                </w:p>
              </w:tc>
              <w:tc>
                <w:tcPr>
                  <w:tcW w:w="1230" w:type="dxa"/>
                  <w:vAlign w:val="bottom"/>
                </w:tcPr>
                <w:p>
                  <w:pPr>
                    <w:jc w:val="center"/>
                    <w:rPr>
                      <w:szCs w:val="21"/>
                    </w:rPr>
                  </w:pPr>
                  <w:r>
                    <w:rPr>
                      <w:szCs w:val="21"/>
                    </w:rPr>
                    <w:t>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26" w:type="dxa"/>
                  <w:vAlign w:val="center"/>
                </w:tcPr>
                <w:p>
                  <w:pPr>
                    <w:adjustRightInd w:val="0"/>
                    <w:snapToGrid w:val="0"/>
                    <w:spacing w:line="240" w:lineRule="exact"/>
                    <w:jc w:val="center"/>
                    <w:rPr>
                      <w:szCs w:val="21"/>
                    </w:rPr>
                  </w:pPr>
                  <w:r>
                    <w:rPr>
                      <w:szCs w:val="21"/>
                    </w:rPr>
                    <w:t>6</w:t>
                  </w:r>
                </w:p>
              </w:tc>
              <w:tc>
                <w:tcPr>
                  <w:tcW w:w="1609" w:type="dxa"/>
                  <w:vAlign w:val="center"/>
                </w:tcPr>
                <w:p>
                  <w:pPr>
                    <w:adjustRightInd w:val="0"/>
                    <w:snapToGrid w:val="0"/>
                    <w:spacing w:line="240" w:lineRule="exact"/>
                    <w:jc w:val="center"/>
                    <w:rPr>
                      <w:szCs w:val="21"/>
                    </w:rPr>
                  </w:pPr>
                  <w:r>
                    <w:rPr>
                      <w:rFonts w:hAnsi="宋体"/>
                      <w:szCs w:val="21"/>
                    </w:rPr>
                    <w:t>起重机</w:t>
                  </w:r>
                </w:p>
              </w:tc>
              <w:tc>
                <w:tcPr>
                  <w:tcW w:w="787" w:type="dxa"/>
                  <w:vAlign w:val="center"/>
                </w:tcPr>
                <w:p>
                  <w:pPr>
                    <w:adjustRightInd w:val="0"/>
                    <w:snapToGrid w:val="0"/>
                    <w:spacing w:line="240" w:lineRule="exact"/>
                    <w:jc w:val="center"/>
                    <w:rPr>
                      <w:szCs w:val="21"/>
                    </w:rPr>
                  </w:pPr>
                  <w:r>
                    <w:rPr>
                      <w:szCs w:val="21"/>
                    </w:rPr>
                    <w:t>81</w:t>
                  </w:r>
                </w:p>
              </w:tc>
              <w:tc>
                <w:tcPr>
                  <w:tcW w:w="796" w:type="dxa"/>
                  <w:vAlign w:val="center"/>
                </w:tcPr>
                <w:p>
                  <w:pPr>
                    <w:adjustRightInd w:val="0"/>
                    <w:snapToGrid w:val="0"/>
                    <w:spacing w:line="240" w:lineRule="exact"/>
                    <w:jc w:val="center"/>
                    <w:rPr>
                      <w:szCs w:val="21"/>
                    </w:rPr>
                  </w:pPr>
                  <w:r>
                    <w:rPr>
                      <w:szCs w:val="21"/>
                    </w:rPr>
                    <w:t>67</w:t>
                  </w:r>
                </w:p>
              </w:tc>
              <w:tc>
                <w:tcPr>
                  <w:tcW w:w="728" w:type="dxa"/>
                  <w:vAlign w:val="center"/>
                </w:tcPr>
                <w:p>
                  <w:pPr>
                    <w:adjustRightInd w:val="0"/>
                    <w:snapToGrid w:val="0"/>
                    <w:spacing w:line="240" w:lineRule="exact"/>
                    <w:jc w:val="center"/>
                    <w:rPr>
                      <w:szCs w:val="21"/>
                    </w:rPr>
                  </w:pPr>
                  <w:r>
                    <w:rPr>
                      <w:szCs w:val="21"/>
                    </w:rPr>
                    <w:t>57</w:t>
                  </w:r>
                </w:p>
              </w:tc>
              <w:tc>
                <w:tcPr>
                  <w:tcW w:w="810" w:type="dxa"/>
                  <w:vAlign w:val="center"/>
                </w:tcPr>
                <w:p>
                  <w:pPr>
                    <w:adjustRightInd w:val="0"/>
                    <w:snapToGrid w:val="0"/>
                    <w:spacing w:line="240" w:lineRule="exact"/>
                    <w:jc w:val="center"/>
                    <w:rPr>
                      <w:szCs w:val="21"/>
                    </w:rPr>
                  </w:pPr>
                  <w:r>
                    <w:rPr>
                      <w:szCs w:val="21"/>
                    </w:rPr>
                    <w:t>48</w:t>
                  </w:r>
                </w:p>
              </w:tc>
              <w:tc>
                <w:tcPr>
                  <w:tcW w:w="753" w:type="dxa"/>
                  <w:vAlign w:val="center"/>
                </w:tcPr>
                <w:p>
                  <w:pPr>
                    <w:adjustRightInd w:val="0"/>
                    <w:snapToGrid w:val="0"/>
                    <w:spacing w:line="240" w:lineRule="exact"/>
                    <w:jc w:val="center"/>
                    <w:rPr>
                      <w:szCs w:val="21"/>
                    </w:rPr>
                  </w:pPr>
                  <w:r>
                    <w:rPr>
                      <w:szCs w:val="21"/>
                    </w:rPr>
                    <w:t>41</w:t>
                  </w:r>
                </w:p>
              </w:tc>
              <w:tc>
                <w:tcPr>
                  <w:tcW w:w="1162" w:type="dxa"/>
                  <w:vAlign w:val="bottom"/>
                </w:tcPr>
                <w:p>
                  <w:pPr>
                    <w:jc w:val="center"/>
                    <w:rPr>
                      <w:szCs w:val="21"/>
                    </w:rPr>
                  </w:pPr>
                  <w:r>
                    <w:rPr>
                      <w:szCs w:val="21"/>
                    </w:rPr>
                    <w:t>9</w:t>
                  </w:r>
                </w:p>
              </w:tc>
              <w:tc>
                <w:tcPr>
                  <w:tcW w:w="1230" w:type="dxa"/>
                  <w:vAlign w:val="bottom"/>
                </w:tcPr>
                <w:p>
                  <w:pPr>
                    <w:jc w:val="center"/>
                    <w:rPr>
                      <w:szCs w:val="21"/>
                    </w:rPr>
                  </w:pPr>
                  <w:r>
                    <w:rPr>
                      <w:szCs w:val="21"/>
                    </w:rPr>
                    <w:t>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26" w:type="dxa"/>
                  <w:vAlign w:val="center"/>
                </w:tcPr>
                <w:p>
                  <w:pPr>
                    <w:adjustRightInd w:val="0"/>
                    <w:snapToGrid w:val="0"/>
                    <w:spacing w:line="240" w:lineRule="exact"/>
                    <w:jc w:val="center"/>
                    <w:rPr>
                      <w:szCs w:val="21"/>
                    </w:rPr>
                  </w:pPr>
                  <w:r>
                    <w:rPr>
                      <w:szCs w:val="21"/>
                    </w:rPr>
                    <w:t>7</w:t>
                  </w:r>
                </w:p>
              </w:tc>
              <w:tc>
                <w:tcPr>
                  <w:tcW w:w="1609" w:type="dxa"/>
                  <w:vAlign w:val="center"/>
                </w:tcPr>
                <w:p>
                  <w:pPr>
                    <w:adjustRightInd w:val="0"/>
                    <w:snapToGrid w:val="0"/>
                    <w:spacing w:line="240" w:lineRule="exact"/>
                    <w:jc w:val="center"/>
                    <w:rPr>
                      <w:szCs w:val="21"/>
                    </w:rPr>
                  </w:pPr>
                  <w:r>
                    <w:rPr>
                      <w:rFonts w:hAnsi="宋体"/>
                      <w:szCs w:val="21"/>
                    </w:rPr>
                    <w:t>运输车辆</w:t>
                  </w:r>
                </w:p>
              </w:tc>
              <w:tc>
                <w:tcPr>
                  <w:tcW w:w="787" w:type="dxa"/>
                  <w:vAlign w:val="center"/>
                </w:tcPr>
                <w:p>
                  <w:pPr>
                    <w:adjustRightInd w:val="0"/>
                    <w:snapToGrid w:val="0"/>
                    <w:spacing w:line="240" w:lineRule="exact"/>
                    <w:jc w:val="center"/>
                    <w:rPr>
                      <w:szCs w:val="21"/>
                    </w:rPr>
                  </w:pPr>
                  <w:r>
                    <w:rPr>
                      <w:szCs w:val="21"/>
                    </w:rPr>
                    <w:t>86</w:t>
                  </w:r>
                </w:p>
              </w:tc>
              <w:tc>
                <w:tcPr>
                  <w:tcW w:w="796" w:type="dxa"/>
                  <w:vAlign w:val="center"/>
                </w:tcPr>
                <w:p>
                  <w:pPr>
                    <w:adjustRightInd w:val="0"/>
                    <w:snapToGrid w:val="0"/>
                    <w:spacing w:line="240" w:lineRule="exact"/>
                    <w:jc w:val="center"/>
                    <w:rPr>
                      <w:szCs w:val="21"/>
                    </w:rPr>
                  </w:pPr>
                  <w:r>
                    <w:rPr>
                      <w:szCs w:val="21"/>
                    </w:rPr>
                    <w:t>72</w:t>
                  </w:r>
                </w:p>
              </w:tc>
              <w:tc>
                <w:tcPr>
                  <w:tcW w:w="728" w:type="dxa"/>
                  <w:vAlign w:val="center"/>
                </w:tcPr>
                <w:p>
                  <w:pPr>
                    <w:adjustRightInd w:val="0"/>
                    <w:snapToGrid w:val="0"/>
                    <w:spacing w:line="240" w:lineRule="exact"/>
                    <w:jc w:val="center"/>
                    <w:rPr>
                      <w:szCs w:val="21"/>
                    </w:rPr>
                  </w:pPr>
                  <w:r>
                    <w:rPr>
                      <w:szCs w:val="21"/>
                    </w:rPr>
                    <w:t>62</w:t>
                  </w:r>
                </w:p>
              </w:tc>
              <w:tc>
                <w:tcPr>
                  <w:tcW w:w="810" w:type="dxa"/>
                  <w:vAlign w:val="center"/>
                </w:tcPr>
                <w:p>
                  <w:pPr>
                    <w:adjustRightInd w:val="0"/>
                    <w:snapToGrid w:val="0"/>
                    <w:spacing w:line="240" w:lineRule="exact"/>
                    <w:jc w:val="center"/>
                    <w:rPr>
                      <w:szCs w:val="21"/>
                    </w:rPr>
                  </w:pPr>
                  <w:r>
                    <w:rPr>
                      <w:szCs w:val="21"/>
                    </w:rPr>
                    <w:t>53</w:t>
                  </w:r>
                </w:p>
              </w:tc>
              <w:tc>
                <w:tcPr>
                  <w:tcW w:w="753" w:type="dxa"/>
                  <w:vAlign w:val="center"/>
                </w:tcPr>
                <w:p>
                  <w:pPr>
                    <w:adjustRightInd w:val="0"/>
                    <w:snapToGrid w:val="0"/>
                    <w:spacing w:line="240" w:lineRule="exact"/>
                    <w:jc w:val="center"/>
                    <w:rPr>
                      <w:szCs w:val="21"/>
                    </w:rPr>
                  </w:pPr>
                  <w:r>
                    <w:rPr>
                      <w:szCs w:val="21"/>
                    </w:rPr>
                    <w:t>46</w:t>
                  </w:r>
                </w:p>
              </w:tc>
              <w:tc>
                <w:tcPr>
                  <w:tcW w:w="1162" w:type="dxa"/>
                  <w:vAlign w:val="bottom"/>
                </w:tcPr>
                <w:p>
                  <w:pPr>
                    <w:jc w:val="center"/>
                    <w:rPr>
                      <w:szCs w:val="21"/>
                    </w:rPr>
                  </w:pPr>
                  <w:r>
                    <w:rPr>
                      <w:szCs w:val="21"/>
                    </w:rPr>
                    <w:t>12</w:t>
                  </w:r>
                </w:p>
              </w:tc>
              <w:tc>
                <w:tcPr>
                  <w:tcW w:w="1230" w:type="dxa"/>
                  <w:vAlign w:val="bottom"/>
                </w:tcPr>
                <w:p>
                  <w:pPr>
                    <w:jc w:val="center"/>
                    <w:rPr>
                      <w:szCs w:val="21"/>
                    </w:rPr>
                  </w:pPr>
                  <w:r>
                    <w:rPr>
                      <w:szCs w:val="21"/>
                    </w:rPr>
                    <w:t>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26" w:type="dxa"/>
                  <w:vAlign w:val="center"/>
                </w:tcPr>
                <w:p>
                  <w:pPr>
                    <w:adjustRightInd w:val="0"/>
                    <w:snapToGrid w:val="0"/>
                    <w:spacing w:line="240" w:lineRule="exact"/>
                    <w:jc w:val="center"/>
                    <w:rPr>
                      <w:szCs w:val="21"/>
                    </w:rPr>
                  </w:pPr>
                  <w:r>
                    <w:rPr>
                      <w:szCs w:val="21"/>
                    </w:rPr>
                    <w:t>8</w:t>
                  </w:r>
                </w:p>
              </w:tc>
              <w:tc>
                <w:tcPr>
                  <w:tcW w:w="1609" w:type="dxa"/>
                  <w:vAlign w:val="center"/>
                </w:tcPr>
                <w:p>
                  <w:pPr>
                    <w:adjustRightInd w:val="0"/>
                    <w:snapToGrid w:val="0"/>
                    <w:spacing w:line="240" w:lineRule="exact"/>
                    <w:jc w:val="center"/>
                    <w:rPr>
                      <w:szCs w:val="21"/>
                    </w:rPr>
                  </w:pPr>
                  <w:r>
                    <w:rPr>
                      <w:rFonts w:hAnsi="宋体"/>
                      <w:szCs w:val="21"/>
                    </w:rPr>
                    <w:t>吊车</w:t>
                  </w:r>
                </w:p>
              </w:tc>
              <w:tc>
                <w:tcPr>
                  <w:tcW w:w="787" w:type="dxa"/>
                  <w:vAlign w:val="center"/>
                </w:tcPr>
                <w:p>
                  <w:pPr>
                    <w:adjustRightInd w:val="0"/>
                    <w:snapToGrid w:val="0"/>
                    <w:spacing w:line="240" w:lineRule="exact"/>
                    <w:jc w:val="center"/>
                    <w:rPr>
                      <w:szCs w:val="21"/>
                    </w:rPr>
                  </w:pPr>
                  <w:r>
                    <w:rPr>
                      <w:szCs w:val="21"/>
                    </w:rPr>
                    <w:t>87</w:t>
                  </w:r>
                </w:p>
              </w:tc>
              <w:tc>
                <w:tcPr>
                  <w:tcW w:w="796" w:type="dxa"/>
                  <w:vAlign w:val="center"/>
                </w:tcPr>
                <w:p>
                  <w:pPr>
                    <w:adjustRightInd w:val="0"/>
                    <w:snapToGrid w:val="0"/>
                    <w:spacing w:line="240" w:lineRule="exact"/>
                    <w:jc w:val="center"/>
                    <w:rPr>
                      <w:szCs w:val="21"/>
                    </w:rPr>
                  </w:pPr>
                  <w:r>
                    <w:rPr>
                      <w:szCs w:val="21"/>
                    </w:rPr>
                    <w:t>73</w:t>
                  </w:r>
                </w:p>
              </w:tc>
              <w:tc>
                <w:tcPr>
                  <w:tcW w:w="728" w:type="dxa"/>
                  <w:vAlign w:val="center"/>
                </w:tcPr>
                <w:p>
                  <w:pPr>
                    <w:adjustRightInd w:val="0"/>
                    <w:snapToGrid w:val="0"/>
                    <w:spacing w:line="240" w:lineRule="exact"/>
                    <w:jc w:val="center"/>
                    <w:rPr>
                      <w:szCs w:val="21"/>
                    </w:rPr>
                  </w:pPr>
                  <w:r>
                    <w:rPr>
                      <w:szCs w:val="21"/>
                    </w:rPr>
                    <w:t>63</w:t>
                  </w:r>
                </w:p>
              </w:tc>
              <w:tc>
                <w:tcPr>
                  <w:tcW w:w="810" w:type="dxa"/>
                  <w:vAlign w:val="center"/>
                </w:tcPr>
                <w:p>
                  <w:pPr>
                    <w:adjustRightInd w:val="0"/>
                    <w:snapToGrid w:val="0"/>
                    <w:spacing w:line="240" w:lineRule="exact"/>
                    <w:jc w:val="center"/>
                    <w:rPr>
                      <w:szCs w:val="21"/>
                    </w:rPr>
                  </w:pPr>
                  <w:r>
                    <w:rPr>
                      <w:szCs w:val="21"/>
                    </w:rPr>
                    <w:t>54</w:t>
                  </w:r>
                </w:p>
              </w:tc>
              <w:tc>
                <w:tcPr>
                  <w:tcW w:w="753" w:type="dxa"/>
                  <w:vAlign w:val="center"/>
                </w:tcPr>
                <w:p>
                  <w:pPr>
                    <w:adjustRightInd w:val="0"/>
                    <w:snapToGrid w:val="0"/>
                    <w:spacing w:line="240" w:lineRule="exact"/>
                    <w:jc w:val="center"/>
                    <w:rPr>
                      <w:szCs w:val="21"/>
                    </w:rPr>
                  </w:pPr>
                  <w:r>
                    <w:rPr>
                      <w:szCs w:val="21"/>
                    </w:rPr>
                    <w:t>47</w:t>
                  </w:r>
                </w:p>
              </w:tc>
              <w:tc>
                <w:tcPr>
                  <w:tcW w:w="1162" w:type="dxa"/>
                  <w:vAlign w:val="bottom"/>
                </w:tcPr>
                <w:p>
                  <w:pPr>
                    <w:jc w:val="center"/>
                    <w:rPr>
                      <w:szCs w:val="21"/>
                    </w:rPr>
                  </w:pPr>
                  <w:r>
                    <w:rPr>
                      <w:szCs w:val="21"/>
                    </w:rPr>
                    <w:t>13</w:t>
                  </w:r>
                </w:p>
              </w:tc>
              <w:tc>
                <w:tcPr>
                  <w:tcW w:w="1230" w:type="dxa"/>
                  <w:vAlign w:val="bottom"/>
                </w:tcPr>
                <w:p>
                  <w:pPr>
                    <w:jc w:val="center"/>
                    <w:rPr>
                      <w:szCs w:val="21"/>
                    </w:rPr>
                  </w:pPr>
                  <w:r>
                    <w:rPr>
                      <w:szCs w:val="21"/>
                    </w:rPr>
                    <w:t>47</w:t>
                  </w:r>
                </w:p>
              </w:tc>
            </w:tr>
          </w:tbl>
          <w:p>
            <w:pPr>
              <w:spacing w:line="360" w:lineRule="auto"/>
              <w:ind w:firstLine="480" w:firstLineChars="200"/>
              <w:rPr>
                <w:bCs/>
                <w:sz w:val="24"/>
                <w:szCs w:val="24"/>
              </w:rPr>
            </w:pPr>
            <w:r>
              <w:rPr>
                <w:rFonts w:hint="eastAsia"/>
                <w:bCs/>
                <w:sz w:val="24"/>
                <w:szCs w:val="24"/>
              </w:rPr>
              <w:t>（4）</w:t>
            </w:r>
            <w:r>
              <w:rPr>
                <w:bCs/>
                <w:sz w:val="24"/>
                <w:szCs w:val="24"/>
              </w:rPr>
              <w:t>施工噪声影响评价</w:t>
            </w:r>
          </w:p>
          <w:p>
            <w:pPr>
              <w:spacing w:line="360" w:lineRule="auto"/>
              <w:ind w:firstLine="480" w:firstLineChars="200"/>
              <w:rPr>
                <w:bCs/>
                <w:sz w:val="24"/>
                <w:szCs w:val="24"/>
              </w:rPr>
            </w:pPr>
            <w:r>
              <w:rPr>
                <w:bCs/>
                <w:sz w:val="24"/>
                <w:szCs w:val="24"/>
              </w:rPr>
              <w:t>拟建项目主要包括厂地开挖、</w:t>
            </w:r>
            <w:r>
              <w:rPr>
                <w:rFonts w:hint="eastAsia"/>
                <w:bCs/>
                <w:sz w:val="24"/>
                <w:szCs w:val="24"/>
              </w:rPr>
              <w:t>管道开挖、</w:t>
            </w:r>
            <w:r>
              <w:rPr>
                <w:bCs/>
                <w:sz w:val="24"/>
                <w:szCs w:val="24"/>
              </w:rPr>
              <w:t>厂地平整、地基处理工程、土建结构工程、设备安装工程等。根据表</w:t>
            </w:r>
            <w:r>
              <w:rPr>
                <w:rFonts w:hint="eastAsia"/>
                <w:bCs/>
                <w:sz w:val="24"/>
                <w:szCs w:val="24"/>
              </w:rPr>
              <w:t>50</w:t>
            </w:r>
            <w:r>
              <w:rPr>
                <w:bCs/>
                <w:sz w:val="24"/>
                <w:szCs w:val="24"/>
              </w:rPr>
              <w:t>的预测结果，施工期间噪声影响最大的为轮式装载机，昼间距离施工机械16 m处方可满足标准限值要求，夜间65 m处达标，根据现场调查拟建项目</w:t>
            </w:r>
            <w:r>
              <w:rPr>
                <w:rFonts w:hint="eastAsia"/>
                <w:bCs/>
                <w:sz w:val="24"/>
                <w:szCs w:val="24"/>
              </w:rPr>
              <w:t>管线工程</w:t>
            </w:r>
            <w:r>
              <w:rPr>
                <w:bCs/>
                <w:sz w:val="24"/>
                <w:szCs w:val="24"/>
              </w:rPr>
              <w:t>周围</w:t>
            </w:r>
            <w:r>
              <w:rPr>
                <w:rFonts w:hint="eastAsia"/>
                <w:bCs/>
                <w:sz w:val="24"/>
                <w:szCs w:val="24"/>
              </w:rPr>
              <w:t>65m范围内有居民</w:t>
            </w:r>
            <w:r>
              <w:rPr>
                <w:bCs/>
                <w:sz w:val="24"/>
                <w:szCs w:val="24"/>
              </w:rPr>
              <w:t>。施工单位应采取避免夜间施工，采用低噪声设备等必要措施降低施工噪声的影响</w:t>
            </w:r>
            <w:r>
              <w:rPr>
                <w:rFonts w:hint="eastAsia"/>
                <w:bCs/>
                <w:sz w:val="24"/>
                <w:szCs w:val="24"/>
              </w:rPr>
              <w:t>。</w:t>
            </w:r>
          </w:p>
          <w:p>
            <w:pPr>
              <w:spacing w:line="360" w:lineRule="auto"/>
              <w:ind w:firstLine="480" w:firstLineChars="200"/>
              <w:rPr>
                <w:bCs/>
                <w:sz w:val="24"/>
                <w:szCs w:val="24"/>
              </w:rPr>
            </w:pPr>
            <w:r>
              <w:rPr>
                <w:rFonts w:hint="eastAsia"/>
                <w:bCs/>
                <w:sz w:val="24"/>
                <w:szCs w:val="24"/>
              </w:rPr>
              <w:t>4、水环境影响分析</w:t>
            </w:r>
          </w:p>
          <w:p>
            <w:pPr>
              <w:spacing w:line="360" w:lineRule="auto"/>
              <w:ind w:firstLine="480" w:firstLineChars="200"/>
              <w:rPr>
                <w:sz w:val="24"/>
                <w:szCs w:val="24"/>
              </w:rPr>
            </w:pPr>
            <w:r>
              <w:rPr>
                <w:rFonts w:hAnsi="宋体"/>
                <w:sz w:val="24"/>
              </w:rPr>
              <w:t>施工期间基坑开挖、</w:t>
            </w:r>
            <w:r>
              <w:rPr>
                <w:rFonts w:hint="eastAsia" w:hAnsi="宋体"/>
                <w:sz w:val="24"/>
              </w:rPr>
              <w:t>管道开挖、</w:t>
            </w:r>
            <w:r>
              <w:rPr>
                <w:rFonts w:hAnsi="宋体"/>
                <w:sz w:val="24"/>
              </w:rPr>
              <w:t>挖孔灌注、建筑养护、设备及进出车辆冲洗所产生的泥浆水</w:t>
            </w:r>
            <w:r>
              <w:rPr>
                <w:rFonts w:hint="eastAsia" w:hAnsi="宋体"/>
                <w:sz w:val="24"/>
              </w:rPr>
              <w:t>和</w:t>
            </w:r>
            <w:r>
              <w:rPr>
                <w:rFonts w:hAnsi="宋体"/>
                <w:sz w:val="24"/>
              </w:rPr>
              <w:t>雨水中含有浓度很高的悬浮物，如未经处理直接排放，必然会造成周围地区污水漫流。因此施工期间的泥浆水及雨水不得以渗坑、渗井或漫流方式排放，施工方应加强施工管理与控制，设置专门沟渠收集场地内泥浆水，并采用</w:t>
            </w:r>
            <w:r>
              <w:rPr>
                <w:rFonts w:hint="eastAsia" w:hAnsi="宋体"/>
                <w:sz w:val="24"/>
              </w:rPr>
              <w:t>临时</w:t>
            </w:r>
            <w:r>
              <w:rPr>
                <w:rFonts w:hAnsi="宋体"/>
                <w:sz w:val="24"/>
              </w:rPr>
              <w:t>沉淀池进行处理，上清液优先考虑回用。</w:t>
            </w:r>
          </w:p>
          <w:p>
            <w:pPr>
              <w:spacing w:line="360" w:lineRule="auto"/>
              <w:ind w:firstLine="480" w:firstLineChars="200"/>
              <w:rPr>
                <w:rFonts w:ascii="宋体" w:hAnsi="宋体"/>
                <w:sz w:val="24"/>
              </w:rPr>
            </w:pPr>
            <w:r>
              <w:rPr>
                <w:rFonts w:hint="eastAsia" w:ascii="宋体" w:hAnsi="宋体"/>
                <w:sz w:val="24"/>
              </w:rPr>
              <w:t>项目施工期间生活污水</w:t>
            </w:r>
            <w:r>
              <w:rPr>
                <w:rFonts w:hint="eastAsia" w:hAnsi="宋体"/>
                <w:sz w:val="24"/>
              </w:rPr>
              <w:t>产生量为</w:t>
            </w:r>
            <w:r>
              <w:rPr>
                <w:rFonts w:hint="eastAsia"/>
                <w:sz w:val="24"/>
              </w:rPr>
              <w:t>0.7</w:t>
            </w:r>
            <w:r>
              <w:rPr>
                <w:sz w:val="24"/>
                <w:szCs w:val="24"/>
              </w:rPr>
              <w:t>m</w:t>
            </w:r>
            <w:r>
              <w:rPr>
                <w:sz w:val="24"/>
                <w:szCs w:val="24"/>
                <w:vertAlign w:val="superscript"/>
              </w:rPr>
              <w:t>3</w:t>
            </w:r>
            <w:r>
              <w:rPr>
                <w:sz w:val="24"/>
                <w:szCs w:val="24"/>
              </w:rPr>
              <w:t>/d</w:t>
            </w:r>
            <w:r>
              <w:rPr>
                <w:rFonts w:hint="eastAsia"/>
                <w:sz w:val="24"/>
                <w:szCs w:val="24"/>
              </w:rPr>
              <w:t>，</w:t>
            </w:r>
            <w:r>
              <w:rPr>
                <w:rFonts w:hint="eastAsia" w:hAnsi="宋体"/>
                <w:sz w:val="24"/>
              </w:rPr>
              <w:t>主要污染物为</w:t>
            </w:r>
            <w:r>
              <w:rPr>
                <w:rFonts w:hAnsi="宋体"/>
                <w:sz w:val="24"/>
              </w:rPr>
              <w:t>COD</w:t>
            </w:r>
            <w:r>
              <w:rPr>
                <w:rFonts w:hint="eastAsia" w:hAnsi="宋体"/>
                <w:sz w:val="24"/>
                <w:vertAlign w:val="subscript"/>
              </w:rPr>
              <w:t>Cr</w:t>
            </w:r>
            <w:r>
              <w:rPr>
                <w:rFonts w:hAnsi="宋体"/>
                <w:sz w:val="24"/>
              </w:rPr>
              <w:t>、BOD</w:t>
            </w:r>
            <w:r>
              <w:rPr>
                <w:rFonts w:hAnsi="宋体"/>
                <w:sz w:val="24"/>
                <w:vertAlign w:val="subscript"/>
              </w:rPr>
              <w:t>5</w:t>
            </w:r>
            <w:r>
              <w:rPr>
                <w:rFonts w:hint="eastAsia" w:hAnsi="宋体"/>
                <w:sz w:val="24"/>
              </w:rPr>
              <w:t>、</w:t>
            </w:r>
            <w:r>
              <w:rPr>
                <w:rFonts w:hAnsi="宋体"/>
                <w:sz w:val="24"/>
              </w:rPr>
              <w:t>SS</w:t>
            </w:r>
            <w:r>
              <w:rPr>
                <w:rFonts w:hint="eastAsia" w:hAnsi="宋体"/>
                <w:sz w:val="24"/>
              </w:rPr>
              <w:t>和氨氮。</w:t>
            </w:r>
            <w:r>
              <w:rPr>
                <w:rFonts w:hint="eastAsia" w:ascii="宋体" w:hAnsi="宋体"/>
                <w:sz w:val="24"/>
              </w:rPr>
              <w:t>施工营地不设生活区，施工人员生活依托东风村镇，生活污水依托东风村公用设施解决。</w:t>
            </w:r>
          </w:p>
          <w:p>
            <w:pPr>
              <w:spacing w:line="360" w:lineRule="auto"/>
              <w:rPr>
                <w:sz w:val="24"/>
                <w:szCs w:val="24"/>
              </w:rPr>
            </w:pPr>
            <w:r>
              <w:rPr>
                <w:rFonts w:hint="eastAsia"/>
                <w:sz w:val="24"/>
                <w:szCs w:val="24"/>
              </w:rPr>
              <w:t xml:space="preserve">    给排水管道施工完成后，</w:t>
            </w:r>
            <w:r>
              <w:rPr>
                <w:rFonts w:hint="eastAsia" w:hAnsi="宋体"/>
                <w:sz w:val="24"/>
              </w:rPr>
              <w:t>产生的试压废水排入临时沉淀池收集，待污水处理站投入运行前排入污水处理环节处理达标后排放或回用。</w:t>
            </w:r>
          </w:p>
          <w:p>
            <w:pPr>
              <w:adjustRightInd w:val="0"/>
              <w:spacing w:line="360" w:lineRule="auto"/>
              <w:ind w:firstLine="480" w:firstLineChars="200"/>
              <w:rPr>
                <w:sz w:val="24"/>
              </w:rPr>
            </w:pPr>
            <w:r>
              <w:rPr>
                <w:rFonts w:hAnsi="宋体"/>
                <w:sz w:val="24"/>
              </w:rPr>
              <w:t>经采取上述有效措施后，项目施工期污水对周边环境以及地表水体的影响很小。</w:t>
            </w:r>
          </w:p>
          <w:p>
            <w:pPr>
              <w:spacing w:line="360" w:lineRule="auto"/>
              <w:ind w:firstLine="480" w:firstLineChars="200"/>
              <w:rPr>
                <w:bCs/>
                <w:sz w:val="24"/>
                <w:szCs w:val="24"/>
              </w:rPr>
            </w:pPr>
            <w:r>
              <w:rPr>
                <w:rFonts w:hint="eastAsia"/>
                <w:bCs/>
                <w:sz w:val="24"/>
                <w:szCs w:val="24"/>
              </w:rPr>
              <w:t>5、固体废弃物影响分析</w:t>
            </w:r>
          </w:p>
          <w:p>
            <w:pPr>
              <w:pStyle w:val="197"/>
              <w:snapToGrid w:val="0"/>
              <w:ind w:left="0" w:leftChars="0"/>
              <w:contextualSpacing/>
              <w:rPr>
                <w:rFonts w:ascii="Times New Roman" w:hAnsi="Times New Roman"/>
              </w:rPr>
            </w:pPr>
            <w:r>
              <w:rPr>
                <w:rFonts w:hint="eastAsia" w:ascii="Times New Roman" w:hAnsi="Times New Roman"/>
              </w:rPr>
              <w:t>本项目施工过程中挖方用于填方和场地内平整，场地平整后</w:t>
            </w:r>
            <w:r>
              <w:rPr>
                <w:rFonts w:hint="eastAsia" w:ascii="Times New Roman" w:hAnsi="Times New Roman"/>
                <w:bCs/>
              </w:rPr>
              <w:t>弃方可外售至其他施工场地作为填方回用</w:t>
            </w:r>
            <w:r>
              <w:rPr>
                <w:rFonts w:hint="eastAsia" w:ascii="Times New Roman" w:hAnsi="Times New Roman"/>
              </w:rPr>
              <w:t>。</w:t>
            </w:r>
          </w:p>
          <w:p>
            <w:pPr>
              <w:pStyle w:val="197"/>
              <w:snapToGrid w:val="0"/>
              <w:ind w:left="0" w:leftChars="0"/>
              <w:contextualSpacing/>
              <w:rPr>
                <w:rFonts w:ascii="Times New Roman" w:hAnsi="Times New Roman"/>
              </w:rPr>
            </w:pPr>
            <w:r>
              <w:rPr>
                <w:rFonts w:hint="eastAsia" w:ascii="Times New Roman" w:hAnsi="Times New Roman"/>
              </w:rPr>
              <w:t>施工建筑垃圾主要为</w:t>
            </w:r>
            <w:r>
              <w:rPr>
                <w:bCs/>
              </w:rPr>
              <w:t>废弃的碎砖、石块、冲洗残渣以及各类建材的包装箱、袋</w:t>
            </w:r>
            <w:r>
              <w:rPr>
                <w:rFonts w:hint="eastAsia"/>
              </w:rPr>
              <w:t>等</w:t>
            </w:r>
            <w:r>
              <w:rPr>
                <w:rFonts w:hint="eastAsia" w:ascii="Times New Roman" w:hAnsi="Times New Roman"/>
              </w:rPr>
              <w:t>，这类建筑垃圾经过分拣回收后运往建筑垃圾管理部门指定地点堆放。</w:t>
            </w:r>
          </w:p>
          <w:p>
            <w:pPr>
              <w:pStyle w:val="197"/>
              <w:snapToGrid w:val="0"/>
              <w:ind w:left="0" w:leftChars="0"/>
              <w:contextualSpacing/>
              <w:rPr>
                <w:rFonts w:ascii="Times New Roman" w:hAnsi="Times New Roman"/>
              </w:rPr>
            </w:pPr>
            <w:r>
              <w:rPr>
                <w:rFonts w:hint="eastAsia"/>
              </w:rPr>
              <w:t>拆除的沥青混凝土路面及透水砖人行道路面的垃圾用于施工道路填方和填沟。</w:t>
            </w:r>
          </w:p>
          <w:p>
            <w:pPr>
              <w:pStyle w:val="197"/>
              <w:snapToGrid w:val="0"/>
              <w:ind w:left="0" w:leftChars="0"/>
              <w:contextualSpacing/>
              <w:rPr>
                <w:rFonts w:ascii="Times New Roman" w:hAnsi="Times New Roman"/>
              </w:rPr>
            </w:pPr>
            <w:r>
              <w:rPr>
                <w:rFonts w:hint="eastAsia"/>
              </w:rPr>
              <w:t>施工人员的生活垃圾依托东风村公用设施处理。</w:t>
            </w:r>
          </w:p>
          <w:p>
            <w:pPr>
              <w:pStyle w:val="197"/>
              <w:snapToGrid w:val="0"/>
              <w:ind w:left="0" w:leftChars="0"/>
              <w:contextualSpacing/>
              <w:rPr>
                <w:rFonts w:ascii="Times New Roman" w:hAnsi="Times New Roman"/>
              </w:rPr>
            </w:pPr>
            <w:r>
              <w:rPr>
                <w:rFonts w:hint="eastAsia" w:ascii="Times New Roman" w:hAnsi="Times New Roman"/>
              </w:rPr>
              <w:t>施工过程固体废物</w:t>
            </w:r>
            <w:r>
              <w:rPr>
                <w:rFonts w:ascii="Times New Roman" w:hAnsi="Times New Roman"/>
              </w:rPr>
              <w:t>100%</w:t>
            </w:r>
            <w:r>
              <w:rPr>
                <w:rFonts w:hint="eastAsia" w:ascii="Times New Roman" w:hAnsi="Times New Roman"/>
              </w:rPr>
              <w:t>合理处置，对环境产生影响较小。</w:t>
            </w:r>
          </w:p>
          <w:p>
            <w:pPr>
              <w:spacing w:line="360" w:lineRule="auto"/>
              <w:rPr>
                <w:b/>
                <w:sz w:val="24"/>
                <w:szCs w:val="24"/>
              </w:rPr>
            </w:pPr>
            <w:r>
              <w:rPr>
                <w:rFonts w:hint="eastAsia"/>
                <w:b/>
                <w:sz w:val="24"/>
                <w:szCs w:val="24"/>
              </w:rPr>
              <w:t>运营期环境影响分析：</w:t>
            </w:r>
          </w:p>
          <w:p>
            <w:pPr>
              <w:autoSpaceDE w:val="0"/>
              <w:autoSpaceDN w:val="0"/>
              <w:adjustRightInd w:val="0"/>
              <w:spacing w:line="360" w:lineRule="auto"/>
              <w:ind w:right="-23" w:firstLine="480" w:firstLineChars="200"/>
              <w:jc w:val="left"/>
              <w:rPr>
                <w:rFonts w:hAnsi="宋体"/>
                <w:sz w:val="24"/>
              </w:rPr>
            </w:pPr>
            <w:r>
              <w:rPr>
                <w:rFonts w:hint="eastAsia" w:hAnsi="宋体"/>
                <w:sz w:val="24"/>
              </w:rPr>
              <w:t>本项目环境影响主要表现为废气、废水、噪声、固体废物等对周围环境的影响。</w:t>
            </w:r>
          </w:p>
          <w:p>
            <w:pPr>
              <w:autoSpaceDE w:val="0"/>
              <w:autoSpaceDN w:val="0"/>
              <w:adjustRightInd w:val="0"/>
              <w:spacing w:line="360" w:lineRule="auto"/>
              <w:ind w:right="-23" w:firstLine="482" w:firstLineChars="200"/>
              <w:jc w:val="left"/>
              <w:rPr>
                <w:rFonts w:hAnsi="宋体"/>
                <w:b/>
                <w:sz w:val="24"/>
              </w:rPr>
            </w:pPr>
            <w:r>
              <w:rPr>
                <w:rFonts w:hint="eastAsia" w:hAnsi="宋体"/>
                <w:b/>
                <w:sz w:val="24"/>
              </w:rPr>
              <w:t>1、大气环境影响分析</w:t>
            </w:r>
          </w:p>
          <w:p>
            <w:pPr>
              <w:autoSpaceDE w:val="0"/>
              <w:autoSpaceDN w:val="0"/>
              <w:adjustRightInd w:val="0"/>
              <w:spacing w:line="360" w:lineRule="auto"/>
              <w:ind w:right="-23" w:firstLine="480" w:firstLineChars="200"/>
              <w:jc w:val="left"/>
              <w:rPr>
                <w:rFonts w:hAnsi="宋体"/>
                <w:bCs/>
                <w:sz w:val="24"/>
              </w:rPr>
            </w:pPr>
            <w:r>
              <w:rPr>
                <w:rFonts w:hint="eastAsia" w:hAnsi="宋体"/>
                <w:bCs/>
                <w:sz w:val="24"/>
              </w:rPr>
              <w:t>本项目公路维修完成后交通量不增加，环境空气污染源为汽车尾气，</w:t>
            </w:r>
            <w:r>
              <w:rPr>
                <w:rFonts w:hAnsi="宋体"/>
                <w:bCs/>
                <w:sz w:val="24"/>
              </w:rPr>
              <w:t>主要来自燃料系统挥发和排气筒的排放，污染物有CO、NOx、非甲烷总烃。污染物的排放源强因车流量和车型比例的不同有所不同，随着距公路距离的增加，环境空气中污染物的浓度逐渐降低，高浓度区主要出现在公路两侧30m范围内。随着汽车制造技术的不断进步和人们对环境质量要求的提高，国家将制定愈来愈严格的机动车排放标准，单车排放因子也将愈来愈低。本项目</w:t>
            </w:r>
            <w:r>
              <w:rPr>
                <w:rFonts w:hint="eastAsia" w:hAnsi="宋体"/>
                <w:bCs/>
                <w:sz w:val="24"/>
              </w:rPr>
              <w:t>周边</w:t>
            </w:r>
            <w:r>
              <w:rPr>
                <w:rFonts w:hAnsi="宋体"/>
                <w:bCs/>
                <w:sz w:val="24"/>
              </w:rPr>
              <w:t>处于区域地势开阔地带，周围无高大建筑物，具有良好的污染扩散条件。因此，汽车尾气排放不会对项目地大气环境造成较大的影响。</w:t>
            </w:r>
          </w:p>
          <w:p>
            <w:pPr>
              <w:autoSpaceDE w:val="0"/>
              <w:autoSpaceDN w:val="0"/>
              <w:adjustRightInd w:val="0"/>
              <w:spacing w:line="360" w:lineRule="auto"/>
              <w:ind w:right="-23" w:firstLine="480" w:firstLineChars="200"/>
              <w:jc w:val="left"/>
              <w:rPr>
                <w:rFonts w:hAnsi="宋体"/>
                <w:bCs/>
                <w:sz w:val="24"/>
              </w:rPr>
            </w:pPr>
            <w:r>
              <w:rPr>
                <w:rFonts w:hAnsi="宋体"/>
                <w:bCs/>
                <w:sz w:val="24"/>
              </w:rPr>
              <w:t>项目</w:t>
            </w:r>
            <w:r>
              <w:rPr>
                <w:rFonts w:hint="eastAsia" w:hAnsi="宋体"/>
                <w:bCs/>
                <w:sz w:val="24"/>
              </w:rPr>
              <w:t>污水站</w:t>
            </w:r>
            <w:r>
              <w:rPr>
                <w:rFonts w:hAnsi="宋体"/>
                <w:bCs/>
                <w:sz w:val="24"/>
              </w:rPr>
              <w:t>采用“</w:t>
            </w:r>
            <w:r>
              <w:rPr>
                <w:rFonts w:hint="eastAsia" w:hAnsi="宋体"/>
                <w:bCs/>
                <w:sz w:val="24"/>
              </w:rPr>
              <w:t>多级生物接触氧化</w:t>
            </w:r>
            <w:r>
              <w:rPr>
                <w:rFonts w:hAnsi="宋体"/>
                <w:bCs/>
                <w:sz w:val="24"/>
              </w:rPr>
              <w:t>”工艺，相对于传统工艺其产生的恶臭等大气污染物浓度较低。本项目大气污染物主要为格栅池等处理环节，主要污染因子为NH</w:t>
            </w:r>
            <w:r>
              <w:rPr>
                <w:rFonts w:hAnsi="宋体"/>
                <w:bCs/>
                <w:sz w:val="24"/>
                <w:vertAlign w:val="subscript"/>
              </w:rPr>
              <w:t>3</w:t>
            </w:r>
            <w:r>
              <w:rPr>
                <w:rFonts w:hAnsi="宋体"/>
                <w:bCs/>
                <w:sz w:val="24"/>
              </w:rPr>
              <w:t>和H</w:t>
            </w:r>
            <w:r>
              <w:rPr>
                <w:rFonts w:hAnsi="宋体"/>
                <w:bCs/>
                <w:sz w:val="24"/>
                <w:vertAlign w:val="subscript"/>
              </w:rPr>
              <w:t>2</w:t>
            </w:r>
            <w:r>
              <w:rPr>
                <w:rFonts w:hAnsi="宋体"/>
                <w:bCs/>
                <w:sz w:val="24"/>
              </w:rPr>
              <w:t>S，属于无组织排放。</w:t>
            </w:r>
            <w:r>
              <w:rPr>
                <w:rFonts w:hint="eastAsia" w:hAnsi="宋体"/>
                <w:bCs/>
                <w:sz w:val="24"/>
              </w:rPr>
              <w:t>本次评价选择污水处理系统臭气进行估算模式预测，污水处理设施采用地埋式封闭结构，封闭运行。污水处理设施四周为农田，无高大建筑物，地形开矿，自然通风良好，加盖封闭。</w:t>
            </w:r>
          </w:p>
          <w:p>
            <w:pPr>
              <w:autoSpaceDE w:val="0"/>
              <w:autoSpaceDN w:val="0"/>
              <w:adjustRightInd w:val="0"/>
              <w:spacing w:line="360" w:lineRule="auto"/>
              <w:ind w:right="-23" w:firstLine="480" w:firstLineChars="200"/>
              <w:jc w:val="left"/>
              <w:rPr>
                <w:rFonts w:hAnsi="宋体"/>
                <w:bCs/>
                <w:sz w:val="24"/>
                <w:highlight w:val="lightGray"/>
              </w:rPr>
            </w:pPr>
            <w:r>
              <w:rPr>
                <w:rFonts w:hint="eastAsia" w:hAnsi="宋体"/>
                <w:bCs/>
                <w:sz w:val="24"/>
                <w:highlight w:val="lightGray"/>
              </w:rPr>
              <w:t>根据《环境影响评价技术导则 大气环境》（</w:t>
            </w:r>
            <w:r>
              <w:rPr>
                <w:rFonts w:hAnsi="宋体"/>
                <w:bCs/>
                <w:sz w:val="24"/>
                <w:highlight w:val="lightGray"/>
              </w:rPr>
              <w:t>HJ2.2-20</w:t>
            </w:r>
            <w:r>
              <w:rPr>
                <w:rFonts w:hint="eastAsia" w:hAnsi="宋体"/>
                <w:bCs/>
                <w:sz w:val="24"/>
                <w:highlight w:val="lightGray"/>
              </w:rPr>
              <w:t>1</w:t>
            </w:r>
            <w:r>
              <w:rPr>
                <w:rFonts w:hAnsi="宋体"/>
                <w:bCs/>
                <w:sz w:val="24"/>
                <w:highlight w:val="lightGray"/>
              </w:rPr>
              <w:t>8</w:t>
            </w:r>
            <w:r>
              <w:rPr>
                <w:rFonts w:hint="eastAsia" w:hAnsi="宋体"/>
                <w:bCs/>
                <w:sz w:val="24"/>
                <w:highlight w:val="lightGray"/>
              </w:rPr>
              <w:t>）要求，分别计算项目排放主要污染物的最大地面空气质量浓度占标率P</w:t>
            </w:r>
            <w:r>
              <w:rPr>
                <w:rFonts w:hint="eastAsia" w:hAnsi="宋体"/>
                <w:bCs/>
                <w:sz w:val="24"/>
                <w:highlight w:val="lightGray"/>
                <w:vertAlign w:val="subscript"/>
              </w:rPr>
              <w:t>i</w:t>
            </w:r>
            <w:r>
              <w:rPr>
                <w:rFonts w:hint="eastAsia" w:hAnsi="宋体"/>
                <w:bCs/>
                <w:sz w:val="24"/>
                <w:highlight w:val="lightGray"/>
              </w:rPr>
              <w:t>，及第i个污染物的地面空气质量浓度达到标准值的10%时所对应的最远距离D</w:t>
            </w:r>
            <w:r>
              <w:rPr>
                <w:rFonts w:hint="eastAsia" w:hAnsi="宋体"/>
                <w:bCs/>
                <w:sz w:val="24"/>
                <w:highlight w:val="lightGray"/>
                <w:vertAlign w:val="subscript"/>
              </w:rPr>
              <w:t>10%</w:t>
            </w:r>
            <w:r>
              <w:rPr>
                <w:rFonts w:hint="eastAsia" w:hAnsi="宋体"/>
                <w:bCs/>
                <w:sz w:val="24"/>
                <w:highlight w:val="lightGray"/>
              </w:rPr>
              <w:t>，其中P</w:t>
            </w:r>
            <w:r>
              <w:rPr>
                <w:rFonts w:hint="eastAsia" w:hAnsi="宋体"/>
                <w:bCs/>
                <w:sz w:val="24"/>
                <w:highlight w:val="lightGray"/>
                <w:vertAlign w:val="subscript"/>
              </w:rPr>
              <w:t>i</w:t>
            </w:r>
            <w:r>
              <w:rPr>
                <w:rFonts w:hint="eastAsia" w:hAnsi="宋体"/>
                <w:bCs/>
                <w:sz w:val="24"/>
                <w:highlight w:val="lightGray"/>
              </w:rPr>
              <w:t>定义见下式：</w:t>
            </w:r>
          </w:p>
          <w:p>
            <w:pPr>
              <w:autoSpaceDE w:val="0"/>
              <w:autoSpaceDN w:val="0"/>
              <w:adjustRightInd w:val="0"/>
              <w:spacing w:line="360" w:lineRule="auto"/>
              <w:ind w:right="-23" w:firstLine="480" w:firstLineChars="200"/>
              <w:jc w:val="center"/>
              <w:rPr>
                <w:rFonts w:hAnsi="宋体"/>
                <w:bCs/>
                <w:sz w:val="24"/>
                <w:highlight w:val="lightGray"/>
              </w:rPr>
            </w:pPr>
            <w:r>
              <w:rPr>
                <w:rFonts w:hint="eastAsia" w:hAnsi="宋体"/>
                <w:bCs/>
                <w:sz w:val="24"/>
                <w:highlight w:val="lightGray"/>
              </w:rPr>
              <w:t>P</w:t>
            </w:r>
            <w:r>
              <w:rPr>
                <w:rFonts w:hint="eastAsia" w:hAnsi="宋体"/>
                <w:bCs/>
                <w:sz w:val="24"/>
                <w:highlight w:val="lightGray"/>
                <w:vertAlign w:val="subscript"/>
              </w:rPr>
              <w:t>i</w:t>
            </w:r>
            <w:r>
              <w:rPr>
                <w:rFonts w:hint="eastAsia" w:hAnsi="宋体"/>
                <w:bCs/>
                <w:sz w:val="24"/>
                <w:highlight w:val="lightGray"/>
              </w:rPr>
              <w:t>=C</w:t>
            </w:r>
            <w:r>
              <w:rPr>
                <w:rFonts w:hint="eastAsia" w:hAnsi="宋体"/>
                <w:bCs/>
                <w:sz w:val="24"/>
                <w:highlight w:val="lightGray"/>
                <w:vertAlign w:val="subscript"/>
              </w:rPr>
              <w:t>i</w:t>
            </w:r>
            <w:r>
              <w:rPr>
                <w:rFonts w:hint="eastAsia" w:hAnsi="宋体"/>
                <w:bCs/>
                <w:sz w:val="24"/>
                <w:highlight w:val="lightGray"/>
              </w:rPr>
              <w:t>/C</w:t>
            </w:r>
            <w:r>
              <w:rPr>
                <w:rFonts w:hint="eastAsia" w:hAnsi="宋体"/>
                <w:bCs/>
                <w:sz w:val="24"/>
                <w:highlight w:val="lightGray"/>
                <w:vertAlign w:val="subscript"/>
              </w:rPr>
              <w:t>Oi</w:t>
            </w:r>
            <w:r>
              <w:rPr>
                <w:rFonts w:hint="eastAsia" w:hAnsi="宋体"/>
                <w:bCs/>
                <w:sz w:val="24"/>
                <w:highlight w:val="lightGray"/>
              </w:rPr>
              <w:t>×100%</w:t>
            </w:r>
          </w:p>
          <w:p>
            <w:pPr>
              <w:autoSpaceDE w:val="0"/>
              <w:autoSpaceDN w:val="0"/>
              <w:adjustRightInd w:val="0"/>
              <w:spacing w:line="360" w:lineRule="auto"/>
              <w:ind w:right="-23" w:firstLine="480" w:firstLineChars="200"/>
              <w:jc w:val="left"/>
              <w:rPr>
                <w:rFonts w:hAnsi="宋体"/>
                <w:bCs/>
                <w:sz w:val="24"/>
                <w:highlight w:val="lightGray"/>
              </w:rPr>
            </w:pPr>
            <w:r>
              <w:rPr>
                <w:rFonts w:hint="eastAsia" w:hAnsi="宋体"/>
                <w:bCs/>
                <w:sz w:val="24"/>
                <w:highlight w:val="lightGray"/>
              </w:rPr>
              <w:t>式中：P</w:t>
            </w:r>
            <w:r>
              <w:rPr>
                <w:rFonts w:hint="eastAsia" w:hAnsi="宋体"/>
                <w:bCs/>
                <w:sz w:val="24"/>
                <w:highlight w:val="lightGray"/>
                <w:vertAlign w:val="subscript"/>
              </w:rPr>
              <w:t>i</w:t>
            </w:r>
            <w:r>
              <w:rPr>
                <w:rFonts w:hint="eastAsia" w:hAnsi="宋体"/>
                <w:bCs/>
                <w:sz w:val="24"/>
                <w:highlight w:val="lightGray"/>
              </w:rPr>
              <w:t>——第i个污染物的最大地面空气质量浓度占标率，%；</w:t>
            </w:r>
          </w:p>
          <w:p>
            <w:pPr>
              <w:autoSpaceDE w:val="0"/>
              <w:autoSpaceDN w:val="0"/>
              <w:adjustRightInd w:val="0"/>
              <w:spacing w:line="360" w:lineRule="auto"/>
              <w:ind w:right="-23" w:firstLine="480" w:firstLineChars="200"/>
              <w:jc w:val="left"/>
              <w:rPr>
                <w:rFonts w:hAnsi="宋体"/>
                <w:bCs/>
                <w:sz w:val="24"/>
                <w:highlight w:val="lightGray"/>
              </w:rPr>
            </w:pPr>
            <w:r>
              <w:rPr>
                <w:rFonts w:hint="eastAsia" w:hAnsi="宋体"/>
                <w:bCs/>
                <w:sz w:val="24"/>
                <w:highlight w:val="lightGray"/>
              </w:rPr>
              <w:t xml:space="preserve">      C</w:t>
            </w:r>
            <w:r>
              <w:rPr>
                <w:rFonts w:hint="eastAsia" w:hAnsi="宋体"/>
                <w:bCs/>
                <w:sz w:val="24"/>
                <w:highlight w:val="lightGray"/>
                <w:vertAlign w:val="subscript"/>
              </w:rPr>
              <w:t>i</w:t>
            </w:r>
            <w:r>
              <w:rPr>
                <w:rFonts w:hint="eastAsia" w:hAnsi="宋体"/>
                <w:bCs/>
                <w:sz w:val="24"/>
                <w:highlight w:val="lightGray"/>
              </w:rPr>
              <w:t>——采用估算模型计算出的第i个污染物的最大1h地面空气质量浓度，</w:t>
            </w:r>
            <w:r>
              <w:rPr>
                <w:rFonts w:hAnsi="宋体"/>
                <w:bCs/>
                <w:sz w:val="24"/>
                <w:highlight w:val="lightGray"/>
              </w:rPr>
              <w:t>μg</w:t>
            </w:r>
            <w:r>
              <w:rPr>
                <w:rFonts w:hint="eastAsia" w:hAnsi="宋体"/>
                <w:bCs/>
                <w:sz w:val="24"/>
                <w:highlight w:val="lightGray"/>
              </w:rPr>
              <w:t>/m</w:t>
            </w:r>
            <w:r>
              <w:rPr>
                <w:rFonts w:hint="eastAsia" w:hAnsi="宋体"/>
                <w:bCs/>
                <w:sz w:val="24"/>
                <w:highlight w:val="lightGray"/>
                <w:vertAlign w:val="superscript"/>
              </w:rPr>
              <w:t>3</w:t>
            </w:r>
            <w:r>
              <w:rPr>
                <w:rFonts w:hint="eastAsia" w:hAnsi="宋体"/>
                <w:bCs/>
                <w:sz w:val="24"/>
                <w:highlight w:val="lightGray"/>
              </w:rPr>
              <w:t>；</w:t>
            </w:r>
          </w:p>
          <w:p>
            <w:pPr>
              <w:autoSpaceDE w:val="0"/>
              <w:autoSpaceDN w:val="0"/>
              <w:adjustRightInd w:val="0"/>
              <w:spacing w:line="360" w:lineRule="auto"/>
              <w:ind w:right="-23" w:firstLine="1200" w:firstLineChars="500"/>
              <w:jc w:val="left"/>
              <w:rPr>
                <w:rFonts w:hAnsi="宋体"/>
                <w:bCs/>
                <w:sz w:val="24"/>
                <w:highlight w:val="lightGray"/>
              </w:rPr>
            </w:pPr>
            <w:r>
              <w:rPr>
                <w:rFonts w:hint="eastAsia" w:hAnsi="宋体"/>
                <w:bCs/>
                <w:sz w:val="24"/>
                <w:highlight w:val="lightGray"/>
              </w:rPr>
              <w:t>C</w:t>
            </w:r>
            <w:r>
              <w:rPr>
                <w:rFonts w:hint="eastAsia" w:hAnsi="宋体"/>
                <w:bCs/>
                <w:sz w:val="24"/>
                <w:highlight w:val="lightGray"/>
                <w:vertAlign w:val="subscript"/>
              </w:rPr>
              <w:t>Oi</w:t>
            </w:r>
            <w:r>
              <w:rPr>
                <w:rFonts w:hint="eastAsia" w:hAnsi="宋体"/>
                <w:bCs/>
                <w:sz w:val="24"/>
                <w:highlight w:val="lightGray"/>
              </w:rPr>
              <w:t>——第i个污染物的环境空气质量浓度标准，</w:t>
            </w:r>
            <w:r>
              <w:rPr>
                <w:rFonts w:hAnsi="宋体"/>
                <w:bCs/>
                <w:sz w:val="24"/>
                <w:highlight w:val="lightGray"/>
              </w:rPr>
              <w:t>μg</w:t>
            </w:r>
            <w:r>
              <w:rPr>
                <w:rFonts w:hint="eastAsia" w:hAnsi="宋体"/>
                <w:bCs/>
                <w:sz w:val="24"/>
                <w:highlight w:val="lightGray"/>
              </w:rPr>
              <w:t>/m</w:t>
            </w:r>
            <w:r>
              <w:rPr>
                <w:rFonts w:hint="eastAsia" w:hAnsi="宋体"/>
                <w:bCs/>
                <w:sz w:val="24"/>
                <w:highlight w:val="lightGray"/>
                <w:vertAlign w:val="superscript"/>
              </w:rPr>
              <w:t>3</w:t>
            </w:r>
            <w:r>
              <w:rPr>
                <w:rFonts w:hint="eastAsia" w:hAnsi="宋体"/>
                <w:bCs/>
                <w:sz w:val="24"/>
                <w:highlight w:val="lightGray"/>
              </w:rPr>
              <w:t>；</w:t>
            </w:r>
          </w:p>
          <w:p>
            <w:pPr>
              <w:autoSpaceDE w:val="0"/>
              <w:autoSpaceDN w:val="0"/>
              <w:adjustRightInd w:val="0"/>
              <w:spacing w:line="360" w:lineRule="auto"/>
              <w:ind w:right="-23" w:firstLine="480" w:firstLineChars="200"/>
              <w:jc w:val="left"/>
              <w:rPr>
                <w:rFonts w:hAnsi="宋体"/>
                <w:bCs/>
                <w:sz w:val="24"/>
              </w:rPr>
            </w:pPr>
            <w:r>
              <w:rPr>
                <w:rFonts w:hint="eastAsia" w:hAnsi="宋体"/>
                <w:bCs/>
                <w:sz w:val="24"/>
                <w:highlight w:val="lightGray"/>
              </w:rPr>
              <w:t>评价等级按表51的分级判据进行划分，最大地面空气质量浓度占标率P</w:t>
            </w:r>
            <w:r>
              <w:rPr>
                <w:rFonts w:hint="eastAsia" w:hAnsi="宋体"/>
                <w:bCs/>
                <w:sz w:val="24"/>
                <w:highlight w:val="lightGray"/>
                <w:vertAlign w:val="subscript"/>
              </w:rPr>
              <w:t>i</w:t>
            </w:r>
            <w:r>
              <w:rPr>
                <w:rFonts w:hint="eastAsia" w:hAnsi="宋体"/>
                <w:bCs/>
                <w:sz w:val="24"/>
                <w:highlight w:val="lightGray"/>
              </w:rPr>
              <w:t>按上式计算，如污染物数i大于1，取P值中最大者P</w:t>
            </w:r>
            <w:r>
              <w:rPr>
                <w:rFonts w:hint="eastAsia" w:hAnsi="宋体"/>
                <w:bCs/>
                <w:sz w:val="24"/>
                <w:highlight w:val="lightGray"/>
                <w:vertAlign w:val="subscript"/>
              </w:rPr>
              <w:t>max</w:t>
            </w:r>
            <w:r>
              <w:rPr>
                <w:rFonts w:hint="eastAsia" w:hAnsi="宋体"/>
                <w:bCs/>
                <w:sz w:val="24"/>
                <w:highlight w:val="lightGray"/>
              </w:rPr>
              <w:t>。</w:t>
            </w:r>
          </w:p>
          <w:p>
            <w:pPr>
              <w:autoSpaceDE w:val="0"/>
              <w:autoSpaceDN w:val="0"/>
              <w:adjustRightInd w:val="0"/>
              <w:spacing w:line="360" w:lineRule="auto"/>
              <w:ind w:right="-23" w:firstLine="422" w:firstLineChars="200"/>
              <w:jc w:val="center"/>
              <w:rPr>
                <w:rFonts w:hAnsi="宋体"/>
                <w:b/>
                <w:bCs/>
                <w:szCs w:val="21"/>
                <w:highlight w:val="lightGray"/>
              </w:rPr>
            </w:pPr>
            <w:r>
              <w:rPr>
                <w:rFonts w:hint="eastAsia" w:hAnsi="宋体"/>
                <w:b/>
                <w:bCs/>
                <w:szCs w:val="21"/>
                <w:highlight w:val="lightGray"/>
              </w:rPr>
              <w:t>表51  评价等级判别表</w:t>
            </w:r>
          </w:p>
          <w:tbl>
            <w:tblPr>
              <w:tblStyle w:val="36"/>
              <w:tblW w:w="8901"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4450"/>
              <w:gridCol w:w="445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4450" w:type="dxa"/>
                  <w:vAlign w:val="center"/>
                </w:tcPr>
                <w:p>
                  <w:pPr>
                    <w:autoSpaceDE w:val="0"/>
                    <w:autoSpaceDN w:val="0"/>
                    <w:adjustRightInd w:val="0"/>
                    <w:ind w:right="-23"/>
                    <w:jc w:val="center"/>
                    <w:rPr>
                      <w:rFonts w:hAnsi="宋体"/>
                      <w:b/>
                      <w:bCs/>
                      <w:szCs w:val="21"/>
                      <w:highlight w:val="lightGray"/>
                    </w:rPr>
                  </w:pPr>
                  <w:r>
                    <w:rPr>
                      <w:rFonts w:hint="eastAsia" w:hAnsi="宋体"/>
                      <w:b/>
                      <w:bCs/>
                      <w:szCs w:val="21"/>
                      <w:highlight w:val="lightGray"/>
                    </w:rPr>
                    <w:t>评价工作等级</w:t>
                  </w:r>
                </w:p>
              </w:tc>
              <w:tc>
                <w:tcPr>
                  <w:tcW w:w="4451" w:type="dxa"/>
                  <w:vAlign w:val="center"/>
                </w:tcPr>
                <w:p>
                  <w:pPr>
                    <w:autoSpaceDE w:val="0"/>
                    <w:autoSpaceDN w:val="0"/>
                    <w:adjustRightInd w:val="0"/>
                    <w:ind w:right="-23"/>
                    <w:jc w:val="center"/>
                    <w:rPr>
                      <w:rFonts w:hAnsi="宋体"/>
                      <w:b/>
                      <w:bCs/>
                      <w:szCs w:val="21"/>
                      <w:highlight w:val="lightGray"/>
                    </w:rPr>
                  </w:pPr>
                  <w:r>
                    <w:rPr>
                      <w:rFonts w:hint="eastAsia" w:hAnsi="宋体"/>
                      <w:b/>
                      <w:bCs/>
                      <w:szCs w:val="21"/>
                      <w:highlight w:val="lightGray"/>
                    </w:rPr>
                    <w:t>评价工作分级判据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4450" w:type="dxa"/>
                  <w:vAlign w:val="center"/>
                </w:tcPr>
                <w:p>
                  <w:pPr>
                    <w:autoSpaceDE w:val="0"/>
                    <w:autoSpaceDN w:val="0"/>
                    <w:adjustRightInd w:val="0"/>
                    <w:ind w:right="-23"/>
                    <w:jc w:val="center"/>
                    <w:rPr>
                      <w:rFonts w:hAnsi="宋体"/>
                      <w:bCs/>
                      <w:szCs w:val="21"/>
                      <w:highlight w:val="lightGray"/>
                    </w:rPr>
                  </w:pPr>
                  <w:r>
                    <w:rPr>
                      <w:rFonts w:hint="eastAsia" w:hAnsi="宋体"/>
                      <w:bCs/>
                      <w:szCs w:val="21"/>
                      <w:highlight w:val="lightGray"/>
                    </w:rPr>
                    <w:t>一级评价</w:t>
                  </w:r>
                </w:p>
              </w:tc>
              <w:tc>
                <w:tcPr>
                  <w:tcW w:w="4451" w:type="dxa"/>
                  <w:vAlign w:val="center"/>
                </w:tcPr>
                <w:p>
                  <w:pPr>
                    <w:autoSpaceDE w:val="0"/>
                    <w:autoSpaceDN w:val="0"/>
                    <w:adjustRightInd w:val="0"/>
                    <w:ind w:right="-23"/>
                    <w:jc w:val="center"/>
                    <w:rPr>
                      <w:rFonts w:hAnsi="宋体"/>
                      <w:bCs/>
                      <w:szCs w:val="21"/>
                      <w:highlight w:val="lightGray"/>
                    </w:rPr>
                  </w:pPr>
                  <w:r>
                    <w:rPr>
                      <w:rFonts w:hint="eastAsia" w:hAnsi="宋体"/>
                      <w:bCs/>
                      <w:szCs w:val="21"/>
                      <w:highlight w:val="lightGray"/>
                    </w:rPr>
                    <w:t>P</w:t>
                  </w:r>
                  <w:r>
                    <w:rPr>
                      <w:rFonts w:hint="eastAsia" w:hAnsi="宋体"/>
                      <w:bCs/>
                      <w:szCs w:val="21"/>
                      <w:highlight w:val="lightGray"/>
                      <w:vertAlign w:val="subscript"/>
                    </w:rPr>
                    <w:t>max</w:t>
                  </w:r>
                  <w:r>
                    <w:rPr>
                      <w:rFonts w:hint="eastAsia" w:hAnsi="宋体"/>
                      <w:bCs/>
                      <w:szCs w:val="21"/>
                      <w:highlight w:val="lightGray"/>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4450" w:type="dxa"/>
                  <w:vAlign w:val="center"/>
                </w:tcPr>
                <w:p>
                  <w:pPr>
                    <w:autoSpaceDE w:val="0"/>
                    <w:autoSpaceDN w:val="0"/>
                    <w:adjustRightInd w:val="0"/>
                    <w:ind w:right="-23"/>
                    <w:jc w:val="center"/>
                    <w:rPr>
                      <w:rFonts w:hAnsi="宋体"/>
                      <w:bCs/>
                      <w:szCs w:val="21"/>
                      <w:highlight w:val="lightGray"/>
                    </w:rPr>
                  </w:pPr>
                  <w:r>
                    <w:rPr>
                      <w:rFonts w:hint="eastAsia" w:hAnsi="宋体"/>
                      <w:bCs/>
                      <w:szCs w:val="21"/>
                      <w:highlight w:val="lightGray"/>
                    </w:rPr>
                    <w:t>二级评价</w:t>
                  </w:r>
                </w:p>
              </w:tc>
              <w:tc>
                <w:tcPr>
                  <w:tcW w:w="4451" w:type="dxa"/>
                  <w:vAlign w:val="center"/>
                </w:tcPr>
                <w:p>
                  <w:pPr>
                    <w:autoSpaceDE w:val="0"/>
                    <w:autoSpaceDN w:val="0"/>
                    <w:adjustRightInd w:val="0"/>
                    <w:ind w:right="-23"/>
                    <w:jc w:val="center"/>
                    <w:rPr>
                      <w:rFonts w:hAnsi="宋体"/>
                      <w:bCs/>
                      <w:szCs w:val="21"/>
                      <w:highlight w:val="lightGray"/>
                    </w:rPr>
                  </w:pPr>
                  <w:r>
                    <w:rPr>
                      <w:rFonts w:hint="eastAsia" w:hAnsi="宋体"/>
                      <w:bCs/>
                      <w:szCs w:val="21"/>
                      <w:highlight w:val="lightGray"/>
                    </w:rPr>
                    <w:t>1%≤P</w:t>
                  </w:r>
                  <w:r>
                    <w:rPr>
                      <w:rFonts w:hint="eastAsia" w:hAnsi="宋体"/>
                      <w:bCs/>
                      <w:szCs w:val="21"/>
                      <w:highlight w:val="lightGray"/>
                      <w:vertAlign w:val="subscript"/>
                    </w:rPr>
                    <w:t>max</w:t>
                  </w:r>
                  <w:r>
                    <w:rPr>
                      <w:rFonts w:hint="eastAsia" w:hAnsi="宋体"/>
                      <w:bCs/>
                      <w:szCs w:val="21"/>
                      <w:highlight w:val="lightGray"/>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c>
                <w:tcPr>
                  <w:tcW w:w="4450" w:type="dxa"/>
                  <w:vAlign w:val="center"/>
                </w:tcPr>
                <w:p>
                  <w:pPr>
                    <w:autoSpaceDE w:val="0"/>
                    <w:autoSpaceDN w:val="0"/>
                    <w:adjustRightInd w:val="0"/>
                    <w:ind w:right="-23"/>
                    <w:jc w:val="center"/>
                    <w:rPr>
                      <w:rFonts w:hAnsi="宋体"/>
                      <w:bCs/>
                      <w:szCs w:val="21"/>
                      <w:highlight w:val="lightGray"/>
                    </w:rPr>
                  </w:pPr>
                  <w:r>
                    <w:rPr>
                      <w:rFonts w:hint="eastAsia" w:hAnsi="宋体"/>
                      <w:bCs/>
                      <w:szCs w:val="21"/>
                      <w:highlight w:val="lightGray"/>
                    </w:rPr>
                    <w:t>三级评价</w:t>
                  </w:r>
                </w:p>
              </w:tc>
              <w:tc>
                <w:tcPr>
                  <w:tcW w:w="4451" w:type="dxa"/>
                  <w:vAlign w:val="center"/>
                </w:tcPr>
                <w:p>
                  <w:pPr>
                    <w:autoSpaceDE w:val="0"/>
                    <w:autoSpaceDN w:val="0"/>
                    <w:adjustRightInd w:val="0"/>
                    <w:ind w:right="-23"/>
                    <w:jc w:val="center"/>
                    <w:rPr>
                      <w:rFonts w:hAnsi="宋体"/>
                      <w:bCs/>
                      <w:szCs w:val="21"/>
                    </w:rPr>
                  </w:pPr>
                  <w:r>
                    <w:rPr>
                      <w:rFonts w:hint="eastAsia" w:hAnsi="宋体"/>
                      <w:bCs/>
                      <w:szCs w:val="21"/>
                      <w:highlight w:val="lightGray"/>
                    </w:rPr>
                    <w:t>P</w:t>
                  </w:r>
                  <w:r>
                    <w:rPr>
                      <w:rFonts w:hint="eastAsia" w:hAnsi="宋体"/>
                      <w:bCs/>
                      <w:szCs w:val="21"/>
                      <w:highlight w:val="lightGray"/>
                      <w:vertAlign w:val="subscript"/>
                    </w:rPr>
                    <w:t>max</w:t>
                  </w:r>
                  <w:r>
                    <w:rPr>
                      <w:rFonts w:hint="eastAsia" w:hAnsi="宋体"/>
                      <w:bCs/>
                      <w:szCs w:val="21"/>
                      <w:highlight w:val="lightGray"/>
                    </w:rPr>
                    <w:t>＜1%</w:t>
                  </w:r>
                </w:p>
              </w:tc>
            </w:tr>
          </w:tbl>
          <w:p>
            <w:pPr>
              <w:autoSpaceDE w:val="0"/>
              <w:autoSpaceDN w:val="0"/>
              <w:adjustRightInd w:val="0"/>
              <w:spacing w:line="360" w:lineRule="auto"/>
              <w:ind w:right="-23" w:firstLine="480" w:firstLineChars="200"/>
              <w:jc w:val="left"/>
              <w:rPr>
                <w:rFonts w:hAnsi="宋体"/>
                <w:bCs/>
                <w:sz w:val="24"/>
              </w:rPr>
            </w:pPr>
            <w:r>
              <w:rPr>
                <w:rFonts w:hint="eastAsia" w:hAnsi="宋体"/>
                <w:bCs/>
                <w:sz w:val="24"/>
                <w:highlight w:val="lightGray"/>
              </w:rPr>
              <w:t>根据表53估算结果可知，项目</w:t>
            </w:r>
            <w:r>
              <w:rPr>
                <w:rFonts w:hAnsi="宋体"/>
                <w:bCs/>
                <w:sz w:val="24"/>
                <w:highlight w:val="lightGray"/>
              </w:rPr>
              <w:t>NH</w:t>
            </w:r>
            <w:r>
              <w:rPr>
                <w:rFonts w:hAnsi="宋体"/>
                <w:bCs/>
                <w:sz w:val="24"/>
                <w:highlight w:val="lightGray"/>
                <w:vertAlign w:val="subscript"/>
              </w:rPr>
              <w:t>3</w:t>
            </w:r>
            <w:r>
              <w:rPr>
                <w:rFonts w:hAnsi="宋体"/>
                <w:bCs/>
                <w:sz w:val="24"/>
                <w:highlight w:val="lightGray"/>
              </w:rPr>
              <w:t>、H</w:t>
            </w:r>
            <w:r>
              <w:rPr>
                <w:rFonts w:hAnsi="宋体"/>
                <w:bCs/>
                <w:sz w:val="24"/>
                <w:highlight w:val="lightGray"/>
                <w:vertAlign w:val="subscript"/>
              </w:rPr>
              <w:t>2</w:t>
            </w:r>
            <w:r>
              <w:rPr>
                <w:rFonts w:hAnsi="宋体"/>
                <w:bCs/>
                <w:sz w:val="24"/>
                <w:highlight w:val="lightGray"/>
              </w:rPr>
              <w:t>S</w:t>
            </w:r>
            <w:r>
              <w:rPr>
                <w:rFonts w:hint="eastAsia" w:hAnsi="宋体"/>
                <w:bCs/>
                <w:sz w:val="24"/>
                <w:highlight w:val="lightGray"/>
              </w:rPr>
              <w:t>最大地面空气质量浓度占标率为5.92%、4.59%，小于10%，为二级评价，根据《环境影响评价技术导则 大气环境》（</w:t>
            </w:r>
            <w:r>
              <w:rPr>
                <w:rFonts w:hAnsi="宋体"/>
                <w:bCs/>
                <w:sz w:val="24"/>
                <w:highlight w:val="lightGray"/>
              </w:rPr>
              <w:t>HJ2.2-20</w:t>
            </w:r>
            <w:r>
              <w:rPr>
                <w:rFonts w:hint="eastAsia" w:hAnsi="宋体"/>
                <w:bCs/>
                <w:sz w:val="24"/>
                <w:highlight w:val="lightGray"/>
              </w:rPr>
              <w:t>1</w:t>
            </w:r>
            <w:r>
              <w:rPr>
                <w:rFonts w:hAnsi="宋体"/>
                <w:bCs/>
                <w:sz w:val="24"/>
                <w:highlight w:val="lightGray"/>
              </w:rPr>
              <w:t>8</w:t>
            </w:r>
            <w:r>
              <w:rPr>
                <w:rFonts w:hint="eastAsia" w:hAnsi="宋体"/>
                <w:bCs/>
                <w:sz w:val="24"/>
                <w:highlight w:val="lightGray"/>
              </w:rPr>
              <w:t>），二级评价项目不进行进一步预测与评价，只对污染物排放量进行核算。</w:t>
            </w:r>
          </w:p>
          <w:p>
            <w:pPr>
              <w:autoSpaceDE w:val="0"/>
              <w:autoSpaceDN w:val="0"/>
              <w:adjustRightInd w:val="0"/>
              <w:spacing w:line="360" w:lineRule="auto"/>
              <w:ind w:right="-23" w:firstLine="480" w:firstLineChars="200"/>
              <w:jc w:val="left"/>
              <w:rPr>
                <w:rFonts w:hAnsi="宋体"/>
                <w:bCs/>
                <w:sz w:val="24"/>
              </w:rPr>
            </w:pPr>
            <w:r>
              <w:rPr>
                <w:rFonts w:hAnsi="宋体"/>
                <w:bCs/>
                <w:sz w:val="24"/>
              </w:rPr>
              <w:t>（1）</w:t>
            </w:r>
            <w:r>
              <w:rPr>
                <w:rFonts w:hint="eastAsia" w:hAnsi="宋体"/>
                <w:bCs/>
                <w:sz w:val="24"/>
              </w:rPr>
              <w:t>估算模式预测</w:t>
            </w:r>
          </w:p>
          <w:p>
            <w:pPr>
              <w:autoSpaceDE w:val="0"/>
              <w:autoSpaceDN w:val="0"/>
              <w:adjustRightInd w:val="0"/>
              <w:spacing w:line="360" w:lineRule="auto"/>
              <w:ind w:right="-23" w:firstLine="480" w:firstLineChars="200"/>
              <w:jc w:val="left"/>
              <w:rPr>
                <w:rFonts w:hAnsi="宋体"/>
                <w:bCs/>
                <w:sz w:val="24"/>
              </w:rPr>
            </w:pPr>
            <w:r>
              <w:rPr>
                <w:rFonts w:hAnsi="宋体"/>
                <w:bCs/>
                <w:sz w:val="24"/>
              </w:rPr>
              <w:t>根据工程分析计算结果，项目运营过程产生的NH</w:t>
            </w:r>
            <w:r>
              <w:rPr>
                <w:rFonts w:hAnsi="宋体"/>
                <w:bCs/>
                <w:sz w:val="24"/>
                <w:vertAlign w:val="subscript"/>
              </w:rPr>
              <w:t>3</w:t>
            </w:r>
            <w:r>
              <w:rPr>
                <w:rFonts w:hAnsi="宋体"/>
                <w:bCs/>
                <w:sz w:val="24"/>
              </w:rPr>
              <w:t>和H</w:t>
            </w:r>
            <w:r>
              <w:rPr>
                <w:rFonts w:hAnsi="宋体"/>
                <w:bCs/>
                <w:sz w:val="24"/>
                <w:vertAlign w:val="subscript"/>
              </w:rPr>
              <w:t>2</w:t>
            </w:r>
            <w:r>
              <w:rPr>
                <w:rFonts w:hAnsi="宋体"/>
                <w:bCs/>
                <w:sz w:val="24"/>
              </w:rPr>
              <w:t>S</w:t>
            </w:r>
            <w:r>
              <w:rPr>
                <w:rFonts w:hint="eastAsia" w:hAnsi="宋体"/>
                <w:bCs/>
                <w:sz w:val="24"/>
              </w:rPr>
              <w:t>产生</w:t>
            </w:r>
            <w:r>
              <w:rPr>
                <w:rFonts w:hAnsi="宋体"/>
                <w:bCs/>
                <w:sz w:val="24"/>
              </w:rPr>
              <w:t>量分别为</w:t>
            </w:r>
            <w:r>
              <w:rPr>
                <w:rFonts w:hint="eastAsia" w:hAnsi="宋体"/>
                <w:bCs/>
                <w:sz w:val="24"/>
              </w:rPr>
              <w:t>14.7kg</w:t>
            </w:r>
            <w:r>
              <w:rPr>
                <w:rFonts w:hAnsi="宋体"/>
                <w:bCs/>
                <w:sz w:val="24"/>
              </w:rPr>
              <w:t>/a</w:t>
            </w:r>
            <w:r>
              <w:rPr>
                <w:rFonts w:hint="eastAsia" w:hAnsi="宋体"/>
                <w:bCs/>
                <w:sz w:val="24"/>
              </w:rPr>
              <w:t>、0.57kg</w:t>
            </w:r>
            <w:r>
              <w:rPr>
                <w:rFonts w:hAnsi="宋体"/>
                <w:bCs/>
                <w:sz w:val="24"/>
              </w:rPr>
              <w:t>/a</w:t>
            </w:r>
            <w:r>
              <w:rPr>
                <w:rFonts w:hint="eastAsia" w:hAnsi="宋体"/>
                <w:bCs/>
                <w:sz w:val="24"/>
              </w:rPr>
              <w:t>，逸散量约为10%，即1.47kg</w:t>
            </w:r>
            <w:r>
              <w:rPr>
                <w:rFonts w:hAnsi="宋体"/>
                <w:bCs/>
                <w:sz w:val="24"/>
              </w:rPr>
              <w:t xml:space="preserve"> /a</w:t>
            </w:r>
            <w:r>
              <w:rPr>
                <w:rFonts w:hint="eastAsia" w:hAnsi="宋体"/>
                <w:bCs/>
                <w:sz w:val="24"/>
              </w:rPr>
              <w:t>、0.057kg</w:t>
            </w:r>
            <w:r>
              <w:rPr>
                <w:rFonts w:hAnsi="宋体"/>
                <w:bCs/>
                <w:sz w:val="24"/>
              </w:rPr>
              <w:t xml:space="preserve"> /a</w:t>
            </w:r>
            <w:r>
              <w:rPr>
                <w:rFonts w:hint="eastAsia" w:hAnsi="宋体"/>
                <w:bCs/>
                <w:sz w:val="24"/>
              </w:rPr>
              <w:t>，</w:t>
            </w:r>
            <w:r>
              <w:rPr>
                <w:rFonts w:hAnsi="宋体"/>
                <w:bCs/>
                <w:sz w:val="24"/>
              </w:rPr>
              <w:t>排放方式为无组织排放。无组织废气源强见表</w:t>
            </w:r>
            <w:r>
              <w:rPr>
                <w:rFonts w:hint="eastAsia" w:hAnsi="宋体"/>
                <w:bCs/>
                <w:sz w:val="24"/>
              </w:rPr>
              <w:t>52</w:t>
            </w:r>
            <w:r>
              <w:rPr>
                <w:rFonts w:hAnsi="宋体"/>
                <w:bCs/>
                <w:sz w:val="24"/>
              </w:rPr>
              <w:t>。</w:t>
            </w:r>
          </w:p>
          <w:p>
            <w:pPr>
              <w:autoSpaceDE w:val="0"/>
              <w:autoSpaceDN w:val="0"/>
              <w:adjustRightInd w:val="0"/>
              <w:spacing w:line="360" w:lineRule="auto"/>
              <w:ind w:right="-23" w:firstLine="422" w:firstLineChars="200"/>
              <w:jc w:val="center"/>
              <w:rPr>
                <w:rFonts w:hAnsi="宋体"/>
                <w:b/>
                <w:bCs/>
                <w:szCs w:val="21"/>
              </w:rPr>
            </w:pPr>
            <w:r>
              <w:rPr>
                <w:rFonts w:hint="eastAsia" w:hAnsi="宋体"/>
                <w:b/>
                <w:bCs/>
                <w:szCs w:val="21"/>
              </w:rPr>
              <w:t>表52   项目大气污染物无组织废气源强一览表</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82"/>
              <w:gridCol w:w="990"/>
              <w:gridCol w:w="878"/>
              <w:gridCol w:w="748"/>
              <w:gridCol w:w="1043"/>
              <w:gridCol w:w="1036"/>
              <w:gridCol w:w="1195"/>
              <w:gridCol w:w="1063"/>
              <w:gridCol w:w="11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1" w:hRule="atLeast"/>
                <w:jc w:val="center"/>
              </w:trPr>
              <w:tc>
                <w:tcPr>
                  <w:tcW w:w="782" w:type="dxa"/>
                  <w:vAlign w:val="center"/>
                </w:tcPr>
                <w:p>
                  <w:pPr>
                    <w:pStyle w:val="7"/>
                    <w:spacing w:line="240" w:lineRule="exact"/>
                    <w:jc w:val="center"/>
                    <w:rPr>
                      <w:b/>
                      <w:szCs w:val="21"/>
                    </w:rPr>
                  </w:pPr>
                  <w:r>
                    <w:rPr>
                      <w:rFonts w:hAnsi="宋体"/>
                      <w:b/>
                      <w:szCs w:val="21"/>
                    </w:rPr>
                    <w:t>项目</w:t>
                  </w:r>
                </w:p>
              </w:tc>
              <w:tc>
                <w:tcPr>
                  <w:tcW w:w="990" w:type="dxa"/>
                  <w:vAlign w:val="center"/>
                </w:tcPr>
                <w:p>
                  <w:pPr>
                    <w:pStyle w:val="7"/>
                    <w:spacing w:line="240" w:lineRule="exact"/>
                    <w:jc w:val="center"/>
                    <w:rPr>
                      <w:b/>
                      <w:szCs w:val="21"/>
                    </w:rPr>
                  </w:pPr>
                  <w:r>
                    <w:rPr>
                      <w:rFonts w:hAnsi="宋体"/>
                      <w:b/>
                      <w:szCs w:val="21"/>
                    </w:rPr>
                    <w:t>面源名称</w:t>
                  </w:r>
                </w:p>
              </w:tc>
              <w:tc>
                <w:tcPr>
                  <w:tcW w:w="878" w:type="dxa"/>
                  <w:vAlign w:val="center"/>
                </w:tcPr>
                <w:p>
                  <w:pPr>
                    <w:pStyle w:val="7"/>
                    <w:spacing w:line="240" w:lineRule="exact"/>
                    <w:jc w:val="center"/>
                    <w:rPr>
                      <w:b/>
                      <w:szCs w:val="21"/>
                    </w:rPr>
                  </w:pPr>
                  <w:r>
                    <w:rPr>
                      <w:rFonts w:hAnsi="宋体"/>
                      <w:b/>
                      <w:szCs w:val="21"/>
                    </w:rPr>
                    <w:t>面源长度</w:t>
                  </w:r>
                </w:p>
              </w:tc>
              <w:tc>
                <w:tcPr>
                  <w:tcW w:w="748" w:type="dxa"/>
                  <w:vAlign w:val="center"/>
                </w:tcPr>
                <w:p>
                  <w:pPr>
                    <w:pStyle w:val="7"/>
                    <w:spacing w:line="240" w:lineRule="exact"/>
                    <w:jc w:val="center"/>
                    <w:rPr>
                      <w:b/>
                      <w:szCs w:val="21"/>
                    </w:rPr>
                  </w:pPr>
                  <w:r>
                    <w:rPr>
                      <w:rFonts w:hAnsi="宋体"/>
                      <w:b/>
                      <w:szCs w:val="21"/>
                    </w:rPr>
                    <w:t>面源宽度</w:t>
                  </w:r>
                </w:p>
              </w:tc>
              <w:tc>
                <w:tcPr>
                  <w:tcW w:w="1043" w:type="dxa"/>
                  <w:vAlign w:val="center"/>
                </w:tcPr>
                <w:p>
                  <w:pPr>
                    <w:pStyle w:val="7"/>
                    <w:spacing w:line="240" w:lineRule="exact"/>
                    <w:jc w:val="center"/>
                    <w:rPr>
                      <w:b/>
                      <w:szCs w:val="21"/>
                    </w:rPr>
                  </w:pPr>
                  <w:r>
                    <w:rPr>
                      <w:rFonts w:hAnsi="宋体"/>
                      <w:b/>
                      <w:szCs w:val="21"/>
                    </w:rPr>
                    <w:t>与正北方向夹角</w:t>
                  </w:r>
                </w:p>
              </w:tc>
              <w:tc>
                <w:tcPr>
                  <w:tcW w:w="1036" w:type="dxa"/>
                  <w:vAlign w:val="center"/>
                </w:tcPr>
                <w:p>
                  <w:pPr>
                    <w:pStyle w:val="7"/>
                    <w:spacing w:line="240" w:lineRule="exact"/>
                    <w:jc w:val="center"/>
                    <w:rPr>
                      <w:b/>
                      <w:szCs w:val="21"/>
                    </w:rPr>
                  </w:pPr>
                  <w:r>
                    <w:rPr>
                      <w:rFonts w:hAnsi="宋体"/>
                      <w:b/>
                      <w:szCs w:val="21"/>
                    </w:rPr>
                    <w:t>面源初始排放高度</w:t>
                  </w:r>
                </w:p>
              </w:tc>
              <w:tc>
                <w:tcPr>
                  <w:tcW w:w="1195" w:type="dxa"/>
                  <w:vAlign w:val="center"/>
                </w:tcPr>
                <w:p>
                  <w:pPr>
                    <w:pStyle w:val="7"/>
                    <w:spacing w:line="240" w:lineRule="exact"/>
                    <w:jc w:val="center"/>
                    <w:rPr>
                      <w:b/>
                      <w:szCs w:val="21"/>
                    </w:rPr>
                  </w:pPr>
                  <w:r>
                    <w:rPr>
                      <w:rFonts w:hAnsi="宋体"/>
                      <w:b/>
                      <w:szCs w:val="21"/>
                    </w:rPr>
                    <w:t>排放</w:t>
                  </w:r>
                </w:p>
                <w:p>
                  <w:pPr>
                    <w:pStyle w:val="7"/>
                    <w:spacing w:line="240" w:lineRule="exact"/>
                    <w:jc w:val="center"/>
                    <w:rPr>
                      <w:b/>
                      <w:szCs w:val="21"/>
                    </w:rPr>
                  </w:pPr>
                  <w:r>
                    <w:rPr>
                      <w:rFonts w:hAnsi="宋体"/>
                      <w:b/>
                      <w:szCs w:val="21"/>
                    </w:rPr>
                    <w:t>速率</w:t>
                  </w:r>
                </w:p>
              </w:tc>
              <w:tc>
                <w:tcPr>
                  <w:tcW w:w="1063" w:type="dxa"/>
                  <w:vAlign w:val="center"/>
                </w:tcPr>
                <w:p>
                  <w:pPr>
                    <w:pStyle w:val="7"/>
                    <w:spacing w:line="240" w:lineRule="exact"/>
                    <w:jc w:val="center"/>
                    <w:rPr>
                      <w:b/>
                      <w:szCs w:val="21"/>
                    </w:rPr>
                  </w:pPr>
                  <w:r>
                    <w:rPr>
                      <w:rFonts w:hAnsi="宋体"/>
                      <w:b/>
                      <w:szCs w:val="21"/>
                    </w:rPr>
                    <w:t>排放</w:t>
                  </w:r>
                </w:p>
                <w:p>
                  <w:pPr>
                    <w:pStyle w:val="7"/>
                    <w:spacing w:line="240" w:lineRule="exact"/>
                    <w:jc w:val="center"/>
                    <w:rPr>
                      <w:b/>
                      <w:szCs w:val="21"/>
                    </w:rPr>
                  </w:pPr>
                  <w:r>
                    <w:rPr>
                      <w:rFonts w:hAnsi="宋体"/>
                      <w:b/>
                      <w:szCs w:val="21"/>
                    </w:rPr>
                    <w:t>工况</w:t>
                  </w:r>
                </w:p>
              </w:tc>
              <w:tc>
                <w:tcPr>
                  <w:tcW w:w="1166" w:type="dxa"/>
                  <w:vAlign w:val="center"/>
                </w:tcPr>
                <w:p>
                  <w:pPr>
                    <w:pStyle w:val="7"/>
                    <w:spacing w:line="240" w:lineRule="exact"/>
                    <w:jc w:val="center"/>
                    <w:rPr>
                      <w:b/>
                      <w:szCs w:val="21"/>
                    </w:rPr>
                  </w:pPr>
                  <w:r>
                    <w:rPr>
                      <w:rFonts w:hAnsi="宋体"/>
                      <w:b/>
                      <w:szCs w:val="21"/>
                    </w:rPr>
                    <w:t>评价因子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67" w:hRule="atLeast"/>
                <w:jc w:val="center"/>
              </w:trPr>
              <w:tc>
                <w:tcPr>
                  <w:tcW w:w="782" w:type="dxa"/>
                  <w:vAlign w:val="center"/>
                </w:tcPr>
                <w:p>
                  <w:pPr>
                    <w:pStyle w:val="7"/>
                    <w:spacing w:line="240" w:lineRule="exact"/>
                    <w:jc w:val="center"/>
                    <w:rPr>
                      <w:szCs w:val="21"/>
                    </w:rPr>
                  </w:pPr>
                  <w:r>
                    <w:rPr>
                      <w:rFonts w:hAnsi="宋体"/>
                      <w:szCs w:val="21"/>
                    </w:rPr>
                    <w:t>符号</w:t>
                  </w:r>
                </w:p>
              </w:tc>
              <w:tc>
                <w:tcPr>
                  <w:tcW w:w="990" w:type="dxa"/>
                  <w:vAlign w:val="center"/>
                </w:tcPr>
                <w:p>
                  <w:pPr>
                    <w:pStyle w:val="7"/>
                    <w:spacing w:line="240" w:lineRule="exact"/>
                    <w:jc w:val="center"/>
                    <w:rPr>
                      <w:szCs w:val="21"/>
                    </w:rPr>
                  </w:pPr>
                  <w:r>
                    <w:rPr>
                      <w:szCs w:val="21"/>
                    </w:rPr>
                    <w:t>Name</w:t>
                  </w:r>
                </w:p>
              </w:tc>
              <w:tc>
                <w:tcPr>
                  <w:tcW w:w="878" w:type="dxa"/>
                  <w:vAlign w:val="center"/>
                </w:tcPr>
                <w:p>
                  <w:pPr>
                    <w:pStyle w:val="7"/>
                    <w:spacing w:line="240" w:lineRule="exact"/>
                    <w:jc w:val="center"/>
                    <w:rPr>
                      <w:szCs w:val="21"/>
                    </w:rPr>
                  </w:pPr>
                  <w:r>
                    <w:rPr>
                      <w:szCs w:val="21"/>
                    </w:rPr>
                    <w:t>Ll</w:t>
                  </w:r>
                </w:p>
              </w:tc>
              <w:tc>
                <w:tcPr>
                  <w:tcW w:w="748" w:type="dxa"/>
                  <w:vAlign w:val="center"/>
                </w:tcPr>
                <w:p>
                  <w:pPr>
                    <w:pStyle w:val="7"/>
                    <w:spacing w:line="240" w:lineRule="exact"/>
                    <w:jc w:val="center"/>
                    <w:rPr>
                      <w:szCs w:val="21"/>
                    </w:rPr>
                  </w:pPr>
                  <w:r>
                    <w:rPr>
                      <w:szCs w:val="21"/>
                    </w:rPr>
                    <w:t>Lw</w:t>
                  </w:r>
                </w:p>
              </w:tc>
              <w:tc>
                <w:tcPr>
                  <w:tcW w:w="1043" w:type="dxa"/>
                  <w:vAlign w:val="center"/>
                </w:tcPr>
                <w:p>
                  <w:pPr>
                    <w:pStyle w:val="7"/>
                    <w:spacing w:line="240" w:lineRule="exact"/>
                    <w:jc w:val="center"/>
                    <w:rPr>
                      <w:szCs w:val="21"/>
                    </w:rPr>
                  </w:pPr>
                  <w:r>
                    <w:rPr>
                      <w:szCs w:val="21"/>
                    </w:rPr>
                    <w:t>Arc</w:t>
                  </w:r>
                </w:p>
              </w:tc>
              <w:tc>
                <w:tcPr>
                  <w:tcW w:w="1036" w:type="dxa"/>
                  <w:vAlign w:val="center"/>
                </w:tcPr>
                <w:p>
                  <w:pPr>
                    <w:pStyle w:val="7"/>
                    <w:spacing w:line="240" w:lineRule="exact"/>
                    <w:jc w:val="center"/>
                    <w:rPr>
                      <w:szCs w:val="21"/>
                    </w:rPr>
                  </w:pPr>
                  <w:r>
                    <w:rPr>
                      <w:szCs w:val="21"/>
                    </w:rPr>
                    <w:t>H</w:t>
                  </w:r>
                </w:p>
              </w:tc>
              <w:tc>
                <w:tcPr>
                  <w:tcW w:w="1195" w:type="dxa"/>
                  <w:vAlign w:val="center"/>
                </w:tcPr>
                <w:p>
                  <w:pPr>
                    <w:pStyle w:val="7"/>
                    <w:spacing w:line="240" w:lineRule="exact"/>
                    <w:jc w:val="center"/>
                    <w:rPr>
                      <w:szCs w:val="21"/>
                    </w:rPr>
                  </w:pPr>
                  <w:r>
                    <w:rPr>
                      <w:szCs w:val="21"/>
                    </w:rPr>
                    <w:t>V</w:t>
                  </w:r>
                </w:p>
              </w:tc>
              <w:tc>
                <w:tcPr>
                  <w:tcW w:w="1063" w:type="dxa"/>
                  <w:vAlign w:val="center"/>
                </w:tcPr>
                <w:p>
                  <w:pPr>
                    <w:pStyle w:val="7"/>
                    <w:spacing w:line="240" w:lineRule="exact"/>
                    <w:jc w:val="center"/>
                    <w:rPr>
                      <w:szCs w:val="21"/>
                    </w:rPr>
                  </w:pPr>
                  <w:r>
                    <w:rPr>
                      <w:szCs w:val="21"/>
                    </w:rPr>
                    <w:t>Cond</w:t>
                  </w:r>
                </w:p>
              </w:tc>
              <w:tc>
                <w:tcPr>
                  <w:tcW w:w="1166" w:type="dxa"/>
                  <w:vAlign w:val="center"/>
                </w:tcPr>
                <w:p>
                  <w:pPr>
                    <w:pStyle w:val="7"/>
                    <w:spacing w:line="240" w:lineRule="exact"/>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67" w:hRule="atLeast"/>
                <w:jc w:val="center"/>
              </w:trPr>
              <w:tc>
                <w:tcPr>
                  <w:tcW w:w="782" w:type="dxa"/>
                  <w:vAlign w:val="center"/>
                </w:tcPr>
                <w:p>
                  <w:pPr>
                    <w:pStyle w:val="7"/>
                    <w:spacing w:line="240" w:lineRule="exact"/>
                    <w:jc w:val="center"/>
                    <w:rPr>
                      <w:szCs w:val="21"/>
                    </w:rPr>
                  </w:pPr>
                  <w:r>
                    <w:rPr>
                      <w:rFonts w:hAnsi="宋体"/>
                      <w:szCs w:val="21"/>
                    </w:rPr>
                    <w:t>单位</w:t>
                  </w:r>
                </w:p>
              </w:tc>
              <w:tc>
                <w:tcPr>
                  <w:tcW w:w="990" w:type="dxa"/>
                  <w:vAlign w:val="center"/>
                </w:tcPr>
                <w:p>
                  <w:pPr>
                    <w:pStyle w:val="7"/>
                    <w:spacing w:line="240" w:lineRule="exact"/>
                    <w:jc w:val="center"/>
                    <w:rPr>
                      <w:szCs w:val="21"/>
                    </w:rPr>
                  </w:pPr>
                </w:p>
              </w:tc>
              <w:tc>
                <w:tcPr>
                  <w:tcW w:w="878" w:type="dxa"/>
                  <w:vAlign w:val="center"/>
                </w:tcPr>
                <w:p>
                  <w:pPr>
                    <w:pStyle w:val="7"/>
                    <w:spacing w:line="240" w:lineRule="exact"/>
                    <w:jc w:val="center"/>
                    <w:rPr>
                      <w:szCs w:val="21"/>
                    </w:rPr>
                  </w:pPr>
                  <w:r>
                    <w:rPr>
                      <w:szCs w:val="21"/>
                    </w:rPr>
                    <w:t>m</w:t>
                  </w:r>
                </w:p>
              </w:tc>
              <w:tc>
                <w:tcPr>
                  <w:tcW w:w="748" w:type="dxa"/>
                  <w:vAlign w:val="center"/>
                </w:tcPr>
                <w:p>
                  <w:pPr>
                    <w:pStyle w:val="7"/>
                    <w:spacing w:line="240" w:lineRule="exact"/>
                    <w:jc w:val="center"/>
                    <w:rPr>
                      <w:szCs w:val="21"/>
                    </w:rPr>
                  </w:pPr>
                  <w:r>
                    <w:rPr>
                      <w:szCs w:val="21"/>
                    </w:rPr>
                    <w:t>m</w:t>
                  </w:r>
                </w:p>
              </w:tc>
              <w:tc>
                <w:tcPr>
                  <w:tcW w:w="1043" w:type="dxa"/>
                  <w:vAlign w:val="center"/>
                </w:tcPr>
                <w:p>
                  <w:pPr>
                    <w:pStyle w:val="7"/>
                    <w:spacing w:line="240" w:lineRule="exact"/>
                    <w:jc w:val="center"/>
                    <w:rPr>
                      <w:szCs w:val="21"/>
                    </w:rPr>
                  </w:pPr>
                  <w:r>
                    <w:rPr>
                      <w:szCs w:val="21"/>
                    </w:rPr>
                    <w:t>○</w:t>
                  </w:r>
                </w:p>
              </w:tc>
              <w:tc>
                <w:tcPr>
                  <w:tcW w:w="1036" w:type="dxa"/>
                  <w:vAlign w:val="center"/>
                </w:tcPr>
                <w:p>
                  <w:pPr>
                    <w:pStyle w:val="7"/>
                    <w:spacing w:line="240" w:lineRule="exact"/>
                    <w:jc w:val="center"/>
                    <w:rPr>
                      <w:szCs w:val="21"/>
                    </w:rPr>
                  </w:pPr>
                  <w:r>
                    <w:rPr>
                      <w:szCs w:val="21"/>
                    </w:rPr>
                    <w:t>m</w:t>
                  </w:r>
                </w:p>
              </w:tc>
              <w:tc>
                <w:tcPr>
                  <w:tcW w:w="1195" w:type="dxa"/>
                  <w:vAlign w:val="center"/>
                </w:tcPr>
                <w:p>
                  <w:pPr>
                    <w:pStyle w:val="7"/>
                    <w:spacing w:line="240" w:lineRule="exact"/>
                    <w:jc w:val="center"/>
                    <w:rPr>
                      <w:szCs w:val="21"/>
                    </w:rPr>
                  </w:pPr>
                  <w:r>
                    <w:rPr>
                      <w:rFonts w:hint="eastAsia"/>
                      <w:szCs w:val="21"/>
                    </w:rPr>
                    <w:t>kg</w:t>
                  </w:r>
                  <w:r>
                    <w:rPr>
                      <w:szCs w:val="21"/>
                    </w:rPr>
                    <w:t>/a</w:t>
                  </w:r>
                </w:p>
              </w:tc>
              <w:tc>
                <w:tcPr>
                  <w:tcW w:w="1063" w:type="dxa"/>
                  <w:vMerge w:val="restart"/>
                  <w:vAlign w:val="center"/>
                </w:tcPr>
                <w:p>
                  <w:pPr>
                    <w:pStyle w:val="7"/>
                    <w:spacing w:line="240" w:lineRule="exact"/>
                    <w:jc w:val="center"/>
                    <w:rPr>
                      <w:szCs w:val="21"/>
                    </w:rPr>
                  </w:pPr>
                  <w:r>
                    <w:rPr>
                      <w:rFonts w:hAnsi="宋体"/>
                      <w:szCs w:val="21"/>
                    </w:rPr>
                    <w:t>连续排放</w:t>
                  </w:r>
                </w:p>
              </w:tc>
              <w:tc>
                <w:tcPr>
                  <w:tcW w:w="1166" w:type="dxa"/>
                  <w:vAlign w:val="center"/>
                </w:tcPr>
                <w:p>
                  <w:pPr>
                    <w:pStyle w:val="7"/>
                    <w:spacing w:line="240" w:lineRule="exact"/>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67" w:hRule="atLeast"/>
                <w:jc w:val="center"/>
              </w:trPr>
              <w:tc>
                <w:tcPr>
                  <w:tcW w:w="782" w:type="dxa"/>
                  <w:vAlign w:val="center"/>
                </w:tcPr>
                <w:p>
                  <w:pPr>
                    <w:pStyle w:val="7"/>
                    <w:spacing w:line="240" w:lineRule="exact"/>
                    <w:jc w:val="center"/>
                    <w:rPr>
                      <w:szCs w:val="21"/>
                    </w:rPr>
                  </w:pPr>
                  <w:r>
                    <w:rPr>
                      <w:szCs w:val="21"/>
                    </w:rPr>
                    <w:t>1</w:t>
                  </w:r>
                </w:p>
              </w:tc>
              <w:tc>
                <w:tcPr>
                  <w:tcW w:w="990" w:type="dxa"/>
                  <w:vMerge w:val="restart"/>
                  <w:vAlign w:val="center"/>
                </w:tcPr>
                <w:p>
                  <w:pPr>
                    <w:pStyle w:val="7"/>
                    <w:spacing w:line="240" w:lineRule="exact"/>
                    <w:jc w:val="center"/>
                    <w:rPr>
                      <w:szCs w:val="21"/>
                    </w:rPr>
                  </w:pPr>
                  <w:r>
                    <w:rPr>
                      <w:rFonts w:hAnsi="宋体"/>
                      <w:szCs w:val="21"/>
                    </w:rPr>
                    <w:t>污水处理</w:t>
                  </w:r>
                  <w:r>
                    <w:rPr>
                      <w:rFonts w:hint="eastAsia" w:hAnsi="宋体"/>
                      <w:szCs w:val="21"/>
                    </w:rPr>
                    <w:t>站</w:t>
                  </w:r>
                </w:p>
              </w:tc>
              <w:tc>
                <w:tcPr>
                  <w:tcW w:w="878" w:type="dxa"/>
                  <w:vMerge w:val="restart"/>
                  <w:vAlign w:val="center"/>
                </w:tcPr>
                <w:p>
                  <w:pPr>
                    <w:pStyle w:val="7"/>
                    <w:spacing w:line="240" w:lineRule="exact"/>
                    <w:jc w:val="center"/>
                    <w:rPr>
                      <w:szCs w:val="21"/>
                    </w:rPr>
                  </w:pPr>
                  <w:r>
                    <w:rPr>
                      <w:rFonts w:hint="eastAsia"/>
                      <w:szCs w:val="21"/>
                    </w:rPr>
                    <w:t>17</w:t>
                  </w:r>
                </w:p>
              </w:tc>
              <w:tc>
                <w:tcPr>
                  <w:tcW w:w="748" w:type="dxa"/>
                  <w:vMerge w:val="restart"/>
                  <w:vAlign w:val="center"/>
                </w:tcPr>
                <w:p>
                  <w:pPr>
                    <w:pStyle w:val="7"/>
                    <w:spacing w:line="240" w:lineRule="exact"/>
                    <w:jc w:val="center"/>
                    <w:rPr>
                      <w:szCs w:val="21"/>
                    </w:rPr>
                  </w:pPr>
                  <w:r>
                    <w:rPr>
                      <w:rFonts w:hint="eastAsia"/>
                      <w:szCs w:val="21"/>
                    </w:rPr>
                    <w:t>14</w:t>
                  </w:r>
                </w:p>
              </w:tc>
              <w:tc>
                <w:tcPr>
                  <w:tcW w:w="1043" w:type="dxa"/>
                  <w:vMerge w:val="restart"/>
                  <w:vAlign w:val="center"/>
                </w:tcPr>
                <w:p>
                  <w:pPr>
                    <w:pStyle w:val="7"/>
                    <w:spacing w:line="240" w:lineRule="exact"/>
                    <w:jc w:val="center"/>
                    <w:rPr>
                      <w:szCs w:val="21"/>
                    </w:rPr>
                  </w:pPr>
                  <w:r>
                    <w:rPr>
                      <w:szCs w:val="21"/>
                    </w:rPr>
                    <w:t>0</w:t>
                  </w:r>
                </w:p>
              </w:tc>
              <w:tc>
                <w:tcPr>
                  <w:tcW w:w="1036" w:type="dxa"/>
                  <w:vMerge w:val="restart"/>
                  <w:vAlign w:val="center"/>
                </w:tcPr>
                <w:p>
                  <w:pPr>
                    <w:pStyle w:val="7"/>
                    <w:spacing w:line="240" w:lineRule="exact"/>
                    <w:jc w:val="center"/>
                    <w:rPr>
                      <w:szCs w:val="21"/>
                    </w:rPr>
                  </w:pPr>
                  <w:r>
                    <w:rPr>
                      <w:szCs w:val="21"/>
                    </w:rPr>
                    <w:t>0</w:t>
                  </w:r>
                </w:p>
              </w:tc>
              <w:tc>
                <w:tcPr>
                  <w:tcW w:w="1195" w:type="dxa"/>
                  <w:vAlign w:val="center"/>
                </w:tcPr>
                <w:p>
                  <w:pPr>
                    <w:pStyle w:val="7"/>
                    <w:spacing w:line="240" w:lineRule="exact"/>
                    <w:jc w:val="center"/>
                    <w:rPr>
                      <w:szCs w:val="21"/>
                    </w:rPr>
                  </w:pPr>
                  <w:r>
                    <w:rPr>
                      <w:rFonts w:hint="eastAsia"/>
                      <w:szCs w:val="21"/>
                    </w:rPr>
                    <w:t>1.47</w:t>
                  </w:r>
                </w:p>
              </w:tc>
              <w:tc>
                <w:tcPr>
                  <w:tcW w:w="1063" w:type="dxa"/>
                  <w:vMerge w:val="continue"/>
                  <w:vAlign w:val="center"/>
                </w:tcPr>
                <w:p>
                  <w:pPr>
                    <w:pStyle w:val="7"/>
                    <w:spacing w:line="240" w:lineRule="exact"/>
                    <w:jc w:val="center"/>
                    <w:rPr>
                      <w:szCs w:val="21"/>
                    </w:rPr>
                  </w:pPr>
                </w:p>
              </w:tc>
              <w:tc>
                <w:tcPr>
                  <w:tcW w:w="1166" w:type="dxa"/>
                  <w:vAlign w:val="center"/>
                </w:tcPr>
                <w:p>
                  <w:pPr>
                    <w:pStyle w:val="7"/>
                    <w:spacing w:line="240" w:lineRule="exact"/>
                    <w:jc w:val="center"/>
                    <w:rPr>
                      <w:szCs w:val="21"/>
                    </w:rPr>
                  </w:pPr>
                  <w:r>
                    <w:rPr>
                      <w:szCs w:val="21"/>
                    </w:rPr>
                    <w:t>NH</w:t>
                  </w:r>
                  <w:r>
                    <w:rPr>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782" w:type="dxa"/>
                  <w:vAlign w:val="center"/>
                </w:tcPr>
                <w:p>
                  <w:pPr>
                    <w:pStyle w:val="7"/>
                    <w:spacing w:line="240" w:lineRule="exact"/>
                    <w:jc w:val="center"/>
                    <w:rPr>
                      <w:szCs w:val="21"/>
                    </w:rPr>
                  </w:pPr>
                  <w:r>
                    <w:rPr>
                      <w:szCs w:val="21"/>
                    </w:rPr>
                    <w:t>2</w:t>
                  </w:r>
                </w:p>
              </w:tc>
              <w:tc>
                <w:tcPr>
                  <w:tcW w:w="990" w:type="dxa"/>
                  <w:vMerge w:val="continue"/>
                  <w:vAlign w:val="center"/>
                </w:tcPr>
                <w:p>
                  <w:pPr>
                    <w:jc w:val="center"/>
                    <w:rPr>
                      <w:szCs w:val="21"/>
                    </w:rPr>
                  </w:pPr>
                </w:p>
              </w:tc>
              <w:tc>
                <w:tcPr>
                  <w:tcW w:w="878" w:type="dxa"/>
                  <w:vMerge w:val="continue"/>
                  <w:vAlign w:val="center"/>
                </w:tcPr>
                <w:p>
                  <w:pPr>
                    <w:pStyle w:val="7"/>
                    <w:spacing w:line="240" w:lineRule="exact"/>
                    <w:jc w:val="center"/>
                    <w:rPr>
                      <w:szCs w:val="21"/>
                    </w:rPr>
                  </w:pPr>
                </w:p>
              </w:tc>
              <w:tc>
                <w:tcPr>
                  <w:tcW w:w="748" w:type="dxa"/>
                  <w:vMerge w:val="continue"/>
                  <w:vAlign w:val="center"/>
                </w:tcPr>
                <w:p>
                  <w:pPr>
                    <w:pStyle w:val="7"/>
                    <w:spacing w:line="240" w:lineRule="exact"/>
                    <w:jc w:val="center"/>
                    <w:rPr>
                      <w:szCs w:val="21"/>
                    </w:rPr>
                  </w:pPr>
                </w:p>
              </w:tc>
              <w:tc>
                <w:tcPr>
                  <w:tcW w:w="1043" w:type="dxa"/>
                  <w:vMerge w:val="continue"/>
                  <w:vAlign w:val="center"/>
                </w:tcPr>
                <w:p>
                  <w:pPr>
                    <w:pStyle w:val="7"/>
                    <w:spacing w:line="240" w:lineRule="exact"/>
                    <w:jc w:val="center"/>
                    <w:rPr>
                      <w:szCs w:val="21"/>
                    </w:rPr>
                  </w:pPr>
                </w:p>
              </w:tc>
              <w:tc>
                <w:tcPr>
                  <w:tcW w:w="1036" w:type="dxa"/>
                  <w:vMerge w:val="continue"/>
                  <w:vAlign w:val="center"/>
                </w:tcPr>
                <w:p>
                  <w:pPr>
                    <w:pStyle w:val="7"/>
                    <w:spacing w:line="240" w:lineRule="exact"/>
                    <w:jc w:val="center"/>
                    <w:rPr>
                      <w:szCs w:val="21"/>
                    </w:rPr>
                  </w:pPr>
                </w:p>
              </w:tc>
              <w:tc>
                <w:tcPr>
                  <w:tcW w:w="1195" w:type="dxa"/>
                  <w:vAlign w:val="center"/>
                </w:tcPr>
                <w:p>
                  <w:pPr>
                    <w:pStyle w:val="7"/>
                    <w:spacing w:line="240" w:lineRule="exact"/>
                    <w:jc w:val="center"/>
                    <w:rPr>
                      <w:szCs w:val="21"/>
                    </w:rPr>
                  </w:pPr>
                  <w:r>
                    <w:rPr>
                      <w:rFonts w:hint="eastAsia"/>
                      <w:szCs w:val="21"/>
                    </w:rPr>
                    <w:t>0.057</w:t>
                  </w:r>
                </w:p>
              </w:tc>
              <w:tc>
                <w:tcPr>
                  <w:tcW w:w="1063" w:type="dxa"/>
                  <w:vMerge w:val="continue"/>
                  <w:vAlign w:val="center"/>
                </w:tcPr>
                <w:p>
                  <w:pPr>
                    <w:pStyle w:val="7"/>
                    <w:spacing w:line="240" w:lineRule="exact"/>
                    <w:jc w:val="center"/>
                    <w:rPr>
                      <w:szCs w:val="21"/>
                    </w:rPr>
                  </w:pPr>
                </w:p>
              </w:tc>
              <w:tc>
                <w:tcPr>
                  <w:tcW w:w="1166" w:type="dxa"/>
                  <w:vAlign w:val="center"/>
                </w:tcPr>
                <w:p>
                  <w:pPr>
                    <w:pStyle w:val="7"/>
                    <w:spacing w:line="240" w:lineRule="exact"/>
                    <w:jc w:val="center"/>
                    <w:rPr>
                      <w:szCs w:val="21"/>
                    </w:rPr>
                  </w:pPr>
                  <w:r>
                    <w:rPr>
                      <w:szCs w:val="21"/>
                    </w:rPr>
                    <w:t>H</w:t>
                  </w:r>
                  <w:r>
                    <w:rPr>
                      <w:szCs w:val="21"/>
                      <w:vertAlign w:val="subscript"/>
                    </w:rPr>
                    <w:t>2</w:t>
                  </w:r>
                  <w:r>
                    <w:rPr>
                      <w:szCs w:val="21"/>
                    </w:rPr>
                    <w:t>S</w:t>
                  </w:r>
                </w:p>
              </w:tc>
            </w:tr>
          </w:tbl>
          <w:p>
            <w:pPr>
              <w:autoSpaceDE w:val="0"/>
              <w:autoSpaceDN w:val="0"/>
              <w:adjustRightInd w:val="0"/>
              <w:spacing w:line="360" w:lineRule="auto"/>
              <w:ind w:right="-23" w:firstLine="480" w:firstLineChars="200"/>
              <w:jc w:val="left"/>
              <w:rPr>
                <w:rFonts w:hAnsi="宋体"/>
                <w:bCs/>
                <w:sz w:val="24"/>
              </w:rPr>
            </w:pPr>
            <w:r>
              <w:rPr>
                <w:rFonts w:hAnsi="宋体"/>
                <w:bCs/>
                <w:sz w:val="24"/>
              </w:rPr>
              <w:t>根据估算模式输入污染源参数，</w:t>
            </w:r>
            <w:r>
              <w:rPr>
                <w:rFonts w:hint="eastAsia" w:hAnsi="宋体"/>
                <w:bCs/>
                <w:sz w:val="24"/>
              </w:rPr>
              <w:t>以污水站区为边界，</w:t>
            </w:r>
            <w:r>
              <w:rPr>
                <w:rFonts w:hAnsi="宋体"/>
                <w:bCs/>
                <w:sz w:val="24"/>
              </w:rPr>
              <w:t>废气排放环境影响预测计算结果见表</w:t>
            </w:r>
            <w:r>
              <w:rPr>
                <w:rFonts w:hint="eastAsia" w:hAnsi="宋体"/>
                <w:bCs/>
                <w:sz w:val="24"/>
              </w:rPr>
              <w:t>53</w:t>
            </w:r>
            <w:r>
              <w:rPr>
                <w:rFonts w:hAnsi="宋体"/>
                <w:bCs/>
                <w:sz w:val="24"/>
              </w:rPr>
              <w:t>。</w:t>
            </w:r>
          </w:p>
          <w:p>
            <w:pPr>
              <w:autoSpaceDE w:val="0"/>
              <w:autoSpaceDN w:val="0"/>
              <w:adjustRightInd w:val="0"/>
              <w:spacing w:line="360" w:lineRule="auto"/>
              <w:ind w:right="-23" w:firstLine="422" w:firstLineChars="200"/>
              <w:jc w:val="center"/>
              <w:rPr>
                <w:rFonts w:hAnsi="宋体"/>
                <w:b/>
                <w:bCs/>
                <w:szCs w:val="21"/>
              </w:rPr>
            </w:pPr>
            <w:r>
              <w:rPr>
                <w:rFonts w:hint="eastAsia" w:hAnsi="宋体"/>
                <w:b/>
                <w:bCs/>
                <w:szCs w:val="21"/>
              </w:rPr>
              <w:t>表53  项目大气污染物估算模式计算结果表</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69"/>
              <w:gridCol w:w="1793"/>
              <w:gridCol w:w="1773"/>
              <w:gridCol w:w="1793"/>
              <w:gridCol w:w="177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Merge w:val="restart"/>
                  <w:vAlign w:val="center"/>
                </w:tcPr>
                <w:p>
                  <w:pPr>
                    <w:jc w:val="center"/>
                    <w:rPr>
                      <w:b/>
                      <w:sz w:val="20"/>
                    </w:rPr>
                  </w:pPr>
                  <w:r>
                    <w:rPr>
                      <w:b/>
                      <w:sz w:val="20"/>
                    </w:rPr>
                    <w:t>距源中心下风向距离D（m）</w:t>
                  </w:r>
                </w:p>
              </w:tc>
              <w:tc>
                <w:tcPr>
                  <w:tcW w:w="3566" w:type="dxa"/>
                  <w:gridSpan w:val="2"/>
                  <w:vAlign w:val="center"/>
                </w:tcPr>
                <w:p>
                  <w:pPr>
                    <w:jc w:val="center"/>
                    <w:rPr>
                      <w:b/>
                      <w:sz w:val="20"/>
                    </w:rPr>
                  </w:pPr>
                  <w:r>
                    <w:rPr>
                      <w:b/>
                      <w:sz w:val="20"/>
                    </w:rPr>
                    <w:t>NH</w:t>
                  </w:r>
                  <w:r>
                    <w:rPr>
                      <w:b/>
                      <w:sz w:val="20"/>
                      <w:vertAlign w:val="subscript"/>
                    </w:rPr>
                    <w:t>3</w:t>
                  </w:r>
                </w:p>
              </w:tc>
              <w:tc>
                <w:tcPr>
                  <w:tcW w:w="3566" w:type="dxa"/>
                  <w:gridSpan w:val="2"/>
                  <w:vAlign w:val="center"/>
                </w:tcPr>
                <w:p>
                  <w:pPr>
                    <w:jc w:val="center"/>
                    <w:rPr>
                      <w:b/>
                      <w:sz w:val="20"/>
                    </w:rPr>
                  </w:pPr>
                  <w:r>
                    <w:rPr>
                      <w:b/>
                      <w:sz w:val="20"/>
                    </w:rPr>
                    <w:t>H</w:t>
                  </w:r>
                  <w:r>
                    <w:rPr>
                      <w:b/>
                      <w:sz w:val="20"/>
                      <w:vertAlign w:val="subscript"/>
                    </w:rPr>
                    <w:t>2</w:t>
                  </w:r>
                  <w:r>
                    <w:rPr>
                      <w:b/>
                      <w:sz w:val="20"/>
                    </w:rPr>
                    <w:t>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trPr>
              <w:tc>
                <w:tcPr>
                  <w:tcW w:w="1769" w:type="dxa"/>
                  <w:vMerge w:val="continue"/>
                  <w:vAlign w:val="center"/>
                </w:tcPr>
                <w:p>
                  <w:pPr>
                    <w:jc w:val="center"/>
                    <w:rPr>
                      <w:sz w:val="20"/>
                    </w:rPr>
                  </w:pPr>
                </w:p>
              </w:tc>
              <w:tc>
                <w:tcPr>
                  <w:tcW w:w="1793" w:type="dxa"/>
                  <w:vAlign w:val="center"/>
                </w:tcPr>
                <w:p>
                  <w:pPr>
                    <w:jc w:val="center"/>
                    <w:rPr>
                      <w:sz w:val="20"/>
                    </w:rPr>
                  </w:pPr>
                  <w:r>
                    <w:rPr>
                      <w:sz w:val="20"/>
                    </w:rPr>
                    <w:t>下风向预测浓度（mg/m</w:t>
                  </w:r>
                  <w:r>
                    <w:rPr>
                      <w:sz w:val="20"/>
                      <w:vertAlign w:val="superscript"/>
                    </w:rPr>
                    <w:t>3</w:t>
                  </w:r>
                  <w:r>
                    <w:rPr>
                      <w:sz w:val="20"/>
                    </w:rPr>
                    <w:t>）</w:t>
                  </w:r>
                </w:p>
              </w:tc>
              <w:tc>
                <w:tcPr>
                  <w:tcW w:w="1773" w:type="dxa"/>
                  <w:vAlign w:val="center"/>
                </w:tcPr>
                <w:p>
                  <w:pPr>
                    <w:jc w:val="center"/>
                    <w:rPr>
                      <w:sz w:val="20"/>
                    </w:rPr>
                  </w:pPr>
                  <w:r>
                    <w:rPr>
                      <w:sz w:val="20"/>
                    </w:rPr>
                    <w:t>浓度占标率（%）</w:t>
                  </w:r>
                </w:p>
              </w:tc>
              <w:tc>
                <w:tcPr>
                  <w:tcW w:w="1793" w:type="dxa"/>
                  <w:vAlign w:val="center"/>
                </w:tcPr>
                <w:p>
                  <w:pPr>
                    <w:jc w:val="center"/>
                    <w:rPr>
                      <w:sz w:val="20"/>
                    </w:rPr>
                  </w:pPr>
                  <w:r>
                    <w:rPr>
                      <w:sz w:val="20"/>
                    </w:rPr>
                    <w:t>下风向预测浓度（mg/m</w:t>
                  </w:r>
                  <w:r>
                    <w:rPr>
                      <w:sz w:val="20"/>
                      <w:vertAlign w:val="superscript"/>
                    </w:rPr>
                    <w:t>3</w:t>
                  </w:r>
                  <w:r>
                    <w:rPr>
                      <w:sz w:val="20"/>
                    </w:rPr>
                    <w:t>）</w:t>
                  </w:r>
                </w:p>
              </w:tc>
              <w:tc>
                <w:tcPr>
                  <w:tcW w:w="1773" w:type="dxa"/>
                  <w:vAlign w:val="center"/>
                </w:tcPr>
                <w:p>
                  <w:pPr>
                    <w:jc w:val="center"/>
                    <w:rPr>
                      <w:sz w:val="20"/>
                    </w:rPr>
                  </w:pPr>
                  <w:r>
                    <w:rPr>
                      <w:sz w:val="20"/>
                    </w:rPr>
                    <w:t>浓度占标率（%）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0" w:hRule="atLeast"/>
              </w:trPr>
              <w:tc>
                <w:tcPr>
                  <w:tcW w:w="1769" w:type="dxa"/>
                  <w:vAlign w:val="center"/>
                </w:tcPr>
                <w:p>
                  <w:pPr>
                    <w:jc w:val="center"/>
                    <w:rPr>
                      <w:sz w:val="20"/>
                    </w:rPr>
                  </w:pPr>
                  <w:r>
                    <w:rPr>
                      <w:sz w:val="20"/>
                    </w:rPr>
                    <w:t>10</w:t>
                  </w:r>
                </w:p>
              </w:tc>
              <w:tc>
                <w:tcPr>
                  <w:tcW w:w="1793" w:type="dxa"/>
                  <w:vAlign w:val="center"/>
                </w:tcPr>
                <w:p>
                  <w:pPr>
                    <w:jc w:val="center"/>
                  </w:pPr>
                  <w:r>
                    <w:t>0.01155</w:t>
                  </w:r>
                </w:p>
              </w:tc>
              <w:tc>
                <w:tcPr>
                  <w:tcW w:w="1773" w:type="dxa"/>
                  <w:vAlign w:val="center"/>
                </w:tcPr>
                <w:p>
                  <w:pPr>
                    <w:jc w:val="center"/>
                  </w:pPr>
                  <w:r>
                    <w:t>5.78</w:t>
                  </w:r>
                </w:p>
              </w:tc>
              <w:tc>
                <w:tcPr>
                  <w:tcW w:w="1793" w:type="dxa"/>
                  <w:vAlign w:val="center"/>
                </w:tcPr>
                <w:p>
                  <w:pPr>
                    <w:jc w:val="center"/>
                  </w:pPr>
                  <w:r>
                    <w:t>0.000448</w:t>
                  </w:r>
                </w:p>
              </w:tc>
              <w:tc>
                <w:tcPr>
                  <w:tcW w:w="1773" w:type="dxa"/>
                  <w:vAlign w:val="center"/>
                </w:tcPr>
                <w:p>
                  <w:pPr>
                    <w:jc w:val="center"/>
                  </w:pPr>
                  <w:r>
                    <w:t>4.48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b/>
                      <w:sz w:val="20"/>
                    </w:rPr>
                  </w:pPr>
                  <w:r>
                    <w:rPr>
                      <w:rFonts w:hint="eastAsia"/>
                      <w:b/>
                      <w:sz w:val="20"/>
                    </w:rPr>
                    <w:t>12</w:t>
                  </w:r>
                </w:p>
              </w:tc>
              <w:tc>
                <w:tcPr>
                  <w:tcW w:w="1793" w:type="dxa"/>
                  <w:vAlign w:val="center"/>
                </w:tcPr>
                <w:p>
                  <w:pPr>
                    <w:jc w:val="center"/>
                    <w:rPr>
                      <w:b/>
                    </w:rPr>
                  </w:pPr>
                  <w:r>
                    <w:rPr>
                      <w:b/>
                    </w:rPr>
                    <w:t>0.01185</w:t>
                  </w:r>
                </w:p>
              </w:tc>
              <w:tc>
                <w:tcPr>
                  <w:tcW w:w="1773" w:type="dxa"/>
                  <w:vAlign w:val="center"/>
                </w:tcPr>
                <w:p>
                  <w:pPr>
                    <w:jc w:val="center"/>
                    <w:rPr>
                      <w:b/>
                    </w:rPr>
                  </w:pPr>
                  <w:r>
                    <w:rPr>
                      <w:b/>
                    </w:rPr>
                    <w:t>5.92</w:t>
                  </w:r>
                </w:p>
              </w:tc>
              <w:tc>
                <w:tcPr>
                  <w:tcW w:w="1793" w:type="dxa"/>
                  <w:vAlign w:val="center"/>
                </w:tcPr>
                <w:p>
                  <w:pPr>
                    <w:jc w:val="center"/>
                    <w:rPr>
                      <w:b/>
                    </w:rPr>
                  </w:pPr>
                  <w:r>
                    <w:rPr>
                      <w:b/>
                    </w:rPr>
                    <w:t>0.0004593</w:t>
                  </w:r>
                </w:p>
              </w:tc>
              <w:tc>
                <w:tcPr>
                  <w:tcW w:w="1773" w:type="dxa"/>
                  <w:vAlign w:val="center"/>
                </w:tcPr>
                <w:p>
                  <w:pPr>
                    <w:jc w:val="center"/>
                    <w:rPr>
                      <w:b/>
                    </w:rPr>
                  </w:pPr>
                  <w:r>
                    <w:rPr>
                      <w:b/>
                    </w:rPr>
                    <w:t>4.59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rFonts w:hint="eastAsia"/>
                      <w:sz w:val="20"/>
                    </w:rPr>
                    <w:t>51</w:t>
                  </w:r>
                </w:p>
              </w:tc>
              <w:tc>
                <w:tcPr>
                  <w:tcW w:w="1793" w:type="dxa"/>
                  <w:vAlign w:val="center"/>
                </w:tcPr>
                <w:p>
                  <w:pPr>
                    <w:jc w:val="center"/>
                  </w:pPr>
                  <w:r>
                    <w:t>0.002194</w:t>
                  </w:r>
                </w:p>
              </w:tc>
              <w:tc>
                <w:tcPr>
                  <w:tcW w:w="1773" w:type="dxa"/>
                  <w:vAlign w:val="center"/>
                </w:tcPr>
                <w:p>
                  <w:pPr>
                    <w:jc w:val="center"/>
                  </w:pPr>
                  <w:r>
                    <w:t>1.10</w:t>
                  </w:r>
                </w:p>
              </w:tc>
              <w:tc>
                <w:tcPr>
                  <w:tcW w:w="1793" w:type="dxa"/>
                  <w:vAlign w:val="center"/>
                </w:tcPr>
                <w:p>
                  <w:pPr>
                    <w:jc w:val="center"/>
                  </w:pPr>
                  <w:r>
                    <w:t>8.507E-5</w:t>
                  </w:r>
                </w:p>
              </w:tc>
              <w:tc>
                <w:tcPr>
                  <w:tcW w:w="1773" w:type="dxa"/>
                  <w:vAlign w:val="center"/>
                </w:tcPr>
                <w:p>
                  <w:pPr>
                    <w:jc w:val="center"/>
                  </w:pPr>
                  <w:r>
                    <w:t>0.85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100</w:t>
                  </w:r>
                </w:p>
              </w:tc>
              <w:tc>
                <w:tcPr>
                  <w:tcW w:w="1793" w:type="dxa"/>
                  <w:vAlign w:val="center"/>
                </w:tcPr>
                <w:p>
                  <w:pPr>
                    <w:jc w:val="center"/>
                  </w:pPr>
                  <w:r>
                    <w:t>0.001055</w:t>
                  </w:r>
                </w:p>
              </w:tc>
              <w:tc>
                <w:tcPr>
                  <w:tcW w:w="1773" w:type="dxa"/>
                  <w:vAlign w:val="center"/>
                </w:tcPr>
                <w:p>
                  <w:pPr>
                    <w:jc w:val="center"/>
                  </w:pPr>
                  <w:r>
                    <w:t>0.53</w:t>
                  </w:r>
                </w:p>
              </w:tc>
              <w:tc>
                <w:tcPr>
                  <w:tcW w:w="1793" w:type="dxa"/>
                  <w:vAlign w:val="center"/>
                </w:tcPr>
                <w:p>
                  <w:pPr>
                    <w:jc w:val="center"/>
                  </w:pPr>
                  <w:r>
                    <w:t>4.091E-5</w:t>
                  </w:r>
                </w:p>
              </w:tc>
              <w:tc>
                <w:tcPr>
                  <w:tcW w:w="1773" w:type="dxa"/>
                  <w:vAlign w:val="center"/>
                </w:tcPr>
                <w:p>
                  <w:pPr>
                    <w:jc w:val="center"/>
                  </w:pPr>
                  <w:r>
                    <w:t>0.41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1769" w:type="dxa"/>
                  <w:vAlign w:val="center"/>
                </w:tcPr>
                <w:p>
                  <w:pPr>
                    <w:jc w:val="center"/>
                    <w:rPr>
                      <w:sz w:val="20"/>
                    </w:rPr>
                  </w:pPr>
                  <w:r>
                    <w:rPr>
                      <w:sz w:val="20"/>
                    </w:rPr>
                    <w:t>200</w:t>
                  </w:r>
                </w:p>
              </w:tc>
              <w:tc>
                <w:tcPr>
                  <w:tcW w:w="1793" w:type="dxa"/>
                  <w:vAlign w:val="center"/>
                </w:tcPr>
                <w:p>
                  <w:pPr>
                    <w:jc w:val="center"/>
                  </w:pPr>
                  <w:r>
                    <w:t>0.0004124</w:t>
                  </w:r>
                </w:p>
              </w:tc>
              <w:tc>
                <w:tcPr>
                  <w:tcW w:w="1773" w:type="dxa"/>
                  <w:vAlign w:val="center"/>
                </w:tcPr>
                <w:p>
                  <w:pPr>
                    <w:jc w:val="center"/>
                  </w:pPr>
                  <w:r>
                    <w:t>0.21</w:t>
                  </w:r>
                </w:p>
              </w:tc>
              <w:tc>
                <w:tcPr>
                  <w:tcW w:w="1793" w:type="dxa"/>
                  <w:vAlign w:val="center"/>
                </w:tcPr>
                <w:p>
                  <w:pPr>
                    <w:jc w:val="center"/>
                  </w:pPr>
                  <w:r>
                    <w:t>1.599E-5</w:t>
                  </w:r>
                </w:p>
              </w:tc>
              <w:tc>
                <w:tcPr>
                  <w:tcW w:w="1773" w:type="dxa"/>
                  <w:vAlign w:val="center"/>
                </w:tcPr>
                <w:p>
                  <w:pPr>
                    <w:jc w:val="center"/>
                  </w:pPr>
                  <w:r>
                    <w:t>0.16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89" w:hRule="atLeast"/>
              </w:trPr>
              <w:tc>
                <w:tcPr>
                  <w:tcW w:w="1769" w:type="dxa"/>
                  <w:vAlign w:val="center"/>
                </w:tcPr>
                <w:p>
                  <w:pPr>
                    <w:jc w:val="center"/>
                    <w:rPr>
                      <w:sz w:val="20"/>
                    </w:rPr>
                  </w:pPr>
                  <w:r>
                    <w:rPr>
                      <w:sz w:val="20"/>
                    </w:rPr>
                    <w:t>300</w:t>
                  </w:r>
                </w:p>
              </w:tc>
              <w:tc>
                <w:tcPr>
                  <w:tcW w:w="1793" w:type="dxa"/>
                  <w:vAlign w:val="center"/>
                </w:tcPr>
                <w:p>
                  <w:pPr>
                    <w:jc w:val="center"/>
                  </w:pPr>
                  <w:r>
                    <w:t>0.0002205</w:t>
                  </w:r>
                </w:p>
              </w:tc>
              <w:tc>
                <w:tcPr>
                  <w:tcW w:w="1773" w:type="dxa"/>
                  <w:vAlign w:val="center"/>
                </w:tcPr>
                <w:p>
                  <w:pPr>
                    <w:jc w:val="center"/>
                  </w:pPr>
                  <w:r>
                    <w:t>0.11</w:t>
                  </w:r>
                </w:p>
              </w:tc>
              <w:tc>
                <w:tcPr>
                  <w:tcW w:w="1793" w:type="dxa"/>
                  <w:vAlign w:val="center"/>
                </w:tcPr>
                <w:p>
                  <w:pPr>
                    <w:jc w:val="center"/>
                  </w:pPr>
                  <w:r>
                    <w:t>8.549E-6</w:t>
                  </w:r>
                </w:p>
              </w:tc>
              <w:tc>
                <w:tcPr>
                  <w:tcW w:w="1773" w:type="dxa"/>
                  <w:vAlign w:val="center"/>
                </w:tcPr>
                <w:p>
                  <w:pPr>
                    <w:jc w:val="center"/>
                  </w:pPr>
                  <w:r>
                    <w:t>0.09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400</w:t>
                  </w:r>
                </w:p>
              </w:tc>
              <w:tc>
                <w:tcPr>
                  <w:tcW w:w="1793" w:type="dxa"/>
                  <w:vAlign w:val="center"/>
                </w:tcPr>
                <w:p>
                  <w:pPr>
                    <w:jc w:val="center"/>
                  </w:pPr>
                  <w:r>
                    <w:t>0.0001385</w:t>
                  </w:r>
                </w:p>
              </w:tc>
              <w:tc>
                <w:tcPr>
                  <w:tcW w:w="1773" w:type="dxa"/>
                  <w:vAlign w:val="center"/>
                </w:tcPr>
                <w:p>
                  <w:pPr>
                    <w:jc w:val="center"/>
                  </w:pPr>
                  <w:r>
                    <w:t>0.07</w:t>
                  </w:r>
                </w:p>
              </w:tc>
              <w:tc>
                <w:tcPr>
                  <w:tcW w:w="1793" w:type="dxa"/>
                  <w:vAlign w:val="center"/>
                </w:tcPr>
                <w:p>
                  <w:pPr>
                    <w:jc w:val="center"/>
                  </w:pPr>
                  <w:r>
                    <w:t>5.371E-6</w:t>
                  </w:r>
                </w:p>
              </w:tc>
              <w:tc>
                <w:tcPr>
                  <w:tcW w:w="1773" w:type="dxa"/>
                  <w:vAlign w:val="center"/>
                </w:tcPr>
                <w:p>
                  <w:pPr>
                    <w:jc w:val="center"/>
                  </w:pPr>
                  <w: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500</w:t>
                  </w:r>
                </w:p>
              </w:tc>
              <w:tc>
                <w:tcPr>
                  <w:tcW w:w="1793" w:type="dxa"/>
                  <w:vAlign w:val="center"/>
                </w:tcPr>
                <w:p>
                  <w:pPr>
                    <w:jc w:val="center"/>
                  </w:pPr>
                  <w:r>
                    <w:t>9.596E-5</w:t>
                  </w:r>
                </w:p>
              </w:tc>
              <w:tc>
                <w:tcPr>
                  <w:tcW w:w="1773" w:type="dxa"/>
                  <w:vAlign w:val="center"/>
                </w:tcPr>
                <w:p>
                  <w:pPr>
                    <w:jc w:val="center"/>
                  </w:pPr>
                  <w:r>
                    <w:t>0.05</w:t>
                  </w:r>
                </w:p>
              </w:tc>
              <w:tc>
                <w:tcPr>
                  <w:tcW w:w="1793" w:type="dxa"/>
                  <w:vAlign w:val="center"/>
                </w:tcPr>
                <w:p>
                  <w:pPr>
                    <w:jc w:val="center"/>
                  </w:pPr>
                  <w:r>
                    <w:t>3.721E-6</w:t>
                  </w:r>
                </w:p>
              </w:tc>
              <w:tc>
                <w:tcPr>
                  <w:tcW w:w="1773" w:type="dxa"/>
                  <w:vAlign w:val="center"/>
                </w:tcPr>
                <w:p>
                  <w:pPr>
                    <w:jc w:val="center"/>
                  </w:pPr>
                  <w:r>
                    <w:t>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600</w:t>
                  </w:r>
                </w:p>
              </w:tc>
              <w:tc>
                <w:tcPr>
                  <w:tcW w:w="1793" w:type="dxa"/>
                  <w:vAlign w:val="center"/>
                </w:tcPr>
                <w:p>
                  <w:pPr>
                    <w:jc w:val="center"/>
                  </w:pPr>
                  <w:r>
                    <w:t>7.08E-5</w:t>
                  </w:r>
                </w:p>
              </w:tc>
              <w:tc>
                <w:tcPr>
                  <w:tcW w:w="1773" w:type="dxa"/>
                  <w:vAlign w:val="center"/>
                </w:tcPr>
                <w:p>
                  <w:pPr>
                    <w:jc w:val="center"/>
                  </w:pPr>
                  <w:r>
                    <w:t>0.04</w:t>
                  </w:r>
                </w:p>
              </w:tc>
              <w:tc>
                <w:tcPr>
                  <w:tcW w:w="1793" w:type="dxa"/>
                  <w:vAlign w:val="center"/>
                </w:tcPr>
                <w:p>
                  <w:pPr>
                    <w:jc w:val="center"/>
                  </w:pPr>
                  <w:r>
                    <w:t>2.745E-6</w:t>
                  </w:r>
                </w:p>
              </w:tc>
              <w:tc>
                <w:tcPr>
                  <w:tcW w:w="1773" w:type="dxa"/>
                  <w:vAlign w:val="center"/>
                </w:tcPr>
                <w:p>
                  <w:pPr>
                    <w:jc w:val="center"/>
                  </w:pPr>
                  <w:r>
                    <w:t>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1769" w:type="dxa"/>
                  <w:vAlign w:val="center"/>
                </w:tcPr>
                <w:p>
                  <w:pPr>
                    <w:jc w:val="center"/>
                    <w:rPr>
                      <w:sz w:val="20"/>
                    </w:rPr>
                  </w:pPr>
                  <w:r>
                    <w:rPr>
                      <w:sz w:val="20"/>
                    </w:rPr>
                    <w:t>700</w:t>
                  </w:r>
                </w:p>
              </w:tc>
              <w:tc>
                <w:tcPr>
                  <w:tcW w:w="1793" w:type="dxa"/>
                  <w:vAlign w:val="center"/>
                </w:tcPr>
                <w:p>
                  <w:pPr>
                    <w:jc w:val="center"/>
                  </w:pPr>
                  <w:r>
                    <w:t>5.475E-5</w:t>
                  </w:r>
                </w:p>
              </w:tc>
              <w:tc>
                <w:tcPr>
                  <w:tcW w:w="1773" w:type="dxa"/>
                  <w:vAlign w:val="center"/>
                </w:tcPr>
                <w:p>
                  <w:pPr>
                    <w:jc w:val="center"/>
                  </w:pPr>
                  <w:r>
                    <w:t>0.03</w:t>
                  </w:r>
                </w:p>
              </w:tc>
              <w:tc>
                <w:tcPr>
                  <w:tcW w:w="1793" w:type="dxa"/>
                  <w:vAlign w:val="center"/>
                </w:tcPr>
                <w:p>
                  <w:pPr>
                    <w:jc w:val="center"/>
                  </w:pPr>
                  <w:r>
                    <w:t>2.123E-6</w:t>
                  </w:r>
                </w:p>
              </w:tc>
              <w:tc>
                <w:tcPr>
                  <w:tcW w:w="1773" w:type="dxa"/>
                  <w:vAlign w:val="center"/>
                </w:tcPr>
                <w:p>
                  <w:pPr>
                    <w:jc w:val="center"/>
                  </w:pPr>
                  <w: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800</w:t>
                  </w:r>
                </w:p>
              </w:tc>
              <w:tc>
                <w:tcPr>
                  <w:tcW w:w="1793" w:type="dxa"/>
                  <w:vAlign w:val="center"/>
                </w:tcPr>
                <w:p>
                  <w:pPr>
                    <w:jc w:val="center"/>
                  </w:pPr>
                  <w:r>
                    <w:t>4.431E-5</w:t>
                  </w:r>
                </w:p>
              </w:tc>
              <w:tc>
                <w:tcPr>
                  <w:tcW w:w="1773" w:type="dxa"/>
                  <w:vAlign w:val="center"/>
                </w:tcPr>
                <w:p>
                  <w:pPr>
                    <w:jc w:val="center"/>
                  </w:pPr>
                  <w:r>
                    <w:t>0.02</w:t>
                  </w:r>
                </w:p>
              </w:tc>
              <w:tc>
                <w:tcPr>
                  <w:tcW w:w="1793" w:type="dxa"/>
                  <w:vAlign w:val="center"/>
                </w:tcPr>
                <w:p>
                  <w:pPr>
                    <w:jc w:val="center"/>
                  </w:pPr>
                  <w:r>
                    <w:t>1.718E-6</w:t>
                  </w:r>
                </w:p>
              </w:tc>
              <w:tc>
                <w:tcPr>
                  <w:tcW w:w="1773" w:type="dxa"/>
                  <w:vAlign w:val="center"/>
                </w:tcPr>
                <w:p>
                  <w:pPr>
                    <w:jc w:val="center"/>
                  </w:pPr>
                  <w: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900</w:t>
                  </w:r>
                </w:p>
              </w:tc>
              <w:tc>
                <w:tcPr>
                  <w:tcW w:w="1793" w:type="dxa"/>
                  <w:vAlign w:val="center"/>
                </w:tcPr>
                <w:p>
                  <w:pPr>
                    <w:jc w:val="center"/>
                  </w:pPr>
                  <w:r>
                    <w:t>3.679E-5</w:t>
                  </w:r>
                </w:p>
              </w:tc>
              <w:tc>
                <w:tcPr>
                  <w:tcW w:w="1773" w:type="dxa"/>
                  <w:vAlign w:val="center"/>
                </w:tcPr>
                <w:p>
                  <w:pPr>
                    <w:jc w:val="center"/>
                  </w:pPr>
                  <w:r>
                    <w:t>0.02</w:t>
                  </w:r>
                </w:p>
              </w:tc>
              <w:tc>
                <w:tcPr>
                  <w:tcW w:w="1793" w:type="dxa"/>
                  <w:vAlign w:val="center"/>
                </w:tcPr>
                <w:p>
                  <w:pPr>
                    <w:jc w:val="center"/>
                  </w:pPr>
                  <w:r>
                    <w:t>1.427E-6</w:t>
                  </w:r>
                </w:p>
              </w:tc>
              <w:tc>
                <w:tcPr>
                  <w:tcW w:w="1773" w:type="dxa"/>
                  <w:vAlign w:val="center"/>
                </w:tcPr>
                <w:p>
                  <w:pPr>
                    <w:jc w:val="center"/>
                  </w:pPr>
                  <w: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1000</w:t>
                  </w:r>
                </w:p>
              </w:tc>
              <w:tc>
                <w:tcPr>
                  <w:tcW w:w="1793" w:type="dxa"/>
                  <w:vAlign w:val="center"/>
                </w:tcPr>
                <w:p>
                  <w:pPr>
                    <w:jc w:val="center"/>
                  </w:pPr>
                  <w:r>
                    <w:t>3.117E-5</w:t>
                  </w:r>
                </w:p>
              </w:tc>
              <w:tc>
                <w:tcPr>
                  <w:tcW w:w="1773" w:type="dxa"/>
                  <w:vAlign w:val="center"/>
                </w:tcPr>
                <w:p>
                  <w:pPr>
                    <w:jc w:val="center"/>
                  </w:pPr>
                  <w:r>
                    <w:t>0.02</w:t>
                  </w:r>
                </w:p>
              </w:tc>
              <w:tc>
                <w:tcPr>
                  <w:tcW w:w="1793" w:type="dxa"/>
                  <w:vAlign w:val="center"/>
                </w:tcPr>
                <w:p>
                  <w:pPr>
                    <w:jc w:val="center"/>
                  </w:pPr>
                  <w:r>
                    <w:t>1.209E-6</w:t>
                  </w:r>
                </w:p>
              </w:tc>
              <w:tc>
                <w:tcPr>
                  <w:tcW w:w="1773" w:type="dxa"/>
                  <w:vAlign w:val="center"/>
                </w:tcPr>
                <w:p>
                  <w:pPr>
                    <w:jc w:val="center"/>
                  </w:pPr>
                  <w: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1100</w:t>
                  </w:r>
                </w:p>
              </w:tc>
              <w:tc>
                <w:tcPr>
                  <w:tcW w:w="1793" w:type="dxa"/>
                  <w:vAlign w:val="center"/>
                </w:tcPr>
                <w:p>
                  <w:pPr>
                    <w:jc w:val="center"/>
                  </w:pPr>
                  <w:r>
                    <w:t>2.693E-5</w:t>
                  </w:r>
                </w:p>
              </w:tc>
              <w:tc>
                <w:tcPr>
                  <w:tcW w:w="1773" w:type="dxa"/>
                  <w:vAlign w:val="center"/>
                </w:tcPr>
                <w:p>
                  <w:pPr>
                    <w:jc w:val="center"/>
                  </w:pPr>
                  <w:r>
                    <w:t>0.01</w:t>
                  </w:r>
                </w:p>
              </w:tc>
              <w:tc>
                <w:tcPr>
                  <w:tcW w:w="1793" w:type="dxa"/>
                  <w:vAlign w:val="center"/>
                </w:tcPr>
                <w:p>
                  <w:pPr>
                    <w:jc w:val="center"/>
                  </w:pPr>
                  <w:r>
                    <w:t>1.044E-6</w:t>
                  </w:r>
                </w:p>
              </w:tc>
              <w:tc>
                <w:tcPr>
                  <w:tcW w:w="1773" w:type="dxa"/>
                  <w:vAlign w:val="center"/>
                </w:tcPr>
                <w:p>
                  <w:pPr>
                    <w:jc w:val="center"/>
                  </w:pPr>
                  <w: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1200</w:t>
                  </w:r>
                </w:p>
              </w:tc>
              <w:tc>
                <w:tcPr>
                  <w:tcW w:w="1793" w:type="dxa"/>
                  <w:vAlign w:val="center"/>
                </w:tcPr>
                <w:p>
                  <w:pPr>
                    <w:jc w:val="center"/>
                  </w:pPr>
                  <w:r>
                    <w:t>2.355E-5</w:t>
                  </w:r>
                </w:p>
              </w:tc>
              <w:tc>
                <w:tcPr>
                  <w:tcW w:w="1773" w:type="dxa"/>
                  <w:vAlign w:val="center"/>
                </w:tcPr>
                <w:p>
                  <w:pPr>
                    <w:jc w:val="center"/>
                  </w:pPr>
                  <w:r>
                    <w:t>0.01</w:t>
                  </w:r>
                </w:p>
              </w:tc>
              <w:tc>
                <w:tcPr>
                  <w:tcW w:w="1793" w:type="dxa"/>
                  <w:vAlign w:val="center"/>
                </w:tcPr>
                <w:p>
                  <w:pPr>
                    <w:jc w:val="center"/>
                  </w:pPr>
                  <w:r>
                    <w:t>9.132E-7</w:t>
                  </w:r>
                </w:p>
              </w:tc>
              <w:tc>
                <w:tcPr>
                  <w:tcW w:w="1773" w:type="dxa"/>
                  <w:vAlign w:val="center"/>
                </w:tcPr>
                <w:p>
                  <w:pPr>
                    <w:jc w:val="center"/>
                  </w:pPr>
                  <w: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1300</w:t>
                  </w:r>
                </w:p>
              </w:tc>
              <w:tc>
                <w:tcPr>
                  <w:tcW w:w="1793" w:type="dxa"/>
                  <w:vAlign w:val="center"/>
                </w:tcPr>
                <w:p>
                  <w:pPr>
                    <w:jc w:val="center"/>
                  </w:pPr>
                  <w:r>
                    <w:t>2.082E</w:t>
                  </w:r>
                </w:p>
              </w:tc>
              <w:tc>
                <w:tcPr>
                  <w:tcW w:w="1773" w:type="dxa"/>
                  <w:vAlign w:val="center"/>
                </w:tcPr>
                <w:p>
                  <w:pPr>
                    <w:jc w:val="center"/>
                  </w:pPr>
                  <w:r>
                    <w:t>0.01</w:t>
                  </w:r>
                </w:p>
              </w:tc>
              <w:tc>
                <w:tcPr>
                  <w:tcW w:w="1793" w:type="dxa"/>
                  <w:vAlign w:val="center"/>
                </w:tcPr>
                <w:p>
                  <w:pPr>
                    <w:jc w:val="center"/>
                  </w:pPr>
                  <w:r>
                    <w:t>8.073E</w:t>
                  </w:r>
                </w:p>
              </w:tc>
              <w:tc>
                <w:tcPr>
                  <w:tcW w:w="1773" w:type="dxa"/>
                  <w:vAlign w:val="center"/>
                </w:tcPr>
                <w:p>
                  <w:pPr>
                    <w:jc w:val="center"/>
                  </w:pPr>
                  <w: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1400</w:t>
                  </w:r>
                </w:p>
              </w:tc>
              <w:tc>
                <w:tcPr>
                  <w:tcW w:w="1793" w:type="dxa"/>
                  <w:vAlign w:val="center"/>
                </w:tcPr>
                <w:p>
                  <w:pPr>
                    <w:jc w:val="center"/>
                  </w:pPr>
                  <w:r>
                    <w:t>1.858E</w:t>
                  </w:r>
                </w:p>
              </w:tc>
              <w:tc>
                <w:tcPr>
                  <w:tcW w:w="1773" w:type="dxa"/>
                  <w:vAlign w:val="center"/>
                </w:tcPr>
                <w:p>
                  <w:pPr>
                    <w:jc w:val="center"/>
                  </w:pPr>
                  <w:r>
                    <w:t>0.01</w:t>
                  </w:r>
                </w:p>
              </w:tc>
              <w:tc>
                <w:tcPr>
                  <w:tcW w:w="1793" w:type="dxa"/>
                  <w:vAlign w:val="center"/>
                </w:tcPr>
                <w:p>
                  <w:pPr>
                    <w:jc w:val="center"/>
                  </w:pPr>
                  <w:r>
                    <w:t>7.203E</w:t>
                  </w:r>
                </w:p>
              </w:tc>
              <w:tc>
                <w:tcPr>
                  <w:tcW w:w="1773" w:type="dxa"/>
                  <w:vAlign w:val="center"/>
                </w:tcPr>
                <w:p>
                  <w:pPr>
                    <w:jc w:val="center"/>
                  </w:pPr>
                  <w: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24" w:hRule="atLeast"/>
              </w:trPr>
              <w:tc>
                <w:tcPr>
                  <w:tcW w:w="1769" w:type="dxa"/>
                  <w:vAlign w:val="center"/>
                </w:tcPr>
                <w:p>
                  <w:pPr>
                    <w:jc w:val="center"/>
                    <w:rPr>
                      <w:sz w:val="20"/>
                    </w:rPr>
                  </w:pPr>
                  <w:r>
                    <w:rPr>
                      <w:sz w:val="20"/>
                    </w:rPr>
                    <w:t>1500</w:t>
                  </w:r>
                </w:p>
              </w:tc>
              <w:tc>
                <w:tcPr>
                  <w:tcW w:w="1793" w:type="dxa"/>
                  <w:vAlign w:val="center"/>
                </w:tcPr>
                <w:p>
                  <w:pPr>
                    <w:jc w:val="center"/>
                  </w:pPr>
                  <w:r>
                    <w:t>1.671E</w:t>
                  </w:r>
                </w:p>
              </w:tc>
              <w:tc>
                <w:tcPr>
                  <w:tcW w:w="1773" w:type="dxa"/>
                  <w:vAlign w:val="center"/>
                </w:tcPr>
                <w:p>
                  <w:pPr>
                    <w:jc w:val="center"/>
                  </w:pPr>
                  <w:r>
                    <w:t>0.01</w:t>
                  </w:r>
                </w:p>
              </w:tc>
              <w:tc>
                <w:tcPr>
                  <w:tcW w:w="1793" w:type="dxa"/>
                  <w:vAlign w:val="center"/>
                </w:tcPr>
                <w:p>
                  <w:pPr>
                    <w:jc w:val="center"/>
                  </w:pPr>
                  <w:r>
                    <w:t>6.478E</w:t>
                  </w:r>
                </w:p>
              </w:tc>
              <w:tc>
                <w:tcPr>
                  <w:tcW w:w="1773" w:type="dxa"/>
                  <w:vAlign w:val="center"/>
                </w:tcPr>
                <w:p>
                  <w:pPr>
                    <w:jc w:val="center"/>
                  </w:pPr>
                  <w: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1600</w:t>
                  </w:r>
                </w:p>
              </w:tc>
              <w:tc>
                <w:tcPr>
                  <w:tcW w:w="1793" w:type="dxa"/>
                  <w:vAlign w:val="center"/>
                </w:tcPr>
                <w:p>
                  <w:pPr>
                    <w:jc w:val="center"/>
                  </w:pPr>
                  <w:r>
                    <w:t>1.513E</w:t>
                  </w:r>
                </w:p>
              </w:tc>
              <w:tc>
                <w:tcPr>
                  <w:tcW w:w="1773" w:type="dxa"/>
                  <w:vAlign w:val="center"/>
                </w:tcPr>
                <w:p>
                  <w:pPr>
                    <w:jc w:val="center"/>
                  </w:pPr>
                  <w:r>
                    <w:t>0.01</w:t>
                  </w:r>
                </w:p>
              </w:tc>
              <w:tc>
                <w:tcPr>
                  <w:tcW w:w="1793" w:type="dxa"/>
                  <w:vAlign w:val="center"/>
                </w:tcPr>
                <w:p>
                  <w:pPr>
                    <w:jc w:val="center"/>
                  </w:pPr>
                  <w:r>
                    <w:t>5.866E</w:t>
                  </w:r>
                </w:p>
              </w:tc>
              <w:tc>
                <w:tcPr>
                  <w:tcW w:w="1773" w:type="dxa"/>
                  <w:vAlign w:val="center"/>
                </w:tcPr>
                <w:p>
                  <w:pPr>
                    <w:jc w:val="center"/>
                  </w:pPr>
                  <w: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1700</w:t>
                  </w:r>
                </w:p>
              </w:tc>
              <w:tc>
                <w:tcPr>
                  <w:tcW w:w="1793" w:type="dxa"/>
                  <w:vAlign w:val="center"/>
                </w:tcPr>
                <w:p>
                  <w:pPr>
                    <w:jc w:val="center"/>
                  </w:pPr>
                  <w:r>
                    <w:t>1.378E</w:t>
                  </w:r>
                </w:p>
              </w:tc>
              <w:tc>
                <w:tcPr>
                  <w:tcW w:w="1773" w:type="dxa"/>
                  <w:vAlign w:val="center"/>
                </w:tcPr>
                <w:p>
                  <w:pPr>
                    <w:jc w:val="center"/>
                  </w:pPr>
                  <w:r>
                    <w:t>0.01</w:t>
                  </w:r>
                </w:p>
              </w:tc>
              <w:tc>
                <w:tcPr>
                  <w:tcW w:w="1793" w:type="dxa"/>
                  <w:vAlign w:val="center"/>
                </w:tcPr>
                <w:p>
                  <w:pPr>
                    <w:jc w:val="center"/>
                  </w:pPr>
                  <w:r>
                    <w:t>5.345E</w:t>
                  </w:r>
                </w:p>
              </w:tc>
              <w:tc>
                <w:tcPr>
                  <w:tcW w:w="1773" w:type="dxa"/>
                  <w:vAlign w:val="center"/>
                </w:tcPr>
                <w:p>
                  <w:pPr>
                    <w:jc w:val="center"/>
                  </w:pPr>
                  <w: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1800</w:t>
                  </w:r>
                </w:p>
              </w:tc>
              <w:tc>
                <w:tcPr>
                  <w:tcW w:w="1793" w:type="dxa"/>
                  <w:vAlign w:val="center"/>
                </w:tcPr>
                <w:p>
                  <w:pPr>
                    <w:jc w:val="center"/>
                  </w:pPr>
                  <w:r>
                    <w:t>1.263E</w:t>
                  </w:r>
                </w:p>
              </w:tc>
              <w:tc>
                <w:tcPr>
                  <w:tcW w:w="1773" w:type="dxa"/>
                  <w:vAlign w:val="center"/>
                </w:tcPr>
                <w:p>
                  <w:pPr>
                    <w:jc w:val="center"/>
                  </w:pPr>
                  <w:r>
                    <w:t>0.01</w:t>
                  </w:r>
                </w:p>
              </w:tc>
              <w:tc>
                <w:tcPr>
                  <w:tcW w:w="1793" w:type="dxa"/>
                  <w:vAlign w:val="center"/>
                </w:tcPr>
                <w:p>
                  <w:pPr>
                    <w:jc w:val="center"/>
                  </w:pPr>
                  <w:r>
                    <w:t>4.896E</w:t>
                  </w:r>
                </w:p>
              </w:tc>
              <w:tc>
                <w:tcPr>
                  <w:tcW w:w="1773" w:type="dxa"/>
                  <w:vAlign w:val="center"/>
                </w:tcPr>
                <w:p>
                  <w:pPr>
                    <w:jc w:val="center"/>
                  </w:pPr>
                  <w: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1900</w:t>
                  </w:r>
                </w:p>
              </w:tc>
              <w:tc>
                <w:tcPr>
                  <w:tcW w:w="1793" w:type="dxa"/>
                  <w:vAlign w:val="center"/>
                </w:tcPr>
                <w:p>
                  <w:pPr>
                    <w:jc w:val="center"/>
                  </w:pPr>
                  <w:r>
                    <w:t>1.162E</w:t>
                  </w:r>
                </w:p>
              </w:tc>
              <w:tc>
                <w:tcPr>
                  <w:tcW w:w="1773" w:type="dxa"/>
                  <w:vAlign w:val="center"/>
                </w:tcPr>
                <w:p>
                  <w:pPr>
                    <w:jc w:val="center"/>
                  </w:pPr>
                  <w:r>
                    <w:t>0.01</w:t>
                  </w:r>
                </w:p>
              </w:tc>
              <w:tc>
                <w:tcPr>
                  <w:tcW w:w="1793" w:type="dxa"/>
                  <w:vAlign w:val="center"/>
                </w:tcPr>
                <w:p>
                  <w:pPr>
                    <w:jc w:val="center"/>
                  </w:pPr>
                  <w:r>
                    <w:t>4.506E</w:t>
                  </w:r>
                </w:p>
              </w:tc>
              <w:tc>
                <w:tcPr>
                  <w:tcW w:w="1773" w:type="dxa"/>
                  <w:vAlign w:val="center"/>
                </w:tcPr>
                <w:p>
                  <w:pPr>
                    <w:jc w:val="center"/>
                  </w:pPr>
                  <w: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24" w:hRule="atLeast"/>
              </w:trPr>
              <w:tc>
                <w:tcPr>
                  <w:tcW w:w="1769" w:type="dxa"/>
                  <w:vAlign w:val="center"/>
                </w:tcPr>
                <w:p>
                  <w:pPr>
                    <w:jc w:val="center"/>
                    <w:rPr>
                      <w:sz w:val="20"/>
                    </w:rPr>
                  </w:pPr>
                  <w:r>
                    <w:rPr>
                      <w:sz w:val="20"/>
                    </w:rPr>
                    <w:t>2000</w:t>
                  </w:r>
                </w:p>
              </w:tc>
              <w:tc>
                <w:tcPr>
                  <w:tcW w:w="1793" w:type="dxa"/>
                  <w:vAlign w:val="center"/>
                </w:tcPr>
                <w:p>
                  <w:pPr>
                    <w:jc w:val="center"/>
                  </w:pPr>
                  <w:r>
                    <w:t>1.074E</w:t>
                  </w:r>
                </w:p>
              </w:tc>
              <w:tc>
                <w:tcPr>
                  <w:tcW w:w="1773" w:type="dxa"/>
                  <w:vAlign w:val="center"/>
                </w:tcPr>
                <w:p>
                  <w:pPr>
                    <w:jc w:val="center"/>
                  </w:pPr>
                  <w:r>
                    <w:t>0.01</w:t>
                  </w:r>
                </w:p>
              </w:tc>
              <w:tc>
                <w:tcPr>
                  <w:tcW w:w="1793" w:type="dxa"/>
                  <w:vAlign w:val="center"/>
                </w:tcPr>
                <w:p>
                  <w:pPr>
                    <w:jc w:val="center"/>
                  </w:pPr>
                  <w:r>
                    <w:t>4.166E</w:t>
                  </w:r>
                </w:p>
              </w:tc>
              <w:tc>
                <w:tcPr>
                  <w:tcW w:w="1773" w:type="dxa"/>
                  <w:vAlign w:val="center"/>
                </w:tcPr>
                <w:p>
                  <w:pPr>
                    <w:jc w:val="center"/>
                  </w:pPr>
                  <w: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1769" w:type="dxa"/>
                  <w:vAlign w:val="center"/>
                </w:tcPr>
                <w:p>
                  <w:pPr>
                    <w:jc w:val="center"/>
                    <w:rPr>
                      <w:sz w:val="20"/>
                    </w:rPr>
                  </w:pPr>
                  <w:r>
                    <w:rPr>
                      <w:sz w:val="20"/>
                    </w:rPr>
                    <w:t>2100</w:t>
                  </w:r>
                </w:p>
              </w:tc>
              <w:tc>
                <w:tcPr>
                  <w:tcW w:w="1793" w:type="dxa"/>
                  <w:vAlign w:val="center"/>
                </w:tcPr>
                <w:p>
                  <w:pPr>
                    <w:jc w:val="center"/>
                  </w:pPr>
                  <w:r>
                    <w:t>1.001E</w:t>
                  </w:r>
                </w:p>
              </w:tc>
              <w:tc>
                <w:tcPr>
                  <w:tcW w:w="1773" w:type="dxa"/>
                  <w:vAlign w:val="center"/>
                </w:tcPr>
                <w:p>
                  <w:pPr>
                    <w:jc w:val="center"/>
                  </w:pPr>
                  <w:r>
                    <w:t>0.01</w:t>
                  </w:r>
                </w:p>
              </w:tc>
              <w:tc>
                <w:tcPr>
                  <w:tcW w:w="1793" w:type="dxa"/>
                  <w:vAlign w:val="center"/>
                </w:tcPr>
                <w:p>
                  <w:pPr>
                    <w:jc w:val="center"/>
                  </w:pPr>
                  <w:r>
                    <w:t>3.881E</w:t>
                  </w:r>
                </w:p>
              </w:tc>
              <w:tc>
                <w:tcPr>
                  <w:tcW w:w="1773" w:type="dxa"/>
                  <w:vAlign w:val="center"/>
                </w:tcPr>
                <w:p>
                  <w:pPr>
                    <w:jc w:val="center"/>
                  </w:pPr>
                  <w: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2200</w:t>
                  </w:r>
                </w:p>
              </w:tc>
              <w:tc>
                <w:tcPr>
                  <w:tcW w:w="1793" w:type="dxa"/>
                  <w:vAlign w:val="center"/>
                </w:tcPr>
                <w:p>
                  <w:pPr>
                    <w:jc w:val="center"/>
                  </w:pPr>
                  <w:r>
                    <w:t>9.359E</w:t>
                  </w:r>
                </w:p>
              </w:tc>
              <w:tc>
                <w:tcPr>
                  <w:tcW w:w="1773" w:type="dxa"/>
                  <w:vAlign w:val="center"/>
                </w:tcPr>
                <w:p>
                  <w:pPr>
                    <w:jc w:val="center"/>
                  </w:pPr>
                  <w:r>
                    <w:t>0.00</w:t>
                  </w:r>
                </w:p>
              </w:tc>
              <w:tc>
                <w:tcPr>
                  <w:tcW w:w="1793" w:type="dxa"/>
                  <w:vAlign w:val="center"/>
                </w:tcPr>
                <w:p>
                  <w:pPr>
                    <w:jc w:val="center"/>
                  </w:pPr>
                  <w:r>
                    <w:t>3.629E</w:t>
                  </w:r>
                </w:p>
              </w:tc>
              <w:tc>
                <w:tcPr>
                  <w:tcW w:w="1773" w:type="dxa"/>
                  <w:vAlign w:val="center"/>
                </w:tcPr>
                <w:p>
                  <w:pPr>
                    <w:jc w:val="center"/>
                  </w:pPr>
                  <w: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04" w:hRule="atLeast"/>
              </w:trPr>
              <w:tc>
                <w:tcPr>
                  <w:tcW w:w="1769" w:type="dxa"/>
                  <w:vAlign w:val="center"/>
                </w:tcPr>
                <w:p>
                  <w:pPr>
                    <w:jc w:val="center"/>
                    <w:rPr>
                      <w:sz w:val="20"/>
                    </w:rPr>
                  </w:pPr>
                  <w:r>
                    <w:rPr>
                      <w:sz w:val="20"/>
                    </w:rPr>
                    <w:t>2300</w:t>
                  </w:r>
                </w:p>
              </w:tc>
              <w:tc>
                <w:tcPr>
                  <w:tcW w:w="1793" w:type="dxa"/>
                  <w:vAlign w:val="center"/>
                </w:tcPr>
                <w:p>
                  <w:pPr>
                    <w:jc w:val="center"/>
                  </w:pPr>
                  <w:r>
                    <w:t>8.775E</w:t>
                  </w:r>
                </w:p>
              </w:tc>
              <w:tc>
                <w:tcPr>
                  <w:tcW w:w="1773" w:type="dxa"/>
                  <w:vAlign w:val="center"/>
                </w:tcPr>
                <w:p>
                  <w:pPr>
                    <w:jc w:val="center"/>
                  </w:pPr>
                  <w:r>
                    <w:t>0.00</w:t>
                  </w:r>
                </w:p>
              </w:tc>
              <w:tc>
                <w:tcPr>
                  <w:tcW w:w="1793" w:type="dxa"/>
                  <w:vAlign w:val="center"/>
                </w:tcPr>
                <w:p>
                  <w:pPr>
                    <w:jc w:val="center"/>
                  </w:pPr>
                  <w:r>
                    <w:t>3.403E</w:t>
                  </w:r>
                </w:p>
              </w:tc>
              <w:tc>
                <w:tcPr>
                  <w:tcW w:w="1773" w:type="dxa"/>
                  <w:vAlign w:val="center"/>
                </w:tcPr>
                <w:p>
                  <w:pPr>
                    <w:jc w:val="center"/>
                  </w:pPr>
                  <w: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2400</w:t>
                  </w:r>
                </w:p>
              </w:tc>
              <w:tc>
                <w:tcPr>
                  <w:tcW w:w="1793" w:type="dxa"/>
                  <w:vAlign w:val="center"/>
                </w:tcPr>
                <w:p>
                  <w:pPr>
                    <w:jc w:val="center"/>
                  </w:pPr>
                  <w:r>
                    <w:t>8.25E</w:t>
                  </w:r>
                </w:p>
              </w:tc>
              <w:tc>
                <w:tcPr>
                  <w:tcW w:w="1773" w:type="dxa"/>
                  <w:vAlign w:val="center"/>
                </w:tcPr>
                <w:p>
                  <w:pPr>
                    <w:jc w:val="center"/>
                  </w:pPr>
                  <w:r>
                    <w:t>0.00</w:t>
                  </w:r>
                </w:p>
              </w:tc>
              <w:tc>
                <w:tcPr>
                  <w:tcW w:w="1793" w:type="dxa"/>
                  <w:vAlign w:val="center"/>
                </w:tcPr>
                <w:p>
                  <w:pPr>
                    <w:jc w:val="center"/>
                  </w:pPr>
                  <w:r>
                    <w:t>3.199E</w:t>
                  </w:r>
                </w:p>
              </w:tc>
              <w:tc>
                <w:tcPr>
                  <w:tcW w:w="1773" w:type="dxa"/>
                  <w:vAlign w:val="center"/>
                </w:tcPr>
                <w:p>
                  <w:pPr>
                    <w:jc w:val="center"/>
                  </w:pPr>
                  <w: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2500</w:t>
                  </w:r>
                </w:p>
              </w:tc>
              <w:tc>
                <w:tcPr>
                  <w:tcW w:w="1793" w:type="dxa"/>
                  <w:vAlign w:val="center"/>
                </w:tcPr>
                <w:p>
                  <w:pPr>
                    <w:jc w:val="center"/>
                  </w:pPr>
                  <w:r>
                    <w:t>7.775E</w:t>
                  </w:r>
                </w:p>
              </w:tc>
              <w:tc>
                <w:tcPr>
                  <w:tcW w:w="1773" w:type="dxa"/>
                  <w:vAlign w:val="center"/>
                </w:tcPr>
                <w:p>
                  <w:pPr>
                    <w:jc w:val="center"/>
                  </w:pPr>
                  <w:r>
                    <w:t>0.00</w:t>
                  </w:r>
                </w:p>
              </w:tc>
              <w:tc>
                <w:tcPr>
                  <w:tcW w:w="1793" w:type="dxa"/>
                  <w:vAlign w:val="center"/>
                </w:tcPr>
                <w:p>
                  <w:pPr>
                    <w:jc w:val="center"/>
                  </w:pPr>
                  <w:r>
                    <w:t>3.015E</w:t>
                  </w:r>
                </w:p>
              </w:tc>
              <w:tc>
                <w:tcPr>
                  <w:tcW w:w="1773" w:type="dxa"/>
                  <w:vAlign w:val="center"/>
                </w:tcPr>
                <w:p>
                  <w:pPr>
                    <w:jc w:val="center"/>
                  </w:pPr>
                  <w:r>
                    <w:t>0.00</w:t>
                  </w:r>
                </w:p>
              </w:tc>
            </w:tr>
          </w:tbl>
          <w:p>
            <w:pPr>
              <w:autoSpaceDE w:val="0"/>
              <w:autoSpaceDN w:val="0"/>
              <w:adjustRightInd w:val="0"/>
              <w:spacing w:line="360" w:lineRule="auto"/>
              <w:ind w:right="-23" w:firstLine="420" w:firstLineChars="200"/>
              <w:jc w:val="left"/>
              <w:rPr>
                <w:rFonts w:hAnsi="宋体"/>
                <w:bCs/>
                <w:szCs w:val="21"/>
              </w:rPr>
            </w:pPr>
            <w:r>
              <w:rPr>
                <w:rFonts w:hAnsi="宋体"/>
                <w:bCs/>
                <w:szCs w:val="21"/>
              </w:rPr>
              <w:t>注：NH</w:t>
            </w:r>
            <w:r>
              <w:rPr>
                <w:rFonts w:hAnsi="宋体"/>
                <w:bCs/>
                <w:szCs w:val="21"/>
                <w:vertAlign w:val="subscript"/>
              </w:rPr>
              <w:t>3</w:t>
            </w:r>
            <w:r>
              <w:rPr>
                <w:rFonts w:hAnsi="宋体"/>
                <w:bCs/>
                <w:szCs w:val="21"/>
              </w:rPr>
              <w:t>标准值为0.2mg/m</w:t>
            </w:r>
            <w:r>
              <w:rPr>
                <w:rFonts w:hAnsi="宋体"/>
                <w:bCs/>
                <w:szCs w:val="21"/>
                <w:vertAlign w:val="superscript"/>
              </w:rPr>
              <w:t>3</w:t>
            </w:r>
            <w:r>
              <w:rPr>
                <w:rFonts w:hAnsi="宋体"/>
                <w:bCs/>
                <w:szCs w:val="21"/>
              </w:rPr>
              <w:t>、H</w:t>
            </w:r>
            <w:r>
              <w:rPr>
                <w:rFonts w:hAnsi="宋体"/>
                <w:bCs/>
                <w:szCs w:val="21"/>
                <w:vertAlign w:val="subscript"/>
              </w:rPr>
              <w:t>2</w:t>
            </w:r>
            <w:r>
              <w:rPr>
                <w:rFonts w:hAnsi="宋体"/>
                <w:bCs/>
                <w:szCs w:val="21"/>
              </w:rPr>
              <w:t>S标准值为0.01mg/m</w:t>
            </w:r>
            <w:r>
              <w:rPr>
                <w:rFonts w:hAnsi="宋体"/>
                <w:bCs/>
                <w:szCs w:val="21"/>
                <w:vertAlign w:val="superscript"/>
              </w:rPr>
              <w:t>3</w:t>
            </w:r>
          </w:p>
          <w:p>
            <w:pPr>
              <w:autoSpaceDE w:val="0"/>
              <w:autoSpaceDN w:val="0"/>
              <w:adjustRightInd w:val="0"/>
              <w:spacing w:line="360" w:lineRule="auto"/>
              <w:ind w:right="-23" w:firstLine="480" w:firstLineChars="200"/>
              <w:jc w:val="left"/>
              <w:rPr>
                <w:rFonts w:hAnsi="宋体"/>
                <w:bCs/>
                <w:sz w:val="24"/>
              </w:rPr>
            </w:pPr>
            <w:r>
              <w:rPr>
                <w:rFonts w:hAnsi="宋体"/>
                <w:bCs/>
                <w:sz w:val="24"/>
              </w:rPr>
              <w:t>由表</w:t>
            </w:r>
            <w:r>
              <w:rPr>
                <w:rFonts w:hint="eastAsia" w:hAnsi="宋体"/>
                <w:bCs/>
                <w:sz w:val="24"/>
              </w:rPr>
              <w:t>53</w:t>
            </w:r>
            <w:r>
              <w:rPr>
                <w:rFonts w:hAnsi="宋体"/>
                <w:bCs/>
                <w:sz w:val="24"/>
              </w:rPr>
              <w:t>估算结果表明，项目NH</w:t>
            </w:r>
            <w:r>
              <w:rPr>
                <w:rFonts w:hAnsi="宋体"/>
                <w:bCs/>
                <w:sz w:val="24"/>
                <w:vertAlign w:val="subscript"/>
              </w:rPr>
              <w:t>3</w:t>
            </w:r>
            <w:r>
              <w:rPr>
                <w:rFonts w:hAnsi="宋体"/>
                <w:bCs/>
                <w:sz w:val="24"/>
              </w:rPr>
              <w:t>、H</w:t>
            </w:r>
            <w:r>
              <w:rPr>
                <w:rFonts w:hAnsi="宋体"/>
                <w:bCs/>
                <w:sz w:val="24"/>
                <w:vertAlign w:val="subscript"/>
              </w:rPr>
              <w:t>2</w:t>
            </w:r>
            <w:r>
              <w:rPr>
                <w:rFonts w:hAnsi="宋体"/>
                <w:bCs/>
                <w:sz w:val="24"/>
              </w:rPr>
              <w:t>S无组织排放在</w:t>
            </w:r>
            <w:r>
              <w:rPr>
                <w:rFonts w:hint="eastAsia" w:hAnsi="宋体"/>
                <w:bCs/>
                <w:sz w:val="24"/>
              </w:rPr>
              <w:t>12</w:t>
            </w:r>
            <w:r>
              <w:rPr>
                <w:rFonts w:hAnsi="宋体"/>
                <w:bCs/>
                <w:sz w:val="24"/>
              </w:rPr>
              <w:t>m处</w:t>
            </w:r>
            <w:r>
              <w:rPr>
                <w:rFonts w:hint="eastAsia" w:hAnsi="宋体"/>
                <w:bCs/>
                <w:sz w:val="24"/>
              </w:rPr>
              <w:t>（此处为农田）</w:t>
            </w:r>
            <w:r>
              <w:rPr>
                <w:rFonts w:hAnsi="宋体"/>
                <w:bCs/>
                <w:sz w:val="24"/>
              </w:rPr>
              <w:t>最大地面浓度分别为0.01185mg/m</w:t>
            </w:r>
            <w:r>
              <w:rPr>
                <w:rFonts w:hAnsi="宋体"/>
                <w:bCs/>
                <w:sz w:val="24"/>
                <w:vertAlign w:val="superscript"/>
              </w:rPr>
              <w:t>3</w:t>
            </w:r>
            <w:r>
              <w:rPr>
                <w:rFonts w:hAnsi="宋体"/>
                <w:bCs/>
                <w:sz w:val="24"/>
              </w:rPr>
              <w:t>、0.0004593mg/m</w:t>
            </w:r>
            <w:r>
              <w:rPr>
                <w:rFonts w:hAnsi="宋体"/>
                <w:bCs/>
                <w:sz w:val="24"/>
                <w:vertAlign w:val="superscript"/>
              </w:rPr>
              <w:t>3</w:t>
            </w:r>
            <w:r>
              <w:rPr>
                <w:rFonts w:hAnsi="宋体"/>
                <w:bCs/>
                <w:sz w:val="24"/>
              </w:rPr>
              <w:t>，其下风向最大地面浓度占标率为</w:t>
            </w:r>
            <w:r>
              <w:rPr>
                <w:rFonts w:hint="eastAsia" w:hAnsi="宋体"/>
                <w:bCs/>
                <w:sz w:val="24"/>
              </w:rPr>
              <w:t>5.92</w:t>
            </w:r>
            <w:r>
              <w:rPr>
                <w:rFonts w:hAnsi="宋体"/>
                <w:bCs/>
                <w:sz w:val="24"/>
              </w:rPr>
              <w:t>%、</w:t>
            </w:r>
            <w:r>
              <w:rPr>
                <w:rFonts w:hint="eastAsia" w:hAnsi="宋体"/>
                <w:bCs/>
                <w:sz w:val="24"/>
              </w:rPr>
              <w:t>4.59</w:t>
            </w:r>
            <w:r>
              <w:rPr>
                <w:rFonts w:hAnsi="宋体"/>
                <w:bCs/>
                <w:sz w:val="24"/>
              </w:rPr>
              <w:t>%，</w:t>
            </w:r>
            <w:r>
              <w:rPr>
                <w:rFonts w:hint="eastAsia" w:hAnsi="宋体"/>
                <w:bCs/>
                <w:sz w:val="24"/>
              </w:rPr>
              <w:t>最近居民（51m）处</w:t>
            </w:r>
            <w:r>
              <w:rPr>
                <w:rFonts w:hAnsi="宋体"/>
                <w:bCs/>
                <w:sz w:val="24"/>
              </w:rPr>
              <w:t>NH</w:t>
            </w:r>
            <w:r>
              <w:rPr>
                <w:rFonts w:hAnsi="宋体"/>
                <w:bCs/>
                <w:sz w:val="24"/>
                <w:vertAlign w:val="subscript"/>
              </w:rPr>
              <w:t>3</w:t>
            </w:r>
            <w:r>
              <w:rPr>
                <w:rFonts w:hAnsi="宋体"/>
                <w:bCs/>
                <w:sz w:val="24"/>
              </w:rPr>
              <w:t>、H</w:t>
            </w:r>
            <w:r>
              <w:rPr>
                <w:rFonts w:hAnsi="宋体"/>
                <w:bCs/>
                <w:sz w:val="24"/>
                <w:vertAlign w:val="subscript"/>
              </w:rPr>
              <w:t>2</w:t>
            </w:r>
            <w:r>
              <w:rPr>
                <w:rFonts w:hAnsi="宋体"/>
                <w:bCs/>
                <w:sz w:val="24"/>
              </w:rPr>
              <w:t>S无组织排放</w:t>
            </w:r>
            <w:r>
              <w:rPr>
                <w:rFonts w:hint="eastAsia" w:hAnsi="宋体"/>
                <w:bCs/>
                <w:sz w:val="24"/>
              </w:rPr>
              <w:t>浓度分别为</w:t>
            </w:r>
            <w:r>
              <w:rPr>
                <w:rFonts w:hAnsi="宋体"/>
                <w:bCs/>
                <w:sz w:val="24"/>
              </w:rPr>
              <w:t>0.002216mg/m</w:t>
            </w:r>
            <w:r>
              <w:rPr>
                <w:rFonts w:hAnsi="宋体"/>
                <w:bCs/>
                <w:sz w:val="24"/>
                <w:vertAlign w:val="superscript"/>
              </w:rPr>
              <w:t>3</w:t>
            </w:r>
            <w:r>
              <w:rPr>
                <w:rFonts w:hAnsi="宋体"/>
                <w:bCs/>
                <w:sz w:val="24"/>
              </w:rPr>
              <w:t>、8.592E-5mg/m</w:t>
            </w:r>
            <w:r>
              <w:rPr>
                <w:rFonts w:hAnsi="宋体"/>
                <w:bCs/>
                <w:sz w:val="24"/>
                <w:vertAlign w:val="superscript"/>
              </w:rPr>
              <w:t>3</w:t>
            </w:r>
            <w:r>
              <w:rPr>
                <w:rFonts w:hAnsi="宋体"/>
                <w:bCs/>
                <w:sz w:val="24"/>
              </w:rPr>
              <w:t>，</w:t>
            </w:r>
            <w:r>
              <w:rPr>
                <w:rFonts w:hint="eastAsia" w:hAnsi="宋体"/>
                <w:bCs/>
                <w:sz w:val="24"/>
              </w:rPr>
              <w:t>满足《工业企业设计卫生标准》（TJ36-1979）标准要求。</w:t>
            </w:r>
          </w:p>
          <w:p>
            <w:pPr>
              <w:autoSpaceDE w:val="0"/>
              <w:autoSpaceDN w:val="0"/>
              <w:adjustRightInd w:val="0"/>
              <w:spacing w:line="360" w:lineRule="auto"/>
              <w:ind w:right="-23" w:firstLine="480" w:firstLineChars="200"/>
              <w:jc w:val="left"/>
              <w:rPr>
                <w:rFonts w:hAnsi="宋体"/>
                <w:bCs/>
                <w:sz w:val="24"/>
              </w:rPr>
            </w:pPr>
            <w:r>
              <w:rPr>
                <w:rFonts w:hint="eastAsia" w:hAnsi="宋体"/>
                <w:bCs/>
                <w:sz w:val="24"/>
              </w:rPr>
              <w:t>非正常工况下，大气污染物逸散量以100%计，对其采用估算模式进行预测。</w:t>
            </w:r>
          </w:p>
          <w:p>
            <w:pPr>
              <w:autoSpaceDE w:val="0"/>
              <w:autoSpaceDN w:val="0"/>
              <w:adjustRightInd w:val="0"/>
              <w:spacing w:line="360" w:lineRule="auto"/>
              <w:ind w:right="-23" w:firstLine="422" w:firstLineChars="200"/>
              <w:jc w:val="center"/>
              <w:rPr>
                <w:rFonts w:hAnsi="宋体"/>
                <w:b/>
                <w:bCs/>
                <w:szCs w:val="21"/>
              </w:rPr>
            </w:pPr>
            <w:r>
              <w:rPr>
                <w:rFonts w:hint="eastAsia" w:hAnsi="宋体"/>
                <w:b/>
                <w:bCs/>
                <w:szCs w:val="21"/>
              </w:rPr>
              <w:t>表54   项目大气污染物100%逸散无组织废气源强一览表</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82"/>
              <w:gridCol w:w="990"/>
              <w:gridCol w:w="878"/>
              <w:gridCol w:w="748"/>
              <w:gridCol w:w="1043"/>
              <w:gridCol w:w="1036"/>
              <w:gridCol w:w="1195"/>
              <w:gridCol w:w="1063"/>
              <w:gridCol w:w="11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1" w:hRule="atLeast"/>
                <w:jc w:val="center"/>
              </w:trPr>
              <w:tc>
                <w:tcPr>
                  <w:tcW w:w="782" w:type="dxa"/>
                  <w:vAlign w:val="center"/>
                </w:tcPr>
                <w:p>
                  <w:pPr>
                    <w:pStyle w:val="7"/>
                    <w:spacing w:line="240" w:lineRule="exact"/>
                    <w:jc w:val="center"/>
                    <w:rPr>
                      <w:b/>
                      <w:szCs w:val="21"/>
                    </w:rPr>
                  </w:pPr>
                  <w:r>
                    <w:rPr>
                      <w:rFonts w:hAnsi="宋体"/>
                      <w:b/>
                      <w:szCs w:val="21"/>
                    </w:rPr>
                    <w:t>项目</w:t>
                  </w:r>
                </w:p>
              </w:tc>
              <w:tc>
                <w:tcPr>
                  <w:tcW w:w="990" w:type="dxa"/>
                  <w:vAlign w:val="center"/>
                </w:tcPr>
                <w:p>
                  <w:pPr>
                    <w:pStyle w:val="7"/>
                    <w:spacing w:line="240" w:lineRule="exact"/>
                    <w:jc w:val="center"/>
                    <w:rPr>
                      <w:b/>
                      <w:szCs w:val="21"/>
                    </w:rPr>
                  </w:pPr>
                  <w:r>
                    <w:rPr>
                      <w:rFonts w:hAnsi="宋体"/>
                      <w:b/>
                      <w:szCs w:val="21"/>
                    </w:rPr>
                    <w:t>面源名称</w:t>
                  </w:r>
                </w:p>
              </w:tc>
              <w:tc>
                <w:tcPr>
                  <w:tcW w:w="878" w:type="dxa"/>
                  <w:vAlign w:val="center"/>
                </w:tcPr>
                <w:p>
                  <w:pPr>
                    <w:pStyle w:val="7"/>
                    <w:spacing w:line="240" w:lineRule="exact"/>
                    <w:jc w:val="center"/>
                    <w:rPr>
                      <w:b/>
                      <w:szCs w:val="21"/>
                    </w:rPr>
                  </w:pPr>
                  <w:r>
                    <w:rPr>
                      <w:rFonts w:hAnsi="宋体"/>
                      <w:b/>
                      <w:szCs w:val="21"/>
                    </w:rPr>
                    <w:t>面源长度</w:t>
                  </w:r>
                </w:p>
              </w:tc>
              <w:tc>
                <w:tcPr>
                  <w:tcW w:w="748" w:type="dxa"/>
                  <w:vAlign w:val="center"/>
                </w:tcPr>
                <w:p>
                  <w:pPr>
                    <w:pStyle w:val="7"/>
                    <w:spacing w:line="240" w:lineRule="exact"/>
                    <w:jc w:val="center"/>
                    <w:rPr>
                      <w:b/>
                      <w:szCs w:val="21"/>
                    </w:rPr>
                  </w:pPr>
                  <w:r>
                    <w:rPr>
                      <w:rFonts w:hAnsi="宋体"/>
                      <w:b/>
                      <w:szCs w:val="21"/>
                    </w:rPr>
                    <w:t>面源宽度</w:t>
                  </w:r>
                </w:p>
              </w:tc>
              <w:tc>
                <w:tcPr>
                  <w:tcW w:w="1043" w:type="dxa"/>
                  <w:vAlign w:val="center"/>
                </w:tcPr>
                <w:p>
                  <w:pPr>
                    <w:pStyle w:val="7"/>
                    <w:spacing w:line="240" w:lineRule="exact"/>
                    <w:jc w:val="center"/>
                    <w:rPr>
                      <w:b/>
                      <w:szCs w:val="21"/>
                    </w:rPr>
                  </w:pPr>
                  <w:r>
                    <w:rPr>
                      <w:rFonts w:hAnsi="宋体"/>
                      <w:b/>
                      <w:szCs w:val="21"/>
                    </w:rPr>
                    <w:t>与正北方向夹角</w:t>
                  </w:r>
                </w:p>
              </w:tc>
              <w:tc>
                <w:tcPr>
                  <w:tcW w:w="1036" w:type="dxa"/>
                  <w:vAlign w:val="center"/>
                </w:tcPr>
                <w:p>
                  <w:pPr>
                    <w:pStyle w:val="7"/>
                    <w:spacing w:line="240" w:lineRule="exact"/>
                    <w:jc w:val="center"/>
                    <w:rPr>
                      <w:b/>
                      <w:szCs w:val="21"/>
                    </w:rPr>
                  </w:pPr>
                  <w:r>
                    <w:rPr>
                      <w:rFonts w:hAnsi="宋体"/>
                      <w:b/>
                      <w:szCs w:val="21"/>
                    </w:rPr>
                    <w:t>面源初始排放高度</w:t>
                  </w:r>
                </w:p>
              </w:tc>
              <w:tc>
                <w:tcPr>
                  <w:tcW w:w="1195" w:type="dxa"/>
                  <w:vAlign w:val="center"/>
                </w:tcPr>
                <w:p>
                  <w:pPr>
                    <w:pStyle w:val="7"/>
                    <w:spacing w:line="240" w:lineRule="exact"/>
                    <w:jc w:val="center"/>
                    <w:rPr>
                      <w:b/>
                      <w:szCs w:val="21"/>
                    </w:rPr>
                  </w:pPr>
                  <w:r>
                    <w:rPr>
                      <w:rFonts w:hAnsi="宋体"/>
                      <w:b/>
                      <w:szCs w:val="21"/>
                    </w:rPr>
                    <w:t>排放</w:t>
                  </w:r>
                </w:p>
                <w:p>
                  <w:pPr>
                    <w:pStyle w:val="7"/>
                    <w:spacing w:line="240" w:lineRule="exact"/>
                    <w:jc w:val="center"/>
                    <w:rPr>
                      <w:b/>
                      <w:szCs w:val="21"/>
                    </w:rPr>
                  </w:pPr>
                  <w:r>
                    <w:rPr>
                      <w:rFonts w:hAnsi="宋体"/>
                      <w:b/>
                      <w:szCs w:val="21"/>
                    </w:rPr>
                    <w:t>速率</w:t>
                  </w:r>
                </w:p>
              </w:tc>
              <w:tc>
                <w:tcPr>
                  <w:tcW w:w="1063" w:type="dxa"/>
                  <w:vAlign w:val="center"/>
                </w:tcPr>
                <w:p>
                  <w:pPr>
                    <w:pStyle w:val="7"/>
                    <w:spacing w:line="240" w:lineRule="exact"/>
                    <w:jc w:val="center"/>
                    <w:rPr>
                      <w:b/>
                      <w:szCs w:val="21"/>
                    </w:rPr>
                  </w:pPr>
                  <w:r>
                    <w:rPr>
                      <w:rFonts w:hAnsi="宋体"/>
                      <w:b/>
                      <w:szCs w:val="21"/>
                    </w:rPr>
                    <w:t>排放</w:t>
                  </w:r>
                </w:p>
                <w:p>
                  <w:pPr>
                    <w:pStyle w:val="7"/>
                    <w:spacing w:line="240" w:lineRule="exact"/>
                    <w:jc w:val="center"/>
                    <w:rPr>
                      <w:b/>
                      <w:szCs w:val="21"/>
                    </w:rPr>
                  </w:pPr>
                  <w:r>
                    <w:rPr>
                      <w:rFonts w:hAnsi="宋体"/>
                      <w:b/>
                      <w:szCs w:val="21"/>
                    </w:rPr>
                    <w:t>工况</w:t>
                  </w:r>
                </w:p>
              </w:tc>
              <w:tc>
                <w:tcPr>
                  <w:tcW w:w="1166" w:type="dxa"/>
                  <w:vAlign w:val="center"/>
                </w:tcPr>
                <w:p>
                  <w:pPr>
                    <w:pStyle w:val="7"/>
                    <w:spacing w:line="240" w:lineRule="exact"/>
                    <w:jc w:val="center"/>
                    <w:rPr>
                      <w:b/>
                      <w:szCs w:val="21"/>
                    </w:rPr>
                  </w:pPr>
                  <w:r>
                    <w:rPr>
                      <w:rFonts w:hAnsi="宋体"/>
                      <w:b/>
                      <w:szCs w:val="21"/>
                    </w:rPr>
                    <w:t>评价因子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67" w:hRule="atLeast"/>
                <w:jc w:val="center"/>
              </w:trPr>
              <w:tc>
                <w:tcPr>
                  <w:tcW w:w="782" w:type="dxa"/>
                  <w:vAlign w:val="center"/>
                </w:tcPr>
                <w:p>
                  <w:pPr>
                    <w:pStyle w:val="7"/>
                    <w:spacing w:line="240" w:lineRule="exact"/>
                    <w:jc w:val="center"/>
                    <w:rPr>
                      <w:szCs w:val="21"/>
                    </w:rPr>
                  </w:pPr>
                  <w:r>
                    <w:rPr>
                      <w:rFonts w:hAnsi="宋体"/>
                      <w:szCs w:val="21"/>
                    </w:rPr>
                    <w:t>符号</w:t>
                  </w:r>
                </w:p>
              </w:tc>
              <w:tc>
                <w:tcPr>
                  <w:tcW w:w="990" w:type="dxa"/>
                  <w:vAlign w:val="center"/>
                </w:tcPr>
                <w:p>
                  <w:pPr>
                    <w:pStyle w:val="7"/>
                    <w:spacing w:line="240" w:lineRule="exact"/>
                    <w:jc w:val="center"/>
                    <w:rPr>
                      <w:szCs w:val="21"/>
                    </w:rPr>
                  </w:pPr>
                  <w:r>
                    <w:rPr>
                      <w:szCs w:val="21"/>
                    </w:rPr>
                    <w:t>Name</w:t>
                  </w:r>
                </w:p>
              </w:tc>
              <w:tc>
                <w:tcPr>
                  <w:tcW w:w="878" w:type="dxa"/>
                  <w:vAlign w:val="center"/>
                </w:tcPr>
                <w:p>
                  <w:pPr>
                    <w:pStyle w:val="7"/>
                    <w:spacing w:line="240" w:lineRule="exact"/>
                    <w:jc w:val="center"/>
                    <w:rPr>
                      <w:szCs w:val="21"/>
                    </w:rPr>
                  </w:pPr>
                  <w:r>
                    <w:rPr>
                      <w:szCs w:val="21"/>
                    </w:rPr>
                    <w:t>Ll</w:t>
                  </w:r>
                </w:p>
              </w:tc>
              <w:tc>
                <w:tcPr>
                  <w:tcW w:w="748" w:type="dxa"/>
                  <w:vAlign w:val="center"/>
                </w:tcPr>
                <w:p>
                  <w:pPr>
                    <w:pStyle w:val="7"/>
                    <w:spacing w:line="240" w:lineRule="exact"/>
                    <w:jc w:val="center"/>
                    <w:rPr>
                      <w:szCs w:val="21"/>
                    </w:rPr>
                  </w:pPr>
                  <w:r>
                    <w:rPr>
                      <w:szCs w:val="21"/>
                    </w:rPr>
                    <w:t>Lw</w:t>
                  </w:r>
                </w:p>
              </w:tc>
              <w:tc>
                <w:tcPr>
                  <w:tcW w:w="1043" w:type="dxa"/>
                  <w:vAlign w:val="center"/>
                </w:tcPr>
                <w:p>
                  <w:pPr>
                    <w:pStyle w:val="7"/>
                    <w:spacing w:line="240" w:lineRule="exact"/>
                    <w:jc w:val="center"/>
                    <w:rPr>
                      <w:szCs w:val="21"/>
                    </w:rPr>
                  </w:pPr>
                  <w:r>
                    <w:rPr>
                      <w:szCs w:val="21"/>
                    </w:rPr>
                    <w:t>Arc</w:t>
                  </w:r>
                </w:p>
              </w:tc>
              <w:tc>
                <w:tcPr>
                  <w:tcW w:w="1036" w:type="dxa"/>
                  <w:vAlign w:val="center"/>
                </w:tcPr>
                <w:p>
                  <w:pPr>
                    <w:pStyle w:val="7"/>
                    <w:spacing w:line="240" w:lineRule="exact"/>
                    <w:jc w:val="center"/>
                    <w:rPr>
                      <w:szCs w:val="21"/>
                    </w:rPr>
                  </w:pPr>
                  <w:r>
                    <w:rPr>
                      <w:szCs w:val="21"/>
                    </w:rPr>
                    <w:t>H</w:t>
                  </w:r>
                </w:p>
              </w:tc>
              <w:tc>
                <w:tcPr>
                  <w:tcW w:w="1195" w:type="dxa"/>
                  <w:vAlign w:val="center"/>
                </w:tcPr>
                <w:p>
                  <w:pPr>
                    <w:pStyle w:val="7"/>
                    <w:spacing w:line="240" w:lineRule="exact"/>
                    <w:jc w:val="center"/>
                    <w:rPr>
                      <w:szCs w:val="21"/>
                    </w:rPr>
                  </w:pPr>
                  <w:r>
                    <w:rPr>
                      <w:szCs w:val="21"/>
                    </w:rPr>
                    <w:t>V</w:t>
                  </w:r>
                </w:p>
              </w:tc>
              <w:tc>
                <w:tcPr>
                  <w:tcW w:w="1063" w:type="dxa"/>
                  <w:vAlign w:val="center"/>
                </w:tcPr>
                <w:p>
                  <w:pPr>
                    <w:pStyle w:val="7"/>
                    <w:spacing w:line="240" w:lineRule="exact"/>
                    <w:jc w:val="center"/>
                    <w:rPr>
                      <w:szCs w:val="21"/>
                    </w:rPr>
                  </w:pPr>
                  <w:r>
                    <w:rPr>
                      <w:szCs w:val="21"/>
                    </w:rPr>
                    <w:t>Cond</w:t>
                  </w:r>
                </w:p>
              </w:tc>
              <w:tc>
                <w:tcPr>
                  <w:tcW w:w="1166" w:type="dxa"/>
                  <w:vAlign w:val="center"/>
                </w:tcPr>
                <w:p>
                  <w:pPr>
                    <w:pStyle w:val="7"/>
                    <w:spacing w:line="240" w:lineRule="exact"/>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67" w:hRule="atLeast"/>
                <w:jc w:val="center"/>
              </w:trPr>
              <w:tc>
                <w:tcPr>
                  <w:tcW w:w="782" w:type="dxa"/>
                  <w:vAlign w:val="center"/>
                </w:tcPr>
                <w:p>
                  <w:pPr>
                    <w:pStyle w:val="7"/>
                    <w:spacing w:line="240" w:lineRule="exact"/>
                    <w:jc w:val="center"/>
                    <w:rPr>
                      <w:szCs w:val="21"/>
                    </w:rPr>
                  </w:pPr>
                  <w:r>
                    <w:rPr>
                      <w:rFonts w:hAnsi="宋体"/>
                      <w:szCs w:val="21"/>
                    </w:rPr>
                    <w:t>单位</w:t>
                  </w:r>
                </w:p>
              </w:tc>
              <w:tc>
                <w:tcPr>
                  <w:tcW w:w="990" w:type="dxa"/>
                  <w:vAlign w:val="center"/>
                </w:tcPr>
                <w:p>
                  <w:pPr>
                    <w:pStyle w:val="7"/>
                    <w:spacing w:line="240" w:lineRule="exact"/>
                    <w:jc w:val="center"/>
                    <w:rPr>
                      <w:szCs w:val="21"/>
                    </w:rPr>
                  </w:pPr>
                </w:p>
              </w:tc>
              <w:tc>
                <w:tcPr>
                  <w:tcW w:w="878" w:type="dxa"/>
                  <w:vAlign w:val="center"/>
                </w:tcPr>
                <w:p>
                  <w:pPr>
                    <w:pStyle w:val="7"/>
                    <w:spacing w:line="240" w:lineRule="exact"/>
                    <w:jc w:val="center"/>
                    <w:rPr>
                      <w:szCs w:val="21"/>
                    </w:rPr>
                  </w:pPr>
                  <w:r>
                    <w:rPr>
                      <w:szCs w:val="21"/>
                    </w:rPr>
                    <w:t>m</w:t>
                  </w:r>
                </w:p>
              </w:tc>
              <w:tc>
                <w:tcPr>
                  <w:tcW w:w="748" w:type="dxa"/>
                  <w:vAlign w:val="center"/>
                </w:tcPr>
                <w:p>
                  <w:pPr>
                    <w:pStyle w:val="7"/>
                    <w:spacing w:line="240" w:lineRule="exact"/>
                    <w:jc w:val="center"/>
                    <w:rPr>
                      <w:szCs w:val="21"/>
                    </w:rPr>
                  </w:pPr>
                  <w:r>
                    <w:rPr>
                      <w:szCs w:val="21"/>
                    </w:rPr>
                    <w:t>m</w:t>
                  </w:r>
                </w:p>
              </w:tc>
              <w:tc>
                <w:tcPr>
                  <w:tcW w:w="1043" w:type="dxa"/>
                  <w:vAlign w:val="center"/>
                </w:tcPr>
                <w:p>
                  <w:pPr>
                    <w:pStyle w:val="7"/>
                    <w:spacing w:line="240" w:lineRule="exact"/>
                    <w:jc w:val="center"/>
                    <w:rPr>
                      <w:szCs w:val="21"/>
                    </w:rPr>
                  </w:pPr>
                  <w:r>
                    <w:rPr>
                      <w:szCs w:val="21"/>
                    </w:rPr>
                    <w:t>○</w:t>
                  </w:r>
                </w:p>
              </w:tc>
              <w:tc>
                <w:tcPr>
                  <w:tcW w:w="1036" w:type="dxa"/>
                  <w:vAlign w:val="center"/>
                </w:tcPr>
                <w:p>
                  <w:pPr>
                    <w:pStyle w:val="7"/>
                    <w:spacing w:line="240" w:lineRule="exact"/>
                    <w:jc w:val="center"/>
                    <w:rPr>
                      <w:szCs w:val="21"/>
                    </w:rPr>
                  </w:pPr>
                  <w:r>
                    <w:rPr>
                      <w:szCs w:val="21"/>
                    </w:rPr>
                    <w:t>m</w:t>
                  </w:r>
                </w:p>
              </w:tc>
              <w:tc>
                <w:tcPr>
                  <w:tcW w:w="1195" w:type="dxa"/>
                  <w:vAlign w:val="center"/>
                </w:tcPr>
                <w:p>
                  <w:pPr>
                    <w:pStyle w:val="7"/>
                    <w:spacing w:line="240" w:lineRule="exact"/>
                    <w:jc w:val="center"/>
                    <w:rPr>
                      <w:szCs w:val="21"/>
                    </w:rPr>
                  </w:pPr>
                  <w:r>
                    <w:rPr>
                      <w:rFonts w:hint="eastAsia"/>
                      <w:szCs w:val="21"/>
                    </w:rPr>
                    <w:t>kg</w:t>
                  </w:r>
                  <w:r>
                    <w:rPr>
                      <w:szCs w:val="21"/>
                    </w:rPr>
                    <w:t>/a</w:t>
                  </w:r>
                </w:p>
              </w:tc>
              <w:tc>
                <w:tcPr>
                  <w:tcW w:w="1063" w:type="dxa"/>
                  <w:vMerge w:val="restart"/>
                  <w:vAlign w:val="center"/>
                </w:tcPr>
                <w:p>
                  <w:pPr>
                    <w:pStyle w:val="7"/>
                    <w:spacing w:line="240" w:lineRule="exact"/>
                    <w:jc w:val="center"/>
                    <w:rPr>
                      <w:szCs w:val="21"/>
                    </w:rPr>
                  </w:pPr>
                  <w:r>
                    <w:rPr>
                      <w:rFonts w:hAnsi="宋体"/>
                      <w:szCs w:val="21"/>
                    </w:rPr>
                    <w:t>连续排放</w:t>
                  </w:r>
                </w:p>
              </w:tc>
              <w:tc>
                <w:tcPr>
                  <w:tcW w:w="1166" w:type="dxa"/>
                  <w:vAlign w:val="center"/>
                </w:tcPr>
                <w:p>
                  <w:pPr>
                    <w:pStyle w:val="7"/>
                    <w:spacing w:line="240" w:lineRule="exact"/>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67" w:hRule="atLeast"/>
                <w:jc w:val="center"/>
              </w:trPr>
              <w:tc>
                <w:tcPr>
                  <w:tcW w:w="782" w:type="dxa"/>
                  <w:vAlign w:val="center"/>
                </w:tcPr>
                <w:p>
                  <w:pPr>
                    <w:pStyle w:val="7"/>
                    <w:spacing w:line="240" w:lineRule="exact"/>
                    <w:jc w:val="center"/>
                    <w:rPr>
                      <w:szCs w:val="21"/>
                    </w:rPr>
                  </w:pPr>
                  <w:r>
                    <w:rPr>
                      <w:szCs w:val="21"/>
                    </w:rPr>
                    <w:t>1</w:t>
                  </w:r>
                </w:p>
              </w:tc>
              <w:tc>
                <w:tcPr>
                  <w:tcW w:w="990" w:type="dxa"/>
                  <w:vMerge w:val="restart"/>
                  <w:vAlign w:val="center"/>
                </w:tcPr>
                <w:p>
                  <w:pPr>
                    <w:pStyle w:val="7"/>
                    <w:spacing w:line="240" w:lineRule="exact"/>
                    <w:jc w:val="center"/>
                    <w:rPr>
                      <w:szCs w:val="21"/>
                    </w:rPr>
                  </w:pPr>
                  <w:r>
                    <w:rPr>
                      <w:rFonts w:hAnsi="宋体"/>
                      <w:szCs w:val="21"/>
                    </w:rPr>
                    <w:t>污水处理</w:t>
                  </w:r>
                  <w:r>
                    <w:rPr>
                      <w:rFonts w:hint="eastAsia" w:hAnsi="宋体"/>
                      <w:szCs w:val="21"/>
                    </w:rPr>
                    <w:t>站</w:t>
                  </w:r>
                </w:p>
              </w:tc>
              <w:tc>
                <w:tcPr>
                  <w:tcW w:w="878" w:type="dxa"/>
                  <w:vMerge w:val="restart"/>
                  <w:vAlign w:val="center"/>
                </w:tcPr>
                <w:p>
                  <w:pPr>
                    <w:pStyle w:val="7"/>
                    <w:spacing w:line="240" w:lineRule="exact"/>
                    <w:jc w:val="center"/>
                    <w:rPr>
                      <w:szCs w:val="21"/>
                    </w:rPr>
                  </w:pPr>
                  <w:r>
                    <w:rPr>
                      <w:rFonts w:hint="eastAsia"/>
                      <w:szCs w:val="21"/>
                    </w:rPr>
                    <w:t>17</w:t>
                  </w:r>
                </w:p>
              </w:tc>
              <w:tc>
                <w:tcPr>
                  <w:tcW w:w="748" w:type="dxa"/>
                  <w:vMerge w:val="restart"/>
                  <w:vAlign w:val="center"/>
                </w:tcPr>
                <w:p>
                  <w:pPr>
                    <w:pStyle w:val="7"/>
                    <w:spacing w:line="240" w:lineRule="exact"/>
                    <w:jc w:val="center"/>
                    <w:rPr>
                      <w:szCs w:val="21"/>
                    </w:rPr>
                  </w:pPr>
                  <w:r>
                    <w:rPr>
                      <w:rFonts w:hint="eastAsia"/>
                      <w:szCs w:val="21"/>
                    </w:rPr>
                    <w:t>14</w:t>
                  </w:r>
                </w:p>
              </w:tc>
              <w:tc>
                <w:tcPr>
                  <w:tcW w:w="1043" w:type="dxa"/>
                  <w:vMerge w:val="restart"/>
                  <w:vAlign w:val="center"/>
                </w:tcPr>
                <w:p>
                  <w:pPr>
                    <w:pStyle w:val="7"/>
                    <w:spacing w:line="240" w:lineRule="exact"/>
                    <w:jc w:val="center"/>
                    <w:rPr>
                      <w:szCs w:val="21"/>
                    </w:rPr>
                  </w:pPr>
                  <w:r>
                    <w:rPr>
                      <w:szCs w:val="21"/>
                    </w:rPr>
                    <w:t>0</w:t>
                  </w:r>
                </w:p>
              </w:tc>
              <w:tc>
                <w:tcPr>
                  <w:tcW w:w="1036" w:type="dxa"/>
                  <w:vMerge w:val="restart"/>
                  <w:vAlign w:val="center"/>
                </w:tcPr>
                <w:p>
                  <w:pPr>
                    <w:pStyle w:val="7"/>
                    <w:spacing w:line="240" w:lineRule="exact"/>
                    <w:jc w:val="center"/>
                    <w:rPr>
                      <w:szCs w:val="21"/>
                    </w:rPr>
                  </w:pPr>
                  <w:r>
                    <w:rPr>
                      <w:szCs w:val="21"/>
                    </w:rPr>
                    <w:t>0</w:t>
                  </w:r>
                </w:p>
              </w:tc>
              <w:tc>
                <w:tcPr>
                  <w:tcW w:w="1195" w:type="dxa"/>
                  <w:vAlign w:val="center"/>
                </w:tcPr>
                <w:p>
                  <w:pPr>
                    <w:pStyle w:val="7"/>
                    <w:spacing w:line="240" w:lineRule="exact"/>
                    <w:jc w:val="center"/>
                    <w:rPr>
                      <w:szCs w:val="21"/>
                    </w:rPr>
                  </w:pPr>
                  <w:r>
                    <w:rPr>
                      <w:rFonts w:hint="eastAsia"/>
                      <w:szCs w:val="21"/>
                    </w:rPr>
                    <w:t>14.7</w:t>
                  </w:r>
                </w:p>
              </w:tc>
              <w:tc>
                <w:tcPr>
                  <w:tcW w:w="1063" w:type="dxa"/>
                  <w:vMerge w:val="continue"/>
                  <w:vAlign w:val="center"/>
                </w:tcPr>
                <w:p>
                  <w:pPr>
                    <w:pStyle w:val="7"/>
                    <w:spacing w:line="240" w:lineRule="exact"/>
                    <w:jc w:val="center"/>
                    <w:rPr>
                      <w:szCs w:val="21"/>
                    </w:rPr>
                  </w:pPr>
                </w:p>
              </w:tc>
              <w:tc>
                <w:tcPr>
                  <w:tcW w:w="1166" w:type="dxa"/>
                  <w:vAlign w:val="center"/>
                </w:tcPr>
                <w:p>
                  <w:pPr>
                    <w:pStyle w:val="7"/>
                    <w:spacing w:line="240" w:lineRule="exact"/>
                    <w:jc w:val="center"/>
                    <w:rPr>
                      <w:szCs w:val="21"/>
                    </w:rPr>
                  </w:pPr>
                  <w:r>
                    <w:rPr>
                      <w:szCs w:val="21"/>
                    </w:rPr>
                    <w:t>NH</w:t>
                  </w:r>
                  <w:r>
                    <w:rPr>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782" w:type="dxa"/>
                  <w:vAlign w:val="center"/>
                </w:tcPr>
                <w:p>
                  <w:pPr>
                    <w:pStyle w:val="7"/>
                    <w:spacing w:line="240" w:lineRule="exact"/>
                    <w:jc w:val="center"/>
                    <w:rPr>
                      <w:szCs w:val="21"/>
                    </w:rPr>
                  </w:pPr>
                  <w:r>
                    <w:rPr>
                      <w:szCs w:val="21"/>
                    </w:rPr>
                    <w:t>2</w:t>
                  </w:r>
                </w:p>
              </w:tc>
              <w:tc>
                <w:tcPr>
                  <w:tcW w:w="990" w:type="dxa"/>
                  <w:vMerge w:val="continue"/>
                  <w:vAlign w:val="center"/>
                </w:tcPr>
                <w:p>
                  <w:pPr>
                    <w:jc w:val="center"/>
                    <w:rPr>
                      <w:szCs w:val="21"/>
                    </w:rPr>
                  </w:pPr>
                </w:p>
              </w:tc>
              <w:tc>
                <w:tcPr>
                  <w:tcW w:w="878" w:type="dxa"/>
                  <w:vMerge w:val="continue"/>
                  <w:vAlign w:val="center"/>
                </w:tcPr>
                <w:p>
                  <w:pPr>
                    <w:pStyle w:val="7"/>
                    <w:spacing w:line="240" w:lineRule="exact"/>
                    <w:jc w:val="center"/>
                    <w:rPr>
                      <w:szCs w:val="21"/>
                    </w:rPr>
                  </w:pPr>
                </w:p>
              </w:tc>
              <w:tc>
                <w:tcPr>
                  <w:tcW w:w="748" w:type="dxa"/>
                  <w:vMerge w:val="continue"/>
                  <w:vAlign w:val="center"/>
                </w:tcPr>
                <w:p>
                  <w:pPr>
                    <w:pStyle w:val="7"/>
                    <w:spacing w:line="240" w:lineRule="exact"/>
                    <w:jc w:val="center"/>
                    <w:rPr>
                      <w:szCs w:val="21"/>
                    </w:rPr>
                  </w:pPr>
                </w:p>
              </w:tc>
              <w:tc>
                <w:tcPr>
                  <w:tcW w:w="1043" w:type="dxa"/>
                  <w:vMerge w:val="continue"/>
                  <w:vAlign w:val="center"/>
                </w:tcPr>
                <w:p>
                  <w:pPr>
                    <w:pStyle w:val="7"/>
                    <w:spacing w:line="240" w:lineRule="exact"/>
                    <w:jc w:val="center"/>
                    <w:rPr>
                      <w:szCs w:val="21"/>
                    </w:rPr>
                  </w:pPr>
                </w:p>
              </w:tc>
              <w:tc>
                <w:tcPr>
                  <w:tcW w:w="1036" w:type="dxa"/>
                  <w:vMerge w:val="continue"/>
                  <w:vAlign w:val="center"/>
                </w:tcPr>
                <w:p>
                  <w:pPr>
                    <w:pStyle w:val="7"/>
                    <w:spacing w:line="240" w:lineRule="exact"/>
                    <w:jc w:val="center"/>
                    <w:rPr>
                      <w:szCs w:val="21"/>
                    </w:rPr>
                  </w:pPr>
                </w:p>
              </w:tc>
              <w:tc>
                <w:tcPr>
                  <w:tcW w:w="1195" w:type="dxa"/>
                  <w:vAlign w:val="center"/>
                </w:tcPr>
                <w:p>
                  <w:pPr>
                    <w:pStyle w:val="7"/>
                    <w:spacing w:line="240" w:lineRule="exact"/>
                    <w:jc w:val="center"/>
                    <w:rPr>
                      <w:szCs w:val="21"/>
                    </w:rPr>
                  </w:pPr>
                  <w:r>
                    <w:rPr>
                      <w:rFonts w:hint="eastAsia"/>
                      <w:szCs w:val="21"/>
                    </w:rPr>
                    <w:t>0.57</w:t>
                  </w:r>
                </w:p>
              </w:tc>
              <w:tc>
                <w:tcPr>
                  <w:tcW w:w="1063" w:type="dxa"/>
                  <w:vMerge w:val="continue"/>
                  <w:vAlign w:val="center"/>
                </w:tcPr>
                <w:p>
                  <w:pPr>
                    <w:pStyle w:val="7"/>
                    <w:spacing w:line="240" w:lineRule="exact"/>
                    <w:jc w:val="center"/>
                    <w:rPr>
                      <w:szCs w:val="21"/>
                    </w:rPr>
                  </w:pPr>
                </w:p>
              </w:tc>
              <w:tc>
                <w:tcPr>
                  <w:tcW w:w="1166" w:type="dxa"/>
                  <w:vAlign w:val="center"/>
                </w:tcPr>
                <w:p>
                  <w:pPr>
                    <w:pStyle w:val="7"/>
                    <w:spacing w:line="240" w:lineRule="exact"/>
                    <w:jc w:val="center"/>
                    <w:rPr>
                      <w:szCs w:val="21"/>
                    </w:rPr>
                  </w:pPr>
                  <w:r>
                    <w:rPr>
                      <w:szCs w:val="21"/>
                    </w:rPr>
                    <w:t>H</w:t>
                  </w:r>
                  <w:r>
                    <w:rPr>
                      <w:szCs w:val="21"/>
                      <w:vertAlign w:val="subscript"/>
                    </w:rPr>
                    <w:t>2</w:t>
                  </w:r>
                  <w:r>
                    <w:rPr>
                      <w:szCs w:val="21"/>
                    </w:rPr>
                    <w:t>S</w:t>
                  </w:r>
                </w:p>
              </w:tc>
            </w:tr>
          </w:tbl>
          <w:p>
            <w:pPr>
              <w:autoSpaceDE w:val="0"/>
              <w:autoSpaceDN w:val="0"/>
              <w:adjustRightInd w:val="0"/>
              <w:spacing w:line="360" w:lineRule="auto"/>
              <w:ind w:right="-23" w:firstLine="480" w:firstLineChars="200"/>
              <w:jc w:val="left"/>
              <w:rPr>
                <w:rFonts w:hAnsi="宋体"/>
                <w:bCs/>
                <w:sz w:val="24"/>
              </w:rPr>
            </w:pPr>
            <w:r>
              <w:rPr>
                <w:rFonts w:hAnsi="宋体"/>
                <w:bCs/>
                <w:sz w:val="24"/>
              </w:rPr>
              <w:t>根据估算模式输入污染源参数，</w:t>
            </w:r>
            <w:r>
              <w:rPr>
                <w:rFonts w:hint="eastAsia" w:hAnsi="宋体"/>
                <w:bCs/>
                <w:sz w:val="24"/>
              </w:rPr>
              <w:t>以污水站区为边界，</w:t>
            </w:r>
            <w:r>
              <w:rPr>
                <w:rFonts w:hAnsi="宋体"/>
                <w:bCs/>
                <w:sz w:val="24"/>
              </w:rPr>
              <w:t>废气</w:t>
            </w:r>
            <w:r>
              <w:rPr>
                <w:rFonts w:hint="eastAsia" w:hAnsi="宋体"/>
                <w:bCs/>
                <w:sz w:val="24"/>
              </w:rPr>
              <w:t>100%逸散</w:t>
            </w:r>
            <w:r>
              <w:rPr>
                <w:rFonts w:hAnsi="宋体"/>
                <w:bCs/>
                <w:sz w:val="24"/>
              </w:rPr>
              <w:t>排放环境影响预测计算结果见表</w:t>
            </w:r>
            <w:r>
              <w:rPr>
                <w:rFonts w:hint="eastAsia" w:hAnsi="宋体"/>
                <w:bCs/>
                <w:sz w:val="24"/>
              </w:rPr>
              <w:t>55</w:t>
            </w:r>
            <w:r>
              <w:rPr>
                <w:rFonts w:hAnsi="宋体"/>
                <w:bCs/>
                <w:sz w:val="24"/>
              </w:rPr>
              <w:t>。</w:t>
            </w:r>
          </w:p>
          <w:p>
            <w:pPr>
              <w:autoSpaceDE w:val="0"/>
              <w:autoSpaceDN w:val="0"/>
              <w:adjustRightInd w:val="0"/>
              <w:spacing w:line="360" w:lineRule="auto"/>
              <w:ind w:right="-23" w:firstLine="422" w:firstLineChars="200"/>
              <w:jc w:val="center"/>
              <w:rPr>
                <w:rFonts w:hAnsi="宋体"/>
                <w:b/>
                <w:bCs/>
                <w:szCs w:val="21"/>
              </w:rPr>
            </w:pPr>
            <w:r>
              <w:rPr>
                <w:rFonts w:hint="eastAsia" w:hAnsi="宋体"/>
                <w:b/>
                <w:bCs/>
                <w:szCs w:val="21"/>
              </w:rPr>
              <w:t>表55  项目大气污染物100%逸散估算模式计算结果表</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69"/>
              <w:gridCol w:w="1793"/>
              <w:gridCol w:w="1773"/>
              <w:gridCol w:w="1793"/>
              <w:gridCol w:w="177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Merge w:val="restart"/>
                  <w:vAlign w:val="center"/>
                </w:tcPr>
                <w:p>
                  <w:pPr>
                    <w:jc w:val="center"/>
                    <w:rPr>
                      <w:b/>
                      <w:sz w:val="20"/>
                    </w:rPr>
                  </w:pPr>
                  <w:r>
                    <w:rPr>
                      <w:b/>
                      <w:sz w:val="20"/>
                    </w:rPr>
                    <w:t>距源中心下风向距离D（m）</w:t>
                  </w:r>
                </w:p>
              </w:tc>
              <w:tc>
                <w:tcPr>
                  <w:tcW w:w="3566" w:type="dxa"/>
                  <w:gridSpan w:val="2"/>
                  <w:vAlign w:val="center"/>
                </w:tcPr>
                <w:p>
                  <w:pPr>
                    <w:jc w:val="center"/>
                    <w:rPr>
                      <w:b/>
                      <w:sz w:val="20"/>
                    </w:rPr>
                  </w:pPr>
                  <w:r>
                    <w:rPr>
                      <w:b/>
                      <w:sz w:val="20"/>
                    </w:rPr>
                    <w:t>NH</w:t>
                  </w:r>
                  <w:r>
                    <w:rPr>
                      <w:b/>
                      <w:sz w:val="20"/>
                      <w:vertAlign w:val="subscript"/>
                    </w:rPr>
                    <w:t>3</w:t>
                  </w:r>
                </w:p>
              </w:tc>
              <w:tc>
                <w:tcPr>
                  <w:tcW w:w="3566" w:type="dxa"/>
                  <w:gridSpan w:val="2"/>
                  <w:vAlign w:val="center"/>
                </w:tcPr>
                <w:p>
                  <w:pPr>
                    <w:jc w:val="center"/>
                    <w:rPr>
                      <w:b/>
                      <w:sz w:val="20"/>
                    </w:rPr>
                  </w:pPr>
                  <w:r>
                    <w:rPr>
                      <w:b/>
                      <w:sz w:val="20"/>
                    </w:rPr>
                    <w:t>H</w:t>
                  </w:r>
                  <w:r>
                    <w:rPr>
                      <w:b/>
                      <w:sz w:val="20"/>
                      <w:vertAlign w:val="subscript"/>
                    </w:rPr>
                    <w:t>2</w:t>
                  </w:r>
                  <w:r>
                    <w:rPr>
                      <w:b/>
                      <w:sz w:val="20"/>
                    </w:rPr>
                    <w:t>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trPr>
              <w:tc>
                <w:tcPr>
                  <w:tcW w:w="1769" w:type="dxa"/>
                  <w:vMerge w:val="continue"/>
                  <w:vAlign w:val="center"/>
                </w:tcPr>
                <w:p>
                  <w:pPr>
                    <w:jc w:val="center"/>
                    <w:rPr>
                      <w:sz w:val="20"/>
                    </w:rPr>
                  </w:pPr>
                </w:p>
              </w:tc>
              <w:tc>
                <w:tcPr>
                  <w:tcW w:w="1793" w:type="dxa"/>
                  <w:vAlign w:val="center"/>
                </w:tcPr>
                <w:p>
                  <w:pPr>
                    <w:jc w:val="center"/>
                    <w:rPr>
                      <w:sz w:val="20"/>
                    </w:rPr>
                  </w:pPr>
                  <w:r>
                    <w:rPr>
                      <w:sz w:val="20"/>
                    </w:rPr>
                    <w:t>下风向预测浓度（mg/m</w:t>
                  </w:r>
                  <w:r>
                    <w:rPr>
                      <w:sz w:val="20"/>
                      <w:vertAlign w:val="superscript"/>
                    </w:rPr>
                    <w:t>3</w:t>
                  </w:r>
                  <w:r>
                    <w:rPr>
                      <w:sz w:val="20"/>
                    </w:rPr>
                    <w:t>）</w:t>
                  </w:r>
                </w:p>
              </w:tc>
              <w:tc>
                <w:tcPr>
                  <w:tcW w:w="1773" w:type="dxa"/>
                  <w:vAlign w:val="center"/>
                </w:tcPr>
                <w:p>
                  <w:pPr>
                    <w:jc w:val="center"/>
                    <w:rPr>
                      <w:sz w:val="20"/>
                    </w:rPr>
                  </w:pPr>
                  <w:r>
                    <w:rPr>
                      <w:sz w:val="20"/>
                    </w:rPr>
                    <w:t>浓度占标率（%）</w:t>
                  </w:r>
                </w:p>
              </w:tc>
              <w:tc>
                <w:tcPr>
                  <w:tcW w:w="1793" w:type="dxa"/>
                  <w:vAlign w:val="center"/>
                </w:tcPr>
                <w:p>
                  <w:pPr>
                    <w:jc w:val="center"/>
                    <w:rPr>
                      <w:sz w:val="20"/>
                    </w:rPr>
                  </w:pPr>
                  <w:r>
                    <w:rPr>
                      <w:sz w:val="20"/>
                    </w:rPr>
                    <w:t>下风向预测浓度（mg/m</w:t>
                  </w:r>
                  <w:r>
                    <w:rPr>
                      <w:sz w:val="20"/>
                      <w:vertAlign w:val="superscript"/>
                    </w:rPr>
                    <w:t>3</w:t>
                  </w:r>
                  <w:r>
                    <w:rPr>
                      <w:sz w:val="20"/>
                    </w:rPr>
                    <w:t>）</w:t>
                  </w:r>
                </w:p>
              </w:tc>
              <w:tc>
                <w:tcPr>
                  <w:tcW w:w="1773" w:type="dxa"/>
                  <w:vAlign w:val="center"/>
                </w:tcPr>
                <w:p>
                  <w:pPr>
                    <w:jc w:val="center"/>
                    <w:rPr>
                      <w:sz w:val="20"/>
                    </w:rPr>
                  </w:pPr>
                  <w:r>
                    <w:rPr>
                      <w:sz w:val="20"/>
                    </w:rPr>
                    <w:t>浓度占标率（%）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0" w:hRule="atLeast"/>
              </w:trPr>
              <w:tc>
                <w:tcPr>
                  <w:tcW w:w="1769" w:type="dxa"/>
                  <w:vAlign w:val="center"/>
                </w:tcPr>
                <w:p>
                  <w:pPr>
                    <w:jc w:val="center"/>
                    <w:rPr>
                      <w:sz w:val="20"/>
                    </w:rPr>
                  </w:pPr>
                  <w:r>
                    <w:rPr>
                      <w:sz w:val="20"/>
                    </w:rPr>
                    <w:t>10</w:t>
                  </w:r>
                </w:p>
              </w:tc>
              <w:tc>
                <w:tcPr>
                  <w:tcW w:w="1793" w:type="dxa"/>
                  <w:vAlign w:val="center"/>
                </w:tcPr>
                <w:p>
                  <w:pPr>
                    <w:jc w:val="center"/>
                  </w:pPr>
                  <w:r>
                    <w:t>0.1155</w:t>
                  </w:r>
                </w:p>
              </w:tc>
              <w:tc>
                <w:tcPr>
                  <w:tcW w:w="1773" w:type="dxa"/>
                  <w:vAlign w:val="center"/>
                </w:tcPr>
                <w:p>
                  <w:pPr>
                    <w:jc w:val="center"/>
                  </w:pPr>
                  <w:r>
                    <w:t>57.75</w:t>
                  </w:r>
                </w:p>
              </w:tc>
              <w:tc>
                <w:tcPr>
                  <w:tcW w:w="1793" w:type="dxa"/>
                  <w:vAlign w:val="center"/>
                </w:tcPr>
                <w:p>
                  <w:pPr>
                    <w:jc w:val="center"/>
                  </w:pPr>
                  <w:r>
                    <w:t>0.00448</w:t>
                  </w:r>
                </w:p>
              </w:tc>
              <w:tc>
                <w:tcPr>
                  <w:tcW w:w="1773" w:type="dxa"/>
                  <w:vAlign w:val="center"/>
                </w:tcPr>
                <w:p>
                  <w:pPr>
                    <w:jc w:val="center"/>
                  </w:pPr>
                  <w:r>
                    <w:t>44.80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b/>
                      <w:sz w:val="20"/>
                    </w:rPr>
                  </w:pPr>
                  <w:r>
                    <w:rPr>
                      <w:rFonts w:hint="eastAsia"/>
                      <w:b/>
                      <w:sz w:val="20"/>
                    </w:rPr>
                    <w:t>12</w:t>
                  </w:r>
                </w:p>
              </w:tc>
              <w:tc>
                <w:tcPr>
                  <w:tcW w:w="1793" w:type="dxa"/>
                  <w:vAlign w:val="center"/>
                </w:tcPr>
                <w:p>
                  <w:pPr>
                    <w:jc w:val="center"/>
                    <w:rPr>
                      <w:b/>
                    </w:rPr>
                  </w:pPr>
                  <w:r>
                    <w:rPr>
                      <w:b/>
                    </w:rPr>
                    <w:t>0.1185</w:t>
                  </w:r>
                </w:p>
              </w:tc>
              <w:tc>
                <w:tcPr>
                  <w:tcW w:w="1773" w:type="dxa"/>
                  <w:vAlign w:val="center"/>
                </w:tcPr>
                <w:p>
                  <w:pPr>
                    <w:jc w:val="center"/>
                    <w:rPr>
                      <w:b/>
                    </w:rPr>
                  </w:pPr>
                  <w:r>
                    <w:rPr>
                      <w:b/>
                    </w:rPr>
                    <w:t>59.25</w:t>
                  </w:r>
                </w:p>
              </w:tc>
              <w:tc>
                <w:tcPr>
                  <w:tcW w:w="1793" w:type="dxa"/>
                  <w:vAlign w:val="center"/>
                </w:tcPr>
                <w:p>
                  <w:pPr>
                    <w:jc w:val="center"/>
                    <w:rPr>
                      <w:b/>
                    </w:rPr>
                  </w:pPr>
                  <w:r>
                    <w:rPr>
                      <w:b/>
                    </w:rPr>
                    <w:t>0.004593</w:t>
                  </w:r>
                </w:p>
              </w:tc>
              <w:tc>
                <w:tcPr>
                  <w:tcW w:w="1773" w:type="dxa"/>
                  <w:vAlign w:val="center"/>
                </w:tcPr>
                <w:p>
                  <w:pPr>
                    <w:jc w:val="center"/>
                    <w:rPr>
                      <w:b/>
                    </w:rPr>
                  </w:pPr>
                  <w:r>
                    <w:rPr>
                      <w:b/>
                    </w:rPr>
                    <w:t>45.93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rFonts w:hint="eastAsia"/>
                      <w:sz w:val="20"/>
                    </w:rPr>
                    <w:t>51</w:t>
                  </w:r>
                </w:p>
              </w:tc>
              <w:tc>
                <w:tcPr>
                  <w:tcW w:w="1793" w:type="dxa"/>
                  <w:vAlign w:val="center"/>
                </w:tcPr>
                <w:p>
                  <w:pPr>
                    <w:jc w:val="center"/>
                  </w:pPr>
                  <w:r>
                    <w:t>0.02194</w:t>
                  </w:r>
                </w:p>
              </w:tc>
              <w:tc>
                <w:tcPr>
                  <w:tcW w:w="1773" w:type="dxa"/>
                  <w:vAlign w:val="center"/>
                </w:tcPr>
                <w:p>
                  <w:pPr>
                    <w:jc w:val="center"/>
                  </w:pPr>
                  <w:r>
                    <w:t>10.97</w:t>
                  </w:r>
                </w:p>
              </w:tc>
              <w:tc>
                <w:tcPr>
                  <w:tcW w:w="1793" w:type="dxa"/>
                  <w:vAlign w:val="center"/>
                </w:tcPr>
                <w:p>
                  <w:pPr>
                    <w:jc w:val="center"/>
                  </w:pPr>
                  <w:r>
                    <w:t>0.0008507</w:t>
                  </w:r>
                </w:p>
              </w:tc>
              <w:tc>
                <w:tcPr>
                  <w:tcW w:w="1773" w:type="dxa"/>
                  <w:vAlign w:val="center"/>
                </w:tcPr>
                <w:p>
                  <w:pPr>
                    <w:jc w:val="center"/>
                  </w:pPr>
                  <w:r>
                    <w:t>8.51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100</w:t>
                  </w:r>
                </w:p>
              </w:tc>
              <w:tc>
                <w:tcPr>
                  <w:tcW w:w="1793" w:type="dxa"/>
                  <w:vAlign w:val="center"/>
                </w:tcPr>
                <w:p>
                  <w:pPr>
                    <w:jc w:val="center"/>
                  </w:pPr>
                  <w:r>
                    <w:t>0.01055</w:t>
                  </w:r>
                </w:p>
              </w:tc>
              <w:tc>
                <w:tcPr>
                  <w:tcW w:w="1773" w:type="dxa"/>
                  <w:vAlign w:val="center"/>
                </w:tcPr>
                <w:p>
                  <w:pPr>
                    <w:jc w:val="center"/>
                  </w:pPr>
                  <w:r>
                    <w:t>5.28</w:t>
                  </w:r>
                </w:p>
              </w:tc>
              <w:tc>
                <w:tcPr>
                  <w:tcW w:w="1793" w:type="dxa"/>
                  <w:vAlign w:val="center"/>
                </w:tcPr>
                <w:p>
                  <w:pPr>
                    <w:jc w:val="center"/>
                  </w:pPr>
                  <w:r>
                    <w:t>0.0004091</w:t>
                  </w:r>
                </w:p>
              </w:tc>
              <w:tc>
                <w:tcPr>
                  <w:tcW w:w="1773" w:type="dxa"/>
                  <w:vAlign w:val="center"/>
                </w:tcPr>
                <w:p>
                  <w:pPr>
                    <w:jc w:val="center"/>
                  </w:pPr>
                  <w:r>
                    <w:t>4.09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1769" w:type="dxa"/>
                  <w:vAlign w:val="center"/>
                </w:tcPr>
                <w:p>
                  <w:pPr>
                    <w:jc w:val="center"/>
                    <w:rPr>
                      <w:sz w:val="20"/>
                    </w:rPr>
                  </w:pPr>
                  <w:r>
                    <w:rPr>
                      <w:sz w:val="20"/>
                    </w:rPr>
                    <w:t>200</w:t>
                  </w:r>
                </w:p>
              </w:tc>
              <w:tc>
                <w:tcPr>
                  <w:tcW w:w="1793" w:type="dxa"/>
                  <w:vAlign w:val="center"/>
                </w:tcPr>
                <w:p>
                  <w:pPr>
                    <w:jc w:val="center"/>
                  </w:pPr>
                  <w:r>
                    <w:t>0.004124</w:t>
                  </w:r>
                </w:p>
              </w:tc>
              <w:tc>
                <w:tcPr>
                  <w:tcW w:w="1773" w:type="dxa"/>
                  <w:vAlign w:val="center"/>
                </w:tcPr>
                <w:p>
                  <w:pPr>
                    <w:jc w:val="center"/>
                  </w:pPr>
                  <w:r>
                    <w:t>2.06</w:t>
                  </w:r>
                </w:p>
              </w:tc>
              <w:tc>
                <w:tcPr>
                  <w:tcW w:w="1793" w:type="dxa"/>
                  <w:vAlign w:val="center"/>
                </w:tcPr>
                <w:p>
                  <w:pPr>
                    <w:jc w:val="center"/>
                  </w:pPr>
                  <w:r>
                    <w:t>0.0001599</w:t>
                  </w:r>
                </w:p>
              </w:tc>
              <w:tc>
                <w:tcPr>
                  <w:tcW w:w="1773" w:type="dxa"/>
                  <w:vAlign w:val="center"/>
                </w:tcPr>
                <w:p>
                  <w:pPr>
                    <w:jc w:val="center"/>
                  </w:pPr>
                  <w:r>
                    <w:t>1.60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89" w:hRule="atLeast"/>
              </w:trPr>
              <w:tc>
                <w:tcPr>
                  <w:tcW w:w="1769" w:type="dxa"/>
                  <w:vAlign w:val="center"/>
                </w:tcPr>
                <w:p>
                  <w:pPr>
                    <w:jc w:val="center"/>
                    <w:rPr>
                      <w:sz w:val="20"/>
                    </w:rPr>
                  </w:pPr>
                  <w:r>
                    <w:rPr>
                      <w:sz w:val="20"/>
                    </w:rPr>
                    <w:t>300</w:t>
                  </w:r>
                </w:p>
              </w:tc>
              <w:tc>
                <w:tcPr>
                  <w:tcW w:w="1793" w:type="dxa"/>
                  <w:vAlign w:val="center"/>
                </w:tcPr>
                <w:p>
                  <w:pPr>
                    <w:jc w:val="center"/>
                  </w:pPr>
                  <w:r>
                    <w:t>0.002205</w:t>
                  </w:r>
                </w:p>
              </w:tc>
              <w:tc>
                <w:tcPr>
                  <w:tcW w:w="1773" w:type="dxa"/>
                  <w:vAlign w:val="center"/>
                </w:tcPr>
                <w:p>
                  <w:pPr>
                    <w:jc w:val="center"/>
                  </w:pPr>
                  <w:r>
                    <w:t>1.10</w:t>
                  </w:r>
                </w:p>
              </w:tc>
              <w:tc>
                <w:tcPr>
                  <w:tcW w:w="1793" w:type="dxa"/>
                  <w:vAlign w:val="center"/>
                </w:tcPr>
                <w:p>
                  <w:pPr>
                    <w:jc w:val="center"/>
                  </w:pPr>
                  <w:r>
                    <w:t>8.549E-5</w:t>
                  </w:r>
                </w:p>
              </w:tc>
              <w:tc>
                <w:tcPr>
                  <w:tcW w:w="1773" w:type="dxa"/>
                  <w:vAlign w:val="center"/>
                </w:tcPr>
                <w:p>
                  <w:pPr>
                    <w:jc w:val="center"/>
                  </w:pPr>
                  <w:r>
                    <w:t>0.85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400</w:t>
                  </w:r>
                </w:p>
              </w:tc>
              <w:tc>
                <w:tcPr>
                  <w:tcW w:w="1793" w:type="dxa"/>
                  <w:vAlign w:val="center"/>
                </w:tcPr>
                <w:p>
                  <w:pPr>
                    <w:jc w:val="center"/>
                  </w:pPr>
                  <w:r>
                    <w:t>0.001385</w:t>
                  </w:r>
                </w:p>
              </w:tc>
              <w:tc>
                <w:tcPr>
                  <w:tcW w:w="1773" w:type="dxa"/>
                  <w:vAlign w:val="center"/>
                </w:tcPr>
                <w:p>
                  <w:pPr>
                    <w:jc w:val="center"/>
                  </w:pPr>
                  <w:r>
                    <w:t>0.69</w:t>
                  </w:r>
                </w:p>
              </w:tc>
              <w:tc>
                <w:tcPr>
                  <w:tcW w:w="1793" w:type="dxa"/>
                  <w:vAlign w:val="center"/>
                </w:tcPr>
                <w:p>
                  <w:pPr>
                    <w:jc w:val="center"/>
                  </w:pPr>
                  <w:r>
                    <w:t>5.371E-5</w:t>
                  </w:r>
                </w:p>
              </w:tc>
              <w:tc>
                <w:tcPr>
                  <w:tcW w:w="1773" w:type="dxa"/>
                  <w:vAlign w:val="center"/>
                </w:tcPr>
                <w:p>
                  <w:pPr>
                    <w:jc w:val="center"/>
                  </w:pPr>
                  <w:r>
                    <w:t>0.54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500</w:t>
                  </w:r>
                </w:p>
              </w:tc>
              <w:tc>
                <w:tcPr>
                  <w:tcW w:w="1793" w:type="dxa"/>
                  <w:vAlign w:val="center"/>
                </w:tcPr>
                <w:p>
                  <w:pPr>
                    <w:jc w:val="center"/>
                  </w:pPr>
                  <w:r>
                    <w:t>0.0009596</w:t>
                  </w:r>
                </w:p>
              </w:tc>
              <w:tc>
                <w:tcPr>
                  <w:tcW w:w="1773" w:type="dxa"/>
                  <w:vAlign w:val="center"/>
                </w:tcPr>
                <w:p>
                  <w:pPr>
                    <w:jc w:val="center"/>
                  </w:pPr>
                  <w:r>
                    <w:t>0.48</w:t>
                  </w:r>
                </w:p>
              </w:tc>
              <w:tc>
                <w:tcPr>
                  <w:tcW w:w="1793" w:type="dxa"/>
                  <w:vAlign w:val="center"/>
                </w:tcPr>
                <w:p>
                  <w:pPr>
                    <w:jc w:val="center"/>
                  </w:pPr>
                  <w:r>
                    <w:t>3.721E-5</w:t>
                  </w:r>
                </w:p>
              </w:tc>
              <w:tc>
                <w:tcPr>
                  <w:tcW w:w="1773" w:type="dxa"/>
                  <w:vAlign w:val="center"/>
                </w:tcPr>
                <w:p>
                  <w:pPr>
                    <w:jc w:val="center"/>
                  </w:pPr>
                  <w:r>
                    <w:t>0.37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600</w:t>
                  </w:r>
                </w:p>
              </w:tc>
              <w:tc>
                <w:tcPr>
                  <w:tcW w:w="1793" w:type="dxa"/>
                  <w:vAlign w:val="center"/>
                </w:tcPr>
                <w:p>
                  <w:pPr>
                    <w:jc w:val="center"/>
                  </w:pPr>
                  <w:r>
                    <w:t>0.000708</w:t>
                  </w:r>
                </w:p>
              </w:tc>
              <w:tc>
                <w:tcPr>
                  <w:tcW w:w="1773" w:type="dxa"/>
                  <w:vAlign w:val="center"/>
                </w:tcPr>
                <w:p>
                  <w:pPr>
                    <w:jc w:val="center"/>
                  </w:pPr>
                  <w:r>
                    <w:t>0.35</w:t>
                  </w:r>
                </w:p>
              </w:tc>
              <w:tc>
                <w:tcPr>
                  <w:tcW w:w="1793" w:type="dxa"/>
                  <w:vAlign w:val="center"/>
                </w:tcPr>
                <w:p>
                  <w:pPr>
                    <w:jc w:val="center"/>
                  </w:pPr>
                  <w:r>
                    <w:t>2.745E-5</w:t>
                  </w:r>
                </w:p>
              </w:tc>
              <w:tc>
                <w:tcPr>
                  <w:tcW w:w="1773" w:type="dxa"/>
                  <w:vAlign w:val="center"/>
                </w:tcPr>
                <w:p>
                  <w:pPr>
                    <w:jc w:val="center"/>
                  </w:pPr>
                  <w:r>
                    <w:t>0.27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1769" w:type="dxa"/>
                  <w:vAlign w:val="center"/>
                </w:tcPr>
                <w:p>
                  <w:pPr>
                    <w:jc w:val="center"/>
                    <w:rPr>
                      <w:sz w:val="20"/>
                    </w:rPr>
                  </w:pPr>
                  <w:r>
                    <w:rPr>
                      <w:sz w:val="20"/>
                    </w:rPr>
                    <w:t>700</w:t>
                  </w:r>
                </w:p>
              </w:tc>
              <w:tc>
                <w:tcPr>
                  <w:tcW w:w="1793" w:type="dxa"/>
                  <w:vAlign w:val="center"/>
                </w:tcPr>
                <w:p>
                  <w:pPr>
                    <w:jc w:val="center"/>
                  </w:pPr>
                  <w:r>
                    <w:t>0.0005475</w:t>
                  </w:r>
                </w:p>
              </w:tc>
              <w:tc>
                <w:tcPr>
                  <w:tcW w:w="1773" w:type="dxa"/>
                  <w:vAlign w:val="center"/>
                </w:tcPr>
                <w:p>
                  <w:pPr>
                    <w:jc w:val="center"/>
                  </w:pPr>
                  <w:r>
                    <w:t>0.27</w:t>
                  </w:r>
                </w:p>
              </w:tc>
              <w:tc>
                <w:tcPr>
                  <w:tcW w:w="1793" w:type="dxa"/>
                  <w:vAlign w:val="center"/>
                </w:tcPr>
                <w:p>
                  <w:pPr>
                    <w:jc w:val="center"/>
                  </w:pPr>
                  <w:r>
                    <w:t>2.123E-5</w:t>
                  </w:r>
                </w:p>
              </w:tc>
              <w:tc>
                <w:tcPr>
                  <w:tcW w:w="1773" w:type="dxa"/>
                  <w:vAlign w:val="center"/>
                </w:tcPr>
                <w:p>
                  <w:pPr>
                    <w:jc w:val="center"/>
                  </w:pPr>
                  <w:r>
                    <w:t>0.21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800</w:t>
                  </w:r>
                </w:p>
              </w:tc>
              <w:tc>
                <w:tcPr>
                  <w:tcW w:w="1793" w:type="dxa"/>
                  <w:vAlign w:val="center"/>
                </w:tcPr>
                <w:p>
                  <w:pPr>
                    <w:jc w:val="center"/>
                  </w:pPr>
                  <w:r>
                    <w:t>0.0004431</w:t>
                  </w:r>
                </w:p>
              </w:tc>
              <w:tc>
                <w:tcPr>
                  <w:tcW w:w="1773" w:type="dxa"/>
                  <w:vAlign w:val="center"/>
                </w:tcPr>
                <w:p>
                  <w:pPr>
                    <w:jc w:val="center"/>
                  </w:pPr>
                  <w:r>
                    <w:t>0.22</w:t>
                  </w:r>
                </w:p>
              </w:tc>
              <w:tc>
                <w:tcPr>
                  <w:tcW w:w="1793" w:type="dxa"/>
                  <w:vAlign w:val="center"/>
                </w:tcPr>
                <w:p>
                  <w:pPr>
                    <w:jc w:val="center"/>
                  </w:pPr>
                  <w:r>
                    <w:t>1.718E-5</w:t>
                  </w:r>
                </w:p>
              </w:tc>
              <w:tc>
                <w:tcPr>
                  <w:tcW w:w="1773" w:type="dxa"/>
                  <w:vAlign w:val="center"/>
                </w:tcPr>
                <w:p>
                  <w:pPr>
                    <w:jc w:val="center"/>
                  </w:pPr>
                  <w:r>
                    <w:t>0.17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900</w:t>
                  </w:r>
                </w:p>
              </w:tc>
              <w:tc>
                <w:tcPr>
                  <w:tcW w:w="1793" w:type="dxa"/>
                  <w:vAlign w:val="center"/>
                </w:tcPr>
                <w:p>
                  <w:pPr>
                    <w:jc w:val="center"/>
                  </w:pPr>
                  <w:r>
                    <w:t>0.0003679</w:t>
                  </w:r>
                </w:p>
              </w:tc>
              <w:tc>
                <w:tcPr>
                  <w:tcW w:w="1773" w:type="dxa"/>
                  <w:vAlign w:val="center"/>
                </w:tcPr>
                <w:p>
                  <w:pPr>
                    <w:jc w:val="center"/>
                  </w:pPr>
                  <w:r>
                    <w:t>0.18</w:t>
                  </w:r>
                </w:p>
              </w:tc>
              <w:tc>
                <w:tcPr>
                  <w:tcW w:w="1793" w:type="dxa"/>
                  <w:vAlign w:val="center"/>
                </w:tcPr>
                <w:p>
                  <w:pPr>
                    <w:jc w:val="center"/>
                  </w:pPr>
                  <w:r>
                    <w:t>1.427E-5</w:t>
                  </w:r>
                </w:p>
              </w:tc>
              <w:tc>
                <w:tcPr>
                  <w:tcW w:w="1773" w:type="dxa"/>
                  <w:vAlign w:val="center"/>
                </w:tcPr>
                <w:p>
                  <w:pPr>
                    <w:jc w:val="center"/>
                  </w:pPr>
                  <w:r>
                    <w:t>0.14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1000</w:t>
                  </w:r>
                </w:p>
              </w:tc>
              <w:tc>
                <w:tcPr>
                  <w:tcW w:w="1793" w:type="dxa"/>
                  <w:vAlign w:val="center"/>
                </w:tcPr>
                <w:p>
                  <w:pPr>
                    <w:jc w:val="center"/>
                  </w:pPr>
                  <w:r>
                    <w:t>0.0003117</w:t>
                  </w:r>
                </w:p>
              </w:tc>
              <w:tc>
                <w:tcPr>
                  <w:tcW w:w="1773" w:type="dxa"/>
                  <w:vAlign w:val="center"/>
                </w:tcPr>
                <w:p>
                  <w:pPr>
                    <w:jc w:val="center"/>
                  </w:pPr>
                  <w:r>
                    <w:t>0.16</w:t>
                  </w:r>
                </w:p>
              </w:tc>
              <w:tc>
                <w:tcPr>
                  <w:tcW w:w="1793" w:type="dxa"/>
                  <w:vAlign w:val="center"/>
                </w:tcPr>
                <w:p>
                  <w:pPr>
                    <w:jc w:val="center"/>
                  </w:pPr>
                  <w:r>
                    <w:t>1.209E-5</w:t>
                  </w:r>
                </w:p>
              </w:tc>
              <w:tc>
                <w:tcPr>
                  <w:tcW w:w="1773" w:type="dxa"/>
                  <w:vAlign w:val="center"/>
                </w:tcPr>
                <w:p>
                  <w:pPr>
                    <w:jc w:val="center"/>
                  </w:pPr>
                  <w:r>
                    <w:t>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1100</w:t>
                  </w:r>
                </w:p>
              </w:tc>
              <w:tc>
                <w:tcPr>
                  <w:tcW w:w="1793" w:type="dxa"/>
                  <w:vAlign w:val="center"/>
                </w:tcPr>
                <w:p>
                  <w:pPr>
                    <w:jc w:val="center"/>
                  </w:pPr>
                  <w:r>
                    <w:t>0.0002693</w:t>
                  </w:r>
                </w:p>
              </w:tc>
              <w:tc>
                <w:tcPr>
                  <w:tcW w:w="1773" w:type="dxa"/>
                  <w:vAlign w:val="center"/>
                </w:tcPr>
                <w:p>
                  <w:pPr>
                    <w:jc w:val="center"/>
                  </w:pPr>
                  <w:r>
                    <w:t>0.13</w:t>
                  </w:r>
                </w:p>
              </w:tc>
              <w:tc>
                <w:tcPr>
                  <w:tcW w:w="1793" w:type="dxa"/>
                  <w:vAlign w:val="center"/>
                </w:tcPr>
                <w:p>
                  <w:pPr>
                    <w:jc w:val="center"/>
                  </w:pPr>
                  <w:r>
                    <w:t>1.044E-5</w:t>
                  </w:r>
                </w:p>
              </w:tc>
              <w:tc>
                <w:tcPr>
                  <w:tcW w:w="1773" w:type="dxa"/>
                  <w:vAlign w:val="center"/>
                </w:tcPr>
                <w:p>
                  <w:pPr>
                    <w:jc w:val="center"/>
                  </w:pPr>
                  <w:r>
                    <w:t>0.10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1200</w:t>
                  </w:r>
                </w:p>
              </w:tc>
              <w:tc>
                <w:tcPr>
                  <w:tcW w:w="1793" w:type="dxa"/>
                  <w:vAlign w:val="center"/>
                </w:tcPr>
                <w:p>
                  <w:pPr>
                    <w:jc w:val="center"/>
                  </w:pPr>
                  <w:r>
                    <w:t>0.0002355</w:t>
                  </w:r>
                </w:p>
              </w:tc>
              <w:tc>
                <w:tcPr>
                  <w:tcW w:w="1773" w:type="dxa"/>
                  <w:vAlign w:val="center"/>
                </w:tcPr>
                <w:p>
                  <w:pPr>
                    <w:jc w:val="center"/>
                  </w:pPr>
                  <w:r>
                    <w:t>0.12</w:t>
                  </w:r>
                </w:p>
              </w:tc>
              <w:tc>
                <w:tcPr>
                  <w:tcW w:w="1793" w:type="dxa"/>
                  <w:vAlign w:val="center"/>
                </w:tcPr>
                <w:p>
                  <w:pPr>
                    <w:jc w:val="center"/>
                  </w:pPr>
                  <w:r>
                    <w:t>9.132E-6</w:t>
                  </w:r>
                </w:p>
              </w:tc>
              <w:tc>
                <w:tcPr>
                  <w:tcW w:w="1773" w:type="dxa"/>
                  <w:vAlign w:val="center"/>
                </w:tcPr>
                <w:p>
                  <w:pPr>
                    <w:jc w:val="center"/>
                  </w:pPr>
                  <w:r>
                    <w:t>0.09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1300</w:t>
                  </w:r>
                </w:p>
              </w:tc>
              <w:tc>
                <w:tcPr>
                  <w:tcW w:w="1793" w:type="dxa"/>
                  <w:vAlign w:val="center"/>
                </w:tcPr>
                <w:p>
                  <w:pPr>
                    <w:jc w:val="center"/>
                  </w:pPr>
                  <w:r>
                    <w:t>0.0002082</w:t>
                  </w:r>
                </w:p>
              </w:tc>
              <w:tc>
                <w:tcPr>
                  <w:tcW w:w="1773" w:type="dxa"/>
                  <w:vAlign w:val="center"/>
                </w:tcPr>
                <w:p>
                  <w:pPr>
                    <w:jc w:val="center"/>
                  </w:pPr>
                  <w:r>
                    <w:t>0.10</w:t>
                  </w:r>
                </w:p>
              </w:tc>
              <w:tc>
                <w:tcPr>
                  <w:tcW w:w="1793" w:type="dxa"/>
                  <w:vAlign w:val="center"/>
                </w:tcPr>
                <w:p>
                  <w:pPr>
                    <w:jc w:val="center"/>
                  </w:pPr>
                  <w:r>
                    <w:t>8.073E</w:t>
                  </w:r>
                </w:p>
              </w:tc>
              <w:tc>
                <w:tcPr>
                  <w:tcW w:w="1773" w:type="dxa"/>
                  <w:vAlign w:val="center"/>
                </w:tcPr>
                <w:p>
                  <w:pPr>
                    <w:jc w:val="center"/>
                  </w:pPr>
                  <w:r>
                    <w:t>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1400</w:t>
                  </w:r>
                </w:p>
              </w:tc>
              <w:tc>
                <w:tcPr>
                  <w:tcW w:w="1793" w:type="dxa"/>
                  <w:vAlign w:val="center"/>
                </w:tcPr>
                <w:p>
                  <w:pPr>
                    <w:jc w:val="center"/>
                  </w:pPr>
                  <w:r>
                    <w:t>0.0001858</w:t>
                  </w:r>
                </w:p>
              </w:tc>
              <w:tc>
                <w:tcPr>
                  <w:tcW w:w="1773" w:type="dxa"/>
                  <w:vAlign w:val="center"/>
                </w:tcPr>
                <w:p>
                  <w:pPr>
                    <w:jc w:val="center"/>
                  </w:pPr>
                  <w:r>
                    <w:t>0.09</w:t>
                  </w:r>
                </w:p>
              </w:tc>
              <w:tc>
                <w:tcPr>
                  <w:tcW w:w="1793" w:type="dxa"/>
                  <w:vAlign w:val="center"/>
                </w:tcPr>
                <w:p>
                  <w:pPr>
                    <w:jc w:val="center"/>
                  </w:pPr>
                  <w:r>
                    <w:t>7.203E</w:t>
                  </w:r>
                </w:p>
              </w:tc>
              <w:tc>
                <w:tcPr>
                  <w:tcW w:w="1773" w:type="dxa"/>
                  <w:vAlign w:val="center"/>
                </w:tcPr>
                <w:p>
                  <w:pPr>
                    <w:jc w:val="center"/>
                  </w:pPr>
                  <w:r>
                    <w:t>0.07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24" w:hRule="atLeast"/>
              </w:trPr>
              <w:tc>
                <w:tcPr>
                  <w:tcW w:w="1769" w:type="dxa"/>
                  <w:vAlign w:val="center"/>
                </w:tcPr>
                <w:p>
                  <w:pPr>
                    <w:jc w:val="center"/>
                    <w:rPr>
                      <w:sz w:val="20"/>
                    </w:rPr>
                  </w:pPr>
                  <w:r>
                    <w:rPr>
                      <w:sz w:val="20"/>
                    </w:rPr>
                    <w:t>1500</w:t>
                  </w:r>
                </w:p>
              </w:tc>
              <w:tc>
                <w:tcPr>
                  <w:tcW w:w="1793" w:type="dxa"/>
                  <w:vAlign w:val="center"/>
                </w:tcPr>
                <w:p>
                  <w:pPr>
                    <w:jc w:val="center"/>
                  </w:pPr>
                  <w:r>
                    <w:t>0.0001671</w:t>
                  </w:r>
                </w:p>
              </w:tc>
              <w:tc>
                <w:tcPr>
                  <w:tcW w:w="1773" w:type="dxa"/>
                  <w:vAlign w:val="center"/>
                </w:tcPr>
                <w:p>
                  <w:pPr>
                    <w:jc w:val="center"/>
                  </w:pPr>
                  <w:r>
                    <w:t>0.08</w:t>
                  </w:r>
                </w:p>
              </w:tc>
              <w:tc>
                <w:tcPr>
                  <w:tcW w:w="1793" w:type="dxa"/>
                  <w:vAlign w:val="center"/>
                </w:tcPr>
                <w:p>
                  <w:pPr>
                    <w:jc w:val="center"/>
                  </w:pPr>
                  <w:r>
                    <w:t>6.478E</w:t>
                  </w:r>
                </w:p>
              </w:tc>
              <w:tc>
                <w:tcPr>
                  <w:tcW w:w="1773" w:type="dxa"/>
                  <w:vAlign w:val="center"/>
                </w:tcPr>
                <w:p>
                  <w:pPr>
                    <w:jc w:val="center"/>
                  </w:pPr>
                  <w: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1600</w:t>
                  </w:r>
                </w:p>
              </w:tc>
              <w:tc>
                <w:tcPr>
                  <w:tcW w:w="1793" w:type="dxa"/>
                  <w:vAlign w:val="center"/>
                </w:tcPr>
                <w:p>
                  <w:pPr>
                    <w:jc w:val="center"/>
                  </w:pPr>
                  <w:r>
                    <w:t>0.0001513</w:t>
                  </w:r>
                </w:p>
              </w:tc>
              <w:tc>
                <w:tcPr>
                  <w:tcW w:w="1773" w:type="dxa"/>
                  <w:vAlign w:val="center"/>
                </w:tcPr>
                <w:p>
                  <w:pPr>
                    <w:jc w:val="center"/>
                  </w:pPr>
                  <w:r>
                    <w:t>0.08</w:t>
                  </w:r>
                </w:p>
              </w:tc>
              <w:tc>
                <w:tcPr>
                  <w:tcW w:w="1793" w:type="dxa"/>
                  <w:vAlign w:val="center"/>
                </w:tcPr>
                <w:p>
                  <w:pPr>
                    <w:jc w:val="center"/>
                  </w:pPr>
                  <w:r>
                    <w:t>5.866E</w:t>
                  </w:r>
                </w:p>
              </w:tc>
              <w:tc>
                <w:tcPr>
                  <w:tcW w:w="1773" w:type="dxa"/>
                  <w:vAlign w:val="center"/>
                </w:tcPr>
                <w:p>
                  <w:pPr>
                    <w:jc w:val="center"/>
                  </w:pPr>
                  <w: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1700</w:t>
                  </w:r>
                </w:p>
              </w:tc>
              <w:tc>
                <w:tcPr>
                  <w:tcW w:w="1793" w:type="dxa"/>
                  <w:vAlign w:val="center"/>
                </w:tcPr>
                <w:p>
                  <w:pPr>
                    <w:jc w:val="center"/>
                  </w:pPr>
                  <w:r>
                    <w:t>0.0001378</w:t>
                  </w:r>
                </w:p>
              </w:tc>
              <w:tc>
                <w:tcPr>
                  <w:tcW w:w="1773" w:type="dxa"/>
                  <w:vAlign w:val="center"/>
                </w:tcPr>
                <w:p>
                  <w:pPr>
                    <w:jc w:val="center"/>
                  </w:pPr>
                  <w:r>
                    <w:t>0.07</w:t>
                  </w:r>
                </w:p>
              </w:tc>
              <w:tc>
                <w:tcPr>
                  <w:tcW w:w="1793" w:type="dxa"/>
                  <w:vAlign w:val="center"/>
                </w:tcPr>
                <w:p>
                  <w:pPr>
                    <w:jc w:val="center"/>
                  </w:pPr>
                  <w:r>
                    <w:t>5.345E</w:t>
                  </w:r>
                </w:p>
              </w:tc>
              <w:tc>
                <w:tcPr>
                  <w:tcW w:w="1773" w:type="dxa"/>
                  <w:vAlign w:val="center"/>
                </w:tcPr>
                <w:p>
                  <w:pPr>
                    <w:jc w:val="center"/>
                  </w:pPr>
                  <w: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1800</w:t>
                  </w:r>
                </w:p>
              </w:tc>
              <w:tc>
                <w:tcPr>
                  <w:tcW w:w="1793" w:type="dxa"/>
                  <w:vAlign w:val="center"/>
                </w:tcPr>
                <w:p>
                  <w:pPr>
                    <w:jc w:val="center"/>
                  </w:pPr>
                  <w:r>
                    <w:t>0.0001263</w:t>
                  </w:r>
                </w:p>
              </w:tc>
              <w:tc>
                <w:tcPr>
                  <w:tcW w:w="1773" w:type="dxa"/>
                  <w:vAlign w:val="center"/>
                </w:tcPr>
                <w:p>
                  <w:pPr>
                    <w:jc w:val="center"/>
                  </w:pPr>
                  <w:r>
                    <w:t>0.06</w:t>
                  </w:r>
                </w:p>
              </w:tc>
              <w:tc>
                <w:tcPr>
                  <w:tcW w:w="1793" w:type="dxa"/>
                  <w:vAlign w:val="center"/>
                </w:tcPr>
                <w:p>
                  <w:pPr>
                    <w:jc w:val="center"/>
                  </w:pPr>
                  <w:r>
                    <w:t>4.896E</w:t>
                  </w:r>
                </w:p>
              </w:tc>
              <w:tc>
                <w:tcPr>
                  <w:tcW w:w="1773" w:type="dxa"/>
                  <w:vAlign w:val="center"/>
                </w:tcPr>
                <w:p>
                  <w:pPr>
                    <w:jc w:val="center"/>
                  </w:pPr>
                  <w: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1900</w:t>
                  </w:r>
                </w:p>
              </w:tc>
              <w:tc>
                <w:tcPr>
                  <w:tcW w:w="1793" w:type="dxa"/>
                  <w:vAlign w:val="center"/>
                </w:tcPr>
                <w:p>
                  <w:pPr>
                    <w:jc w:val="center"/>
                  </w:pPr>
                  <w:r>
                    <w:t>0.0001162</w:t>
                  </w:r>
                </w:p>
              </w:tc>
              <w:tc>
                <w:tcPr>
                  <w:tcW w:w="1773" w:type="dxa"/>
                  <w:vAlign w:val="center"/>
                </w:tcPr>
                <w:p>
                  <w:pPr>
                    <w:jc w:val="center"/>
                  </w:pPr>
                  <w:r>
                    <w:t>0.06</w:t>
                  </w:r>
                </w:p>
              </w:tc>
              <w:tc>
                <w:tcPr>
                  <w:tcW w:w="1793" w:type="dxa"/>
                  <w:vAlign w:val="center"/>
                </w:tcPr>
                <w:p>
                  <w:pPr>
                    <w:jc w:val="center"/>
                  </w:pPr>
                  <w:r>
                    <w:t>4.506E</w:t>
                  </w:r>
                </w:p>
              </w:tc>
              <w:tc>
                <w:tcPr>
                  <w:tcW w:w="1773" w:type="dxa"/>
                  <w:vAlign w:val="center"/>
                </w:tcPr>
                <w:p>
                  <w:pPr>
                    <w:jc w:val="center"/>
                  </w:pPr>
                  <w: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24" w:hRule="atLeast"/>
              </w:trPr>
              <w:tc>
                <w:tcPr>
                  <w:tcW w:w="1769" w:type="dxa"/>
                  <w:vAlign w:val="center"/>
                </w:tcPr>
                <w:p>
                  <w:pPr>
                    <w:jc w:val="center"/>
                    <w:rPr>
                      <w:sz w:val="20"/>
                    </w:rPr>
                  </w:pPr>
                  <w:r>
                    <w:rPr>
                      <w:sz w:val="20"/>
                    </w:rPr>
                    <w:t>2000</w:t>
                  </w:r>
                </w:p>
              </w:tc>
              <w:tc>
                <w:tcPr>
                  <w:tcW w:w="1793" w:type="dxa"/>
                  <w:vAlign w:val="center"/>
                </w:tcPr>
                <w:p>
                  <w:pPr>
                    <w:jc w:val="center"/>
                  </w:pPr>
                  <w:r>
                    <w:t>0.0001074</w:t>
                  </w:r>
                </w:p>
              </w:tc>
              <w:tc>
                <w:tcPr>
                  <w:tcW w:w="1773" w:type="dxa"/>
                  <w:vAlign w:val="center"/>
                </w:tcPr>
                <w:p>
                  <w:pPr>
                    <w:jc w:val="center"/>
                  </w:pPr>
                  <w:r>
                    <w:t>0.05</w:t>
                  </w:r>
                </w:p>
              </w:tc>
              <w:tc>
                <w:tcPr>
                  <w:tcW w:w="1793" w:type="dxa"/>
                  <w:vAlign w:val="center"/>
                </w:tcPr>
                <w:p>
                  <w:pPr>
                    <w:jc w:val="center"/>
                  </w:pPr>
                  <w:r>
                    <w:t>4.166E</w:t>
                  </w:r>
                </w:p>
              </w:tc>
              <w:tc>
                <w:tcPr>
                  <w:tcW w:w="1773" w:type="dxa"/>
                  <w:vAlign w:val="center"/>
                </w:tcPr>
                <w:p>
                  <w:pPr>
                    <w:jc w:val="center"/>
                  </w:pPr>
                  <w:r>
                    <w:t>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1769" w:type="dxa"/>
                  <w:vAlign w:val="center"/>
                </w:tcPr>
                <w:p>
                  <w:pPr>
                    <w:jc w:val="center"/>
                    <w:rPr>
                      <w:sz w:val="20"/>
                    </w:rPr>
                  </w:pPr>
                  <w:r>
                    <w:rPr>
                      <w:sz w:val="20"/>
                    </w:rPr>
                    <w:t>2100</w:t>
                  </w:r>
                </w:p>
              </w:tc>
              <w:tc>
                <w:tcPr>
                  <w:tcW w:w="1793" w:type="dxa"/>
                  <w:vAlign w:val="center"/>
                </w:tcPr>
                <w:p>
                  <w:pPr>
                    <w:jc w:val="center"/>
                  </w:pPr>
                  <w:r>
                    <w:t>0.0001001</w:t>
                  </w:r>
                </w:p>
              </w:tc>
              <w:tc>
                <w:tcPr>
                  <w:tcW w:w="1773" w:type="dxa"/>
                  <w:vAlign w:val="center"/>
                </w:tcPr>
                <w:p>
                  <w:pPr>
                    <w:jc w:val="center"/>
                  </w:pPr>
                  <w:r>
                    <w:t>0.05</w:t>
                  </w:r>
                </w:p>
              </w:tc>
              <w:tc>
                <w:tcPr>
                  <w:tcW w:w="1793" w:type="dxa"/>
                  <w:vAlign w:val="center"/>
                </w:tcPr>
                <w:p>
                  <w:pPr>
                    <w:jc w:val="center"/>
                  </w:pPr>
                  <w:r>
                    <w:t>3.881E</w:t>
                  </w:r>
                </w:p>
              </w:tc>
              <w:tc>
                <w:tcPr>
                  <w:tcW w:w="1773" w:type="dxa"/>
                  <w:vAlign w:val="center"/>
                </w:tcPr>
                <w:p>
                  <w:pPr>
                    <w:jc w:val="center"/>
                  </w:pPr>
                  <w:r>
                    <w:t>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2200</w:t>
                  </w:r>
                </w:p>
              </w:tc>
              <w:tc>
                <w:tcPr>
                  <w:tcW w:w="1793" w:type="dxa"/>
                  <w:vAlign w:val="center"/>
                </w:tcPr>
                <w:p>
                  <w:pPr>
                    <w:jc w:val="center"/>
                  </w:pPr>
                  <w:r>
                    <w:t>9.359E-5</w:t>
                  </w:r>
                </w:p>
              </w:tc>
              <w:tc>
                <w:tcPr>
                  <w:tcW w:w="1773" w:type="dxa"/>
                  <w:vAlign w:val="center"/>
                </w:tcPr>
                <w:p>
                  <w:pPr>
                    <w:jc w:val="center"/>
                  </w:pPr>
                  <w:r>
                    <w:t>0.05</w:t>
                  </w:r>
                </w:p>
              </w:tc>
              <w:tc>
                <w:tcPr>
                  <w:tcW w:w="1793" w:type="dxa"/>
                  <w:vAlign w:val="center"/>
                </w:tcPr>
                <w:p>
                  <w:pPr>
                    <w:jc w:val="center"/>
                  </w:pPr>
                  <w:r>
                    <w:t>3.629E</w:t>
                  </w:r>
                </w:p>
              </w:tc>
              <w:tc>
                <w:tcPr>
                  <w:tcW w:w="1773" w:type="dxa"/>
                  <w:vAlign w:val="center"/>
                </w:tcPr>
                <w:p>
                  <w:pPr>
                    <w:jc w:val="center"/>
                  </w:pPr>
                  <w:r>
                    <w:t>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04" w:hRule="atLeast"/>
              </w:trPr>
              <w:tc>
                <w:tcPr>
                  <w:tcW w:w="1769" w:type="dxa"/>
                  <w:vAlign w:val="center"/>
                </w:tcPr>
                <w:p>
                  <w:pPr>
                    <w:jc w:val="center"/>
                    <w:rPr>
                      <w:sz w:val="20"/>
                    </w:rPr>
                  </w:pPr>
                  <w:r>
                    <w:rPr>
                      <w:sz w:val="20"/>
                    </w:rPr>
                    <w:t>2300</w:t>
                  </w:r>
                </w:p>
              </w:tc>
              <w:tc>
                <w:tcPr>
                  <w:tcW w:w="1793" w:type="dxa"/>
                  <w:vAlign w:val="center"/>
                </w:tcPr>
                <w:p>
                  <w:pPr>
                    <w:jc w:val="center"/>
                  </w:pPr>
                  <w:r>
                    <w:t>8.775E-5</w:t>
                  </w:r>
                </w:p>
              </w:tc>
              <w:tc>
                <w:tcPr>
                  <w:tcW w:w="1773" w:type="dxa"/>
                  <w:vAlign w:val="center"/>
                </w:tcPr>
                <w:p>
                  <w:pPr>
                    <w:jc w:val="center"/>
                  </w:pPr>
                  <w:r>
                    <w:t>0.04</w:t>
                  </w:r>
                </w:p>
              </w:tc>
              <w:tc>
                <w:tcPr>
                  <w:tcW w:w="1793" w:type="dxa"/>
                  <w:vAlign w:val="center"/>
                </w:tcPr>
                <w:p>
                  <w:pPr>
                    <w:jc w:val="center"/>
                  </w:pPr>
                  <w:r>
                    <w:t>3.403E</w:t>
                  </w:r>
                </w:p>
              </w:tc>
              <w:tc>
                <w:tcPr>
                  <w:tcW w:w="1773" w:type="dxa"/>
                  <w:vAlign w:val="center"/>
                </w:tcPr>
                <w:p>
                  <w:pPr>
                    <w:jc w:val="center"/>
                  </w:pPr>
                  <w:r>
                    <w:t>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2400</w:t>
                  </w:r>
                </w:p>
              </w:tc>
              <w:tc>
                <w:tcPr>
                  <w:tcW w:w="1793" w:type="dxa"/>
                  <w:vAlign w:val="center"/>
                </w:tcPr>
                <w:p>
                  <w:pPr>
                    <w:jc w:val="center"/>
                  </w:pPr>
                  <w:r>
                    <w:t>8.25E-5</w:t>
                  </w:r>
                </w:p>
              </w:tc>
              <w:tc>
                <w:tcPr>
                  <w:tcW w:w="1773" w:type="dxa"/>
                  <w:vAlign w:val="center"/>
                </w:tcPr>
                <w:p>
                  <w:pPr>
                    <w:jc w:val="center"/>
                  </w:pPr>
                  <w:r>
                    <w:t>0.04</w:t>
                  </w:r>
                </w:p>
              </w:tc>
              <w:tc>
                <w:tcPr>
                  <w:tcW w:w="1793" w:type="dxa"/>
                  <w:vAlign w:val="center"/>
                </w:tcPr>
                <w:p>
                  <w:pPr>
                    <w:jc w:val="center"/>
                  </w:pPr>
                  <w:r>
                    <w:t>3.199E</w:t>
                  </w:r>
                </w:p>
              </w:tc>
              <w:tc>
                <w:tcPr>
                  <w:tcW w:w="1773" w:type="dxa"/>
                  <w:vAlign w:val="center"/>
                </w:tcPr>
                <w:p>
                  <w:pPr>
                    <w:jc w:val="center"/>
                  </w:pPr>
                  <w:r>
                    <w:t>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769" w:type="dxa"/>
                  <w:vAlign w:val="center"/>
                </w:tcPr>
                <w:p>
                  <w:pPr>
                    <w:jc w:val="center"/>
                    <w:rPr>
                      <w:sz w:val="20"/>
                    </w:rPr>
                  </w:pPr>
                  <w:r>
                    <w:rPr>
                      <w:sz w:val="20"/>
                    </w:rPr>
                    <w:t>2500</w:t>
                  </w:r>
                </w:p>
              </w:tc>
              <w:tc>
                <w:tcPr>
                  <w:tcW w:w="1793" w:type="dxa"/>
                  <w:vAlign w:val="center"/>
                </w:tcPr>
                <w:p>
                  <w:pPr>
                    <w:jc w:val="center"/>
                  </w:pPr>
                  <w:r>
                    <w:t>7.775E-5</w:t>
                  </w:r>
                </w:p>
              </w:tc>
              <w:tc>
                <w:tcPr>
                  <w:tcW w:w="1773" w:type="dxa"/>
                  <w:vAlign w:val="center"/>
                </w:tcPr>
                <w:p>
                  <w:pPr>
                    <w:jc w:val="center"/>
                  </w:pPr>
                  <w:r>
                    <w:t>0.04</w:t>
                  </w:r>
                </w:p>
              </w:tc>
              <w:tc>
                <w:tcPr>
                  <w:tcW w:w="1793" w:type="dxa"/>
                  <w:vAlign w:val="center"/>
                </w:tcPr>
                <w:p>
                  <w:pPr>
                    <w:jc w:val="center"/>
                  </w:pPr>
                  <w:r>
                    <w:t>3.015E</w:t>
                  </w:r>
                </w:p>
              </w:tc>
              <w:tc>
                <w:tcPr>
                  <w:tcW w:w="1773" w:type="dxa"/>
                  <w:vAlign w:val="center"/>
                </w:tcPr>
                <w:p>
                  <w:pPr>
                    <w:jc w:val="center"/>
                  </w:pPr>
                  <w:r>
                    <w:t>0.03</w:t>
                  </w:r>
                </w:p>
              </w:tc>
            </w:tr>
          </w:tbl>
          <w:p>
            <w:pPr>
              <w:autoSpaceDE w:val="0"/>
              <w:autoSpaceDN w:val="0"/>
              <w:adjustRightInd w:val="0"/>
              <w:spacing w:line="360" w:lineRule="auto"/>
              <w:ind w:right="-23" w:firstLine="480" w:firstLineChars="200"/>
              <w:jc w:val="left"/>
              <w:rPr>
                <w:rFonts w:hAnsi="宋体"/>
                <w:bCs/>
                <w:sz w:val="24"/>
              </w:rPr>
            </w:pPr>
            <w:r>
              <w:rPr>
                <w:rFonts w:hint="eastAsia" w:hAnsi="宋体"/>
                <w:bCs/>
                <w:sz w:val="24"/>
              </w:rPr>
              <w:t>由上表可知，非正常工况下</w:t>
            </w:r>
            <w:r>
              <w:rPr>
                <w:rFonts w:hAnsi="宋体"/>
                <w:bCs/>
                <w:sz w:val="24"/>
              </w:rPr>
              <w:t>NH</w:t>
            </w:r>
            <w:r>
              <w:rPr>
                <w:rFonts w:hAnsi="宋体"/>
                <w:bCs/>
                <w:sz w:val="24"/>
                <w:vertAlign w:val="subscript"/>
              </w:rPr>
              <w:t>3</w:t>
            </w:r>
            <w:r>
              <w:rPr>
                <w:rFonts w:hAnsi="宋体"/>
                <w:bCs/>
                <w:sz w:val="24"/>
              </w:rPr>
              <w:t>、H</w:t>
            </w:r>
            <w:r>
              <w:rPr>
                <w:rFonts w:hAnsi="宋体"/>
                <w:bCs/>
                <w:sz w:val="24"/>
                <w:vertAlign w:val="subscript"/>
              </w:rPr>
              <w:t>2</w:t>
            </w:r>
            <w:r>
              <w:rPr>
                <w:rFonts w:hAnsi="宋体"/>
                <w:bCs/>
                <w:sz w:val="24"/>
              </w:rPr>
              <w:t>S</w:t>
            </w:r>
            <w:r>
              <w:rPr>
                <w:rFonts w:hint="eastAsia" w:hAnsi="宋体"/>
                <w:bCs/>
                <w:sz w:val="24"/>
              </w:rPr>
              <w:t xml:space="preserve"> 100%逸散无组织排放，在12</w:t>
            </w:r>
            <w:r>
              <w:rPr>
                <w:rFonts w:hAnsi="宋体"/>
                <w:bCs/>
                <w:sz w:val="24"/>
              </w:rPr>
              <w:t>m处</w:t>
            </w:r>
            <w:r>
              <w:rPr>
                <w:rFonts w:hint="eastAsia" w:hAnsi="宋体"/>
                <w:bCs/>
                <w:sz w:val="24"/>
              </w:rPr>
              <w:t>（此处为农田）</w:t>
            </w:r>
            <w:r>
              <w:rPr>
                <w:rFonts w:hAnsi="宋体"/>
                <w:bCs/>
                <w:sz w:val="24"/>
              </w:rPr>
              <w:t>最大地面浓度分别为0.1185mg/m</w:t>
            </w:r>
            <w:r>
              <w:rPr>
                <w:rFonts w:hAnsi="宋体"/>
                <w:bCs/>
                <w:sz w:val="24"/>
                <w:vertAlign w:val="superscript"/>
              </w:rPr>
              <w:t>3</w:t>
            </w:r>
            <w:r>
              <w:rPr>
                <w:rFonts w:hAnsi="宋体"/>
                <w:bCs/>
                <w:sz w:val="24"/>
              </w:rPr>
              <w:t>、0.0004593mg/m</w:t>
            </w:r>
            <w:r>
              <w:rPr>
                <w:rFonts w:hAnsi="宋体"/>
                <w:bCs/>
                <w:sz w:val="24"/>
                <w:vertAlign w:val="superscript"/>
              </w:rPr>
              <w:t>3</w:t>
            </w:r>
            <w:r>
              <w:rPr>
                <w:rFonts w:hAnsi="宋体"/>
                <w:bCs/>
                <w:sz w:val="24"/>
              </w:rPr>
              <w:t>，</w:t>
            </w:r>
            <w:r>
              <w:rPr>
                <w:rFonts w:hint="eastAsia" w:hAnsi="宋体"/>
                <w:bCs/>
                <w:sz w:val="24"/>
              </w:rPr>
              <w:t>满足</w:t>
            </w:r>
            <w:r>
              <w:rPr>
                <w:rFonts w:hAnsi="宋体"/>
                <w:bCs/>
                <w:sz w:val="24"/>
              </w:rPr>
              <w:t>《城镇污水处理厂污染物排放标准》（GB18918-2002）中表4</w:t>
            </w:r>
            <w:r>
              <w:rPr>
                <w:rFonts w:hint="eastAsia" w:hAnsi="宋体"/>
                <w:bCs/>
                <w:sz w:val="24"/>
              </w:rPr>
              <w:t>浓度限值要求，但</w:t>
            </w:r>
            <w:r>
              <w:rPr>
                <w:rFonts w:hAnsi="宋体"/>
                <w:bCs/>
                <w:sz w:val="24"/>
              </w:rPr>
              <w:t>其下风向最大地面浓度占标率</w:t>
            </w:r>
            <w:r>
              <w:rPr>
                <w:rFonts w:hint="eastAsia" w:hAnsi="宋体"/>
                <w:bCs/>
                <w:sz w:val="24"/>
              </w:rPr>
              <w:t>高达</w:t>
            </w:r>
            <w:r>
              <w:rPr>
                <w:rFonts w:hAnsi="宋体"/>
                <w:bCs/>
                <w:sz w:val="24"/>
              </w:rPr>
              <w:t>59.25%、45.93%</w:t>
            </w:r>
            <w:r>
              <w:rPr>
                <w:rFonts w:hint="eastAsia" w:hAnsi="宋体"/>
                <w:bCs/>
                <w:sz w:val="24"/>
              </w:rPr>
              <w:t>。因此，污水站兼职人员应随时巡查污水站运行情况，禁止出现污水站非正常工况运行，运行设施必须全部加盖封闭运行，巡查维修，不得出现破损逸散废气情况。</w:t>
            </w:r>
          </w:p>
          <w:p>
            <w:pPr>
              <w:autoSpaceDE w:val="0"/>
              <w:autoSpaceDN w:val="0"/>
              <w:adjustRightInd w:val="0"/>
              <w:spacing w:line="360" w:lineRule="auto"/>
              <w:ind w:right="-23" w:firstLine="480" w:firstLineChars="200"/>
              <w:jc w:val="left"/>
              <w:rPr>
                <w:rFonts w:hAnsi="宋体"/>
                <w:bCs/>
                <w:sz w:val="24"/>
              </w:rPr>
            </w:pPr>
            <w:r>
              <w:rPr>
                <w:rFonts w:hAnsi="宋体"/>
                <w:bCs/>
                <w:sz w:val="24"/>
              </w:rPr>
              <w:t>（</w:t>
            </w:r>
            <w:r>
              <w:rPr>
                <w:rFonts w:hint="eastAsia" w:hAnsi="宋体"/>
                <w:bCs/>
                <w:sz w:val="24"/>
              </w:rPr>
              <w:t>2</w:t>
            </w:r>
            <w:r>
              <w:rPr>
                <w:rFonts w:hAnsi="宋体"/>
                <w:bCs/>
                <w:sz w:val="24"/>
              </w:rPr>
              <w:t>）大气防护距离</w:t>
            </w:r>
          </w:p>
          <w:p>
            <w:pPr>
              <w:autoSpaceDE w:val="0"/>
              <w:autoSpaceDN w:val="0"/>
              <w:adjustRightInd w:val="0"/>
              <w:spacing w:line="360" w:lineRule="auto"/>
              <w:ind w:right="-23" w:firstLine="480" w:firstLineChars="200"/>
              <w:jc w:val="left"/>
              <w:rPr>
                <w:rFonts w:hAnsi="宋体"/>
                <w:bCs/>
                <w:sz w:val="24"/>
              </w:rPr>
            </w:pPr>
            <w:r>
              <w:rPr>
                <w:rFonts w:hAnsi="宋体"/>
                <w:bCs/>
                <w:sz w:val="24"/>
              </w:rPr>
              <w:t>根据《环境影响评价技术导则—大气环境》(HJ2.2-20</w:t>
            </w:r>
            <w:r>
              <w:rPr>
                <w:rFonts w:hint="eastAsia" w:hAnsi="宋体"/>
                <w:bCs/>
                <w:sz w:val="24"/>
              </w:rPr>
              <w:t>18</w:t>
            </w:r>
            <w:r>
              <w:rPr>
                <w:rFonts w:hAnsi="宋体"/>
                <w:bCs/>
                <w:sz w:val="24"/>
              </w:rPr>
              <w:t>)中的规定，根据估算模式中的大气环境防护距离计算模式计算各无组织排放源的大气防护距离。其计算参数及计算结果详见下表</w:t>
            </w:r>
            <w:r>
              <w:rPr>
                <w:rFonts w:hint="eastAsia" w:hAnsi="宋体"/>
                <w:bCs/>
                <w:sz w:val="24"/>
              </w:rPr>
              <w:t>：</w:t>
            </w:r>
          </w:p>
          <w:p>
            <w:pPr>
              <w:autoSpaceDE w:val="0"/>
              <w:autoSpaceDN w:val="0"/>
              <w:adjustRightInd w:val="0"/>
              <w:spacing w:line="360" w:lineRule="auto"/>
              <w:ind w:right="-23"/>
              <w:jc w:val="center"/>
              <w:rPr>
                <w:rFonts w:hAnsi="宋体"/>
                <w:b/>
                <w:bCs/>
                <w:szCs w:val="21"/>
              </w:rPr>
            </w:pPr>
            <w:r>
              <w:rPr>
                <w:rFonts w:hint="eastAsia" w:hAnsi="宋体"/>
                <w:b/>
                <w:bCs/>
                <w:szCs w:val="21"/>
              </w:rPr>
              <w:t>表56   项目投产后项目无组织废物及其污染物排放情况</w:t>
            </w:r>
          </w:p>
          <w:tbl>
            <w:tblPr>
              <w:tblStyle w:val="35"/>
              <w:tblW w:w="8901"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60"/>
              <w:gridCol w:w="1275"/>
              <w:gridCol w:w="1310"/>
              <w:gridCol w:w="1127"/>
              <w:gridCol w:w="1139"/>
              <w:gridCol w:w="1148"/>
              <w:gridCol w:w="134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560" w:type="dxa"/>
                  <w:vAlign w:val="center"/>
                </w:tcPr>
                <w:p>
                  <w:pPr>
                    <w:jc w:val="center"/>
                    <w:rPr>
                      <w:b/>
                      <w:bCs/>
                      <w:szCs w:val="21"/>
                    </w:rPr>
                  </w:pPr>
                  <w:r>
                    <w:rPr>
                      <w:rFonts w:hAnsi="宋体"/>
                      <w:b/>
                      <w:bCs/>
                      <w:szCs w:val="21"/>
                    </w:rPr>
                    <w:t>污染源位置</w:t>
                  </w:r>
                </w:p>
              </w:tc>
              <w:tc>
                <w:tcPr>
                  <w:tcW w:w="1275" w:type="dxa"/>
                  <w:vAlign w:val="center"/>
                </w:tcPr>
                <w:p>
                  <w:pPr>
                    <w:jc w:val="center"/>
                    <w:rPr>
                      <w:b/>
                      <w:bCs/>
                      <w:szCs w:val="21"/>
                    </w:rPr>
                  </w:pPr>
                  <w:r>
                    <w:rPr>
                      <w:rFonts w:hAnsi="宋体"/>
                      <w:b/>
                      <w:bCs/>
                      <w:szCs w:val="21"/>
                    </w:rPr>
                    <w:t>污染物名称</w:t>
                  </w:r>
                </w:p>
              </w:tc>
              <w:tc>
                <w:tcPr>
                  <w:tcW w:w="1310" w:type="dxa"/>
                  <w:vAlign w:val="center"/>
                </w:tcPr>
                <w:p>
                  <w:pPr>
                    <w:jc w:val="center"/>
                    <w:rPr>
                      <w:b/>
                      <w:bCs/>
                      <w:szCs w:val="21"/>
                    </w:rPr>
                  </w:pPr>
                  <w:r>
                    <w:rPr>
                      <w:rFonts w:hAnsi="宋体"/>
                      <w:b/>
                      <w:bCs/>
                      <w:szCs w:val="21"/>
                    </w:rPr>
                    <w:t>排放速率（</w:t>
                  </w:r>
                  <w:r>
                    <w:rPr>
                      <w:rFonts w:hint="eastAsia"/>
                      <w:b/>
                      <w:bCs/>
                      <w:szCs w:val="21"/>
                    </w:rPr>
                    <w:t>kg</w:t>
                  </w:r>
                  <w:r>
                    <w:rPr>
                      <w:b/>
                      <w:bCs/>
                      <w:szCs w:val="21"/>
                    </w:rPr>
                    <w:t>/a</w:t>
                  </w:r>
                  <w:r>
                    <w:rPr>
                      <w:rFonts w:hAnsi="宋体"/>
                      <w:b/>
                      <w:bCs/>
                      <w:szCs w:val="21"/>
                    </w:rPr>
                    <w:t>）</w:t>
                  </w:r>
                </w:p>
              </w:tc>
              <w:tc>
                <w:tcPr>
                  <w:tcW w:w="1127" w:type="dxa"/>
                  <w:vAlign w:val="center"/>
                </w:tcPr>
                <w:p>
                  <w:pPr>
                    <w:jc w:val="center"/>
                    <w:rPr>
                      <w:b/>
                      <w:bCs/>
                      <w:szCs w:val="21"/>
                    </w:rPr>
                  </w:pPr>
                  <w:r>
                    <w:rPr>
                      <w:rFonts w:hAnsi="宋体"/>
                      <w:b/>
                      <w:bCs/>
                      <w:szCs w:val="21"/>
                    </w:rPr>
                    <w:t>面源面积</w:t>
                  </w:r>
                  <w:r>
                    <w:rPr>
                      <w:b/>
                      <w:bCs/>
                      <w:szCs w:val="21"/>
                    </w:rPr>
                    <w:t>m</w:t>
                  </w:r>
                  <w:r>
                    <w:rPr>
                      <w:b/>
                      <w:bCs/>
                      <w:szCs w:val="21"/>
                      <w:vertAlign w:val="superscript"/>
                    </w:rPr>
                    <w:t>2</w:t>
                  </w:r>
                </w:p>
              </w:tc>
              <w:tc>
                <w:tcPr>
                  <w:tcW w:w="1139" w:type="dxa"/>
                  <w:vAlign w:val="center"/>
                </w:tcPr>
                <w:p>
                  <w:pPr>
                    <w:jc w:val="center"/>
                    <w:rPr>
                      <w:b/>
                      <w:bCs/>
                      <w:szCs w:val="21"/>
                    </w:rPr>
                  </w:pPr>
                  <w:r>
                    <w:rPr>
                      <w:rFonts w:hAnsi="宋体"/>
                      <w:b/>
                      <w:bCs/>
                      <w:szCs w:val="21"/>
                    </w:rPr>
                    <w:t>面源高度</w:t>
                  </w:r>
                  <w:r>
                    <w:rPr>
                      <w:b/>
                      <w:bCs/>
                      <w:szCs w:val="21"/>
                    </w:rPr>
                    <w:t>m</w:t>
                  </w:r>
                </w:p>
              </w:tc>
              <w:tc>
                <w:tcPr>
                  <w:tcW w:w="1148" w:type="dxa"/>
                  <w:vAlign w:val="center"/>
                </w:tcPr>
                <w:p>
                  <w:pPr>
                    <w:jc w:val="center"/>
                    <w:rPr>
                      <w:b/>
                      <w:bCs/>
                      <w:szCs w:val="21"/>
                    </w:rPr>
                  </w:pPr>
                  <w:r>
                    <w:rPr>
                      <w:rFonts w:hAnsi="宋体"/>
                      <w:b/>
                      <w:bCs/>
                      <w:szCs w:val="21"/>
                    </w:rPr>
                    <w:t>质量标准</w:t>
                  </w:r>
                  <w:r>
                    <w:rPr>
                      <w:b/>
                      <w:bCs/>
                      <w:szCs w:val="21"/>
                    </w:rPr>
                    <w:t>mg/m</w:t>
                  </w:r>
                  <w:r>
                    <w:rPr>
                      <w:b/>
                      <w:bCs/>
                      <w:szCs w:val="21"/>
                      <w:vertAlign w:val="superscript"/>
                    </w:rPr>
                    <w:t>3</w:t>
                  </w:r>
                </w:p>
              </w:tc>
              <w:tc>
                <w:tcPr>
                  <w:tcW w:w="1342" w:type="dxa"/>
                  <w:vAlign w:val="center"/>
                </w:tcPr>
                <w:p>
                  <w:pPr>
                    <w:jc w:val="center"/>
                    <w:rPr>
                      <w:b/>
                      <w:bCs/>
                      <w:szCs w:val="21"/>
                    </w:rPr>
                  </w:pPr>
                  <w:r>
                    <w:rPr>
                      <w:rFonts w:hAnsi="宋体"/>
                      <w:b/>
                      <w:bCs/>
                      <w:szCs w:val="21"/>
                    </w:rPr>
                    <w:t>大气环境防护距离</w:t>
                  </w:r>
                  <w:r>
                    <w:rPr>
                      <w:b/>
                      <w:bCs/>
                      <w:szCs w:val="21"/>
                    </w:rPr>
                    <w:t>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560" w:type="dxa"/>
                  <w:vMerge w:val="restart"/>
                  <w:vAlign w:val="center"/>
                </w:tcPr>
                <w:p>
                  <w:pPr>
                    <w:jc w:val="center"/>
                    <w:rPr>
                      <w:bCs/>
                      <w:szCs w:val="21"/>
                    </w:rPr>
                  </w:pPr>
                  <w:r>
                    <w:rPr>
                      <w:rFonts w:hAnsi="宋体"/>
                      <w:bCs/>
                      <w:szCs w:val="21"/>
                    </w:rPr>
                    <w:t>污水处理设施</w:t>
                  </w:r>
                </w:p>
              </w:tc>
              <w:tc>
                <w:tcPr>
                  <w:tcW w:w="1275" w:type="dxa"/>
                  <w:vAlign w:val="center"/>
                </w:tcPr>
                <w:p>
                  <w:pPr>
                    <w:jc w:val="center"/>
                    <w:rPr>
                      <w:bCs/>
                      <w:szCs w:val="21"/>
                    </w:rPr>
                  </w:pPr>
                  <w:r>
                    <w:rPr>
                      <w:bCs/>
                      <w:szCs w:val="21"/>
                    </w:rPr>
                    <w:t>NH</w:t>
                  </w:r>
                  <w:r>
                    <w:rPr>
                      <w:bCs/>
                      <w:szCs w:val="21"/>
                      <w:vertAlign w:val="subscript"/>
                    </w:rPr>
                    <w:t>3</w:t>
                  </w:r>
                </w:p>
              </w:tc>
              <w:tc>
                <w:tcPr>
                  <w:tcW w:w="1310" w:type="dxa"/>
                  <w:vAlign w:val="center"/>
                </w:tcPr>
                <w:p>
                  <w:pPr>
                    <w:pStyle w:val="7"/>
                    <w:spacing w:line="240" w:lineRule="exact"/>
                    <w:jc w:val="center"/>
                    <w:rPr>
                      <w:bCs/>
                      <w:szCs w:val="21"/>
                    </w:rPr>
                  </w:pPr>
                  <w:r>
                    <w:rPr>
                      <w:rFonts w:hint="eastAsia"/>
                      <w:szCs w:val="21"/>
                    </w:rPr>
                    <w:t>1.47</w:t>
                  </w:r>
                </w:p>
              </w:tc>
              <w:tc>
                <w:tcPr>
                  <w:tcW w:w="1127" w:type="dxa"/>
                  <w:vMerge w:val="restart"/>
                  <w:vAlign w:val="center"/>
                </w:tcPr>
                <w:p>
                  <w:pPr>
                    <w:jc w:val="center"/>
                    <w:rPr>
                      <w:bCs/>
                      <w:szCs w:val="21"/>
                    </w:rPr>
                  </w:pPr>
                  <w:r>
                    <w:rPr>
                      <w:rFonts w:hint="eastAsia"/>
                      <w:bCs/>
                      <w:szCs w:val="21"/>
                    </w:rPr>
                    <w:t>240</w:t>
                  </w:r>
                </w:p>
              </w:tc>
              <w:tc>
                <w:tcPr>
                  <w:tcW w:w="1139" w:type="dxa"/>
                  <w:vMerge w:val="restart"/>
                  <w:vAlign w:val="center"/>
                </w:tcPr>
                <w:p>
                  <w:pPr>
                    <w:jc w:val="center"/>
                    <w:rPr>
                      <w:bCs/>
                      <w:szCs w:val="21"/>
                    </w:rPr>
                  </w:pPr>
                  <w:r>
                    <w:rPr>
                      <w:bCs/>
                      <w:szCs w:val="21"/>
                    </w:rPr>
                    <w:t>0</w:t>
                  </w:r>
                </w:p>
              </w:tc>
              <w:tc>
                <w:tcPr>
                  <w:tcW w:w="1148" w:type="dxa"/>
                  <w:vAlign w:val="center"/>
                </w:tcPr>
                <w:p>
                  <w:pPr>
                    <w:jc w:val="center"/>
                    <w:rPr>
                      <w:bCs/>
                      <w:szCs w:val="21"/>
                    </w:rPr>
                  </w:pPr>
                  <w:r>
                    <w:rPr>
                      <w:bCs/>
                      <w:szCs w:val="21"/>
                    </w:rPr>
                    <w:t>0.2</w:t>
                  </w:r>
                </w:p>
              </w:tc>
              <w:tc>
                <w:tcPr>
                  <w:tcW w:w="1342" w:type="dxa"/>
                  <w:vAlign w:val="center"/>
                </w:tcPr>
                <w:p>
                  <w:pPr>
                    <w:jc w:val="center"/>
                    <w:rPr>
                      <w:bCs/>
                      <w:szCs w:val="21"/>
                    </w:rPr>
                  </w:pPr>
                  <w:r>
                    <w:rPr>
                      <w:bCs/>
                      <w:szCs w:val="21"/>
                    </w:rPr>
                    <w:t>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560" w:type="dxa"/>
                  <w:vMerge w:val="continue"/>
                  <w:vAlign w:val="center"/>
                </w:tcPr>
                <w:p>
                  <w:pPr>
                    <w:jc w:val="center"/>
                    <w:rPr>
                      <w:bCs/>
                      <w:szCs w:val="21"/>
                    </w:rPr>
                  </w:pPr>
                </w:p>
              </w:tc>
              <w:tc>
                <w:tcPr>
                  <w:tcW w:w="1275" w:type="dxa"/>
                  <w:vAlign w:val="center"/>
                </w:tcPr>
                <w:p>
                  <w:pPr>
                    <w:jc w:val="center"/>
                    <w:rPr>
                      <w:bCs/>
                      <w:szCs w:val="21"/>
                    </w:rPr>
                  </w:pPr>
                  <w:r>
                    <w:rPr>
                      <w:bCs/>
                      <w:szCs w:val="21"/>
                    </w:rPr>
                    <w:t>H</w:t>
                  </w:r>
                  <w:r>
                    <w:rPr>
                      <w:bCs/>
                      <w:szCs w:val="21"/>
                      <w:vertAlign w:val="subscript"/>
                    </w:rPr>
                    <w:t>2</w:t>
                  </w:r>
                  <w:r>
                    <w:rPr>
                      <w:bCs/>
                      <w:szCs w:val="21"/>
                    </w:rPr>
                    <w:t>S</w:t>
                  </w:r>
                </w:p>
              </w:tc>
              <w:tc>
                <w:tcPr>
                  <w:tcW w:w="1310" w:type="dxa"/>
                  <w:vAlign w:val="center"/>
                </w:tcPr>
                <w:p>
                  <w:pPr>
                    <w:pStyle w:val="7"/>
                    <w:spacing w:line="240" w:lineRule="exact"/>
                    <w:jc w:val="center"/>
                    <w:rPr>
                      <w:bCs/>
                      <w:szCs w:val="21"/>
                    </w:rPr>
                  </w:pPr>
                  <w:r>
                    <w:rPr>
                      <w:rFonts w:hint="eastAsia"/>
                      <w:szCs w:val="21"/>
                    </w:rPr>
                    <w:t>0.057</w:t>
                  </w:r>
                </w:p>
              </w:tc>
              <w:tc>
                <w:tcPr>
                  <w:tcW w:w="1127" w:type="dxa"/>
                  <w:vMerge w:val="continue"/>
                  <w:vAlign w:val="center"/>
                </w:tcPr>
                <w:p>
                  <w:pPr>
                    <w:jc w:val="center"/>
                    <w:rPr>
                      <w:bCs/>
                      <w:szCs w:val="21"/>
                    </w:rPr>
                  </w:pPr>
                </w:p>
              </w:tc>
              <w:tc>
                <w:tcPr>
                  <w:tcW w:w="1139" w:type="dxa"/>
                  <w:vMerge w:val="continue"/>
                  <w:vAlign w:val="center"/>
                </w:tcPr>
                <w:p>
                  <w:pPr>
                    <w:jc w:val="center"/>
                    <w:rPr>
                      <w:bCs/>
                      <w:szCs w:val="21"/>
                    </w:rPr>
                  </w:pPr>
                </w:p>
              </w:tc>
              <w:tc>
                <w:tcPr>
                  <w:tcW w:w="1148" w:type="dxa"/>
                  <w:vAlign w:val="center"/>
                </w:tcPr>
                <w:p>
                  <w:pPr>
                    <w:jc w:val="center"/>
                    <w:rPr>
                      <w:bCs/>
                      <w:szCs w:val="21"/>
                    </w:rPr>
                  </w:pPr>
                  <w:r>
                    <w:rPr>
                      <w:bCs/>
                      <w:szCs w:val="21"/>
                    </w:rPr>
                    <w:t>0.01</w:t>
                  </w:r>
                </w:p>
              </w:tc>
              <w:tc>
                <w:tcPr>
                  <w:tcW w:w="1342" w:type="dxa"/>
                  <w:vAlign w:val="center"/>
                </w:tcPr>
                <w:p>
                  <w:pPr>
                    <w:jc w:val="center"/>
                    <w:rPr>
                      <w:bCs/>
                      <w:szCs w:val="21"/>
                    </w:rPr>
                  </w:pPr>
                  <w:r>
                    <w:rPr>
                      <w:bCs/>
                      <w:szCs w:val="21"/>
                    </w:rPr>
                    <w:t>0</w:t>
                  </w:r>
                </w:p>
              </w:tc>
            </w:tr>
          </w:tbl>
          <w:p>
            <w:pPr>
              <w:autoSpaceDE w:val="0"/>
              <w:autoSpaceDN w:val="0"/>
              <w:adjustRightInd w:val="0"/>
              <w:spacing w:line="360" w:lineRule="auto"/>
              <w:ind w:right="-23" w:firstLine="480" w:firstLineChars="200"/>
              <w:jc w:val="left"/>
              <w:rPr>
                <w:rFonts w:hAnsi="宋体"/>
                <w:bCs/>
                <w:sz w:val="24"/>
              </w:rPr>
            </w:pPr>
            <w:r>
              <w:rPr>
                <w:rFonts w:hAnsi="宋体"/>
                <w:bCs/>
                <w:sz w:val="24"/>
              </w:rPr>
              <w:t>根据计算，项目计算程序中给定的计算点与最大落地浓度均未出现超标点，项目不再设置大气环境防护距离。</w:t>
            </w:r>
          </w:p>
          <w:p>
            <w:pPr>
              <w:autoSpaceDE w:val="0"/>
              <w:autoSpaceDN w:val="0"/>
              <w:adjustRightInd w:val="0"/>
              <w:spacing w:line="360" w:lineRule="auto"/>
              <w:ind w:right="-23" w:firstLine="480" w:firstLineChars="200"/>
              <w:jc w:val="left"/>
              <w:rPr>
                <w:rFonts w:hAnsi="宋体"/>
                <w:bCs/>
                <w:sz w:val="24"/>
              </w:rPr>
            </w:pPr>
            <w:r>
              <w:rPr>
                <w:rFonts w:hAnsi="宋体"/>
                <w:bCs/>
                <w:sz w:val="24"/>
              </w:rPr>
              <w:t>（</w:t>
            </w:r>
            <w:r>
              <w:rPr>
                <w:rFonts w:hint="eastAsia" w:hAnsi="宋体"/>
                <w:bCs/>
                <w:sz w:val="24"/>
              </w:rPr>
              <w:t>3</w:t>
            </w:r>
            <w:r>
              <w:rPr>
                <w:rFonts w:hAnsi="宋体"/>
                <w:bCs/>
                <w:sz w:val="24"/>
              </w:rPr>
              <w:t>）卫生防护距离</w:t>
            </w:r>
          </w:p>
          <w:p>
            <w:pPr>
              <w:autoSpaceDE w:val="0"/>
              <w:autoSpaceDN w:val="0"/>
              <w:adjustRightInd w:val="0"/>
              <w:spacing w:line="360" w:lineRule="auto"/>
              <w:ind w:right="-23" w:firstLine="480" w:firstLineChars="200"/>
              <w:jc w:val="left"/>
              <w:rPr>
                <w:rFonts w:hAnsi="宋体"/>
                <w:bCs/>
                <w:sz w:val="24"/>
              </w:rPr>
            </w:pPr>
            <w:r>
              <w:rPr>
                <w:rFonts w:hAnsi="宋体"/>
                <w:bCs/>
                <w:sz w:val="24"/>
              </w:rPr>
              <w:t>本项目卫生防护距离的计算方法采用《制定地方大气污染物排放标准的技术方法（GB/T1203-91）》所指定的方法，无组织排放面源的卫生防护距离可由下式计算：</w:t>
            </w:r>
          </w:p>
          <w:p>
            <w:pPr>
              <w:autoSpaceDE w:val="0"/>
              <w:autoSpaceDN w:val="0"/>
              <w:adjustRightInd w:val="0"/>
              <w:spacing w:line="360" w:lineRule="auto"/>
              <w:ind w:right="-23" w:firstLine="480" w:firstLineChars="200"/>
              <w:jc w:val="center"/>
              <w:rPr>
                <w:rFonts w:hAnsi="宋体"/>
                <w:bCs/>
                <w:sz w:val="24"/>
              </w:rPr>
            </w:pPr>
            <w:r>
              <w:rPr>
                <w:rFonts w:hint="eastAsia" w:hAnsi="宋体"/>
                <w:bCs/>
                <w:sz w:val="24"/>
              </w:rPr>
              <w:t>Q</w:t>
            </w:r>
            <w:r>
              <w:rPr>
                <w:rFonts w:hint="eastAsia" w:hAnsi="宋体"/>
                <w:bCs/>
                <w:sz w:val="24"/>
                <w:vertAlign w:val="subscript"/>
              </w:rPr>
              <w:t>C</w:t>
            </w:r>
            <w:r>
              <w:rPr>
                <w:rFonts w:hint="eastAsia" w:hAnsi="宋体"/>
                <w:bCs/>
                <w:sz w:val="24"/>
              </w:rPr>
              <w:t>/C</w:t>
            </w:r>
            <w:r>
              <w:rPr>
                <w:rFonts w:hint="eastAsia" w:hAnsi="宋体"/>
                <w:bCs/>
                <w:sz w:val="24"/>
                <w:vertAlign w:val="subscript"/>
              </w:rPr>
              <w:t>O</w:t>
            </w:r>
            <w:r>
              <w:rPr>
                <w:rFonts w:hint="eastAsia" w:hAnsi="宋体"/>
                <w:bCs/>
                <w:sz w:val="24"/>
              </w:rPr>
              <w:t>=1/A[BL</w:t>
            </w:r>
            <w:r>
              <w:rPr>
                <w:rFonts w:hint="eastAsia" w:hAnsi="宋体"/>
                <w:bCs/>
                <w:sz w:val="24"/>
                <w:vertAlign w:val="superscript"/>
              </w:rPr>
              <w:t>C</w:t>
            </w:r>
            <w:r>
              <w:rPr>
                <w:rFonts w:hint="eastAsia" w:hAnsi="宋体"/>
                <w:bCs/>
                <w:sz w:val="24"/>
              </w:rPr>
              <w:t>+0.25R</w:t>
            </w:r>
            <w:r>
              <w:rPr>
                <w:rFonts w:hint="eastAsia" w:hAnsi="宋体"/>
                <w:bCs/>
                <w:sz w:val="24"/>
                <w:vertAlign w:val="superscript"/>
              </w:rPr>
              <w:t>2</w:t>
            </w:r>
            <w:r>
              <w:rPr>
                <w:rFonts w:hint="eastAsia" w:hAnsi="宋体"/>
                <w:bCs/>
                <w:sz w:val="24"/>
              </w:rPr>
              <w:t>]</w:t>
            </w:r>
            <w:r>
              <w:rPr>
                <w:rFonts w:hint="eastAsia" w:hAnsi="宋体"/>
                <w:bCs/>
                <w:sz w:val="24"/>
                <w:vertAlign w:val="superscript"/>
              </w:rPr>
              <w:t>1/2</w:t>
            </w:r>
            <w:r>
              <w:rPr>
                <w:rFonts w:hint="eastAsia" w:hAnsi="宋体"/>
                <w:bCs/>
                <w:sz w:val="24"/>
              </w:rPr>
              <w:t>L</w:t>
            </w:r>
            <w:r>
              <w:rPr>
                <w:rFonts w:hint="eastAsia" w:hAnsi="宋体"/>
                <w:bCs/>
                <w:sz w:val="24"/>
                <w:vertAlign w:val="superscript"/>
              </w:rPr>
              <w:t>D</w:t>
            </w:r>
          </w:p>
          <w:p>
            <w:pPr>
              <w:autoSpaceDE w:val="0"/>
              <w:autoSpaceDN w:val="0"/>
              <w:adjustRightInd w:val="0"/>
              <w:spacing w:line="360" w:lineRule="auto"/>
              <w:ind w:right="-23" w:firstLine="480" w:firstLineChars="200"/>
              <w:jc w:val="left"/>
              <w:rPr>
                <w:rFonts w:hAnsi="宋体"/>
                <w:sz w:val="24"/>
              </w:rPr>
            </w:pPr>
            <w:r>
              <w:rPr>
                <w:rFonts w:hint="eastAsia" w:hAnsi="宋体"/>
                <w:sz w:val="24"/>
              </w:rPr>
              <w:t>式中：L—工业企业所需卫生防护距离，m；</w:t>
            </w:r>
          </w:p>
          <w:p>
            <w:pPr>
              <w:autoSpaceDE w:val="0"/>
              <w:autoSpaceDN w:val="0"/>
              <w:adjustRightInd w:val="0"/>
              <w:spacing w:line="360" w:lineRule="auto"/>
              <w:ind w:right="-23" w:firstLine="480" w:firstLineChars="200"/>
              <w:jc w:val="left"/>
              <w:rPr>
                <w:rFonts w:hAnsi="宋体"/>
                <w:sz w:val="24"/>
              </w:rPr>
            </w:pPr>
            <w:r>
              <w:rPr>
                <w:rFonts w:hint="eastAsia" w:hAnsi="宋体"/>
                <w:sz w:val="24"/>
              </w:rPr>
              <w:t xml:space="preserve">      Q</w:t>
            </w:r>
            <w:r>
              <w:rPr>
                <w:rFonts w:hint="eastAsia" w:hAnsi="宋体"/>
                <w:sz w:val="24"/>
                <w:vertAlign w:val="subscript"/>
              </w:rPr>
              <w:t>C</w:t>
            </w:r>
            <w:r>
              <w:rPr>
                <w:rFonts w:hint="eastAsia" w:hAnsi="宋体"/>
                <w:sz w:val="24"/>
              </w:rPr>
              <w:t>—工业企业有害气体无组织排放量可以达到的控制水平，kg/h；</w:t>
            </w:r>
          </w:p>
          <w:p>
            <w:pPr>
              <w:autoSpaceDE w:val="0"/>
              <w:autoSpaceDN w:val="0"/>
              <w:adjustRightInd w:val="0"/>
              <w:spacing w:line="360" w:lineRule="auto"/>
              <w:ind w:right="-23" w:firstLine="480" w:firstLineChars="200"/>
              <w:jc w:val="left"/>
              <w:rPr>
                <w:rFonts w:hAnsi="宋体"/>
                <w:sz w:val="24"/>
              </w:rPr>
            </w:pPr>
            <w:r>
              <w:rPr>
                <w:rFonts w:hint="eastAsia" w:hAnsi="宋体"/>
                <w:sz w:val="24"/>
              </w:rPr>
              <w:t xml:space="preserve">      C</w:t>
            </w:r>
            <w:r>
              <w:rPr>
                <w:rFonts w:hint="eastAsia" w:hAnsi="宋体"/>
                <w:sz w:val="24"/>
                <w:vertAlign w:val="subscript"/>
              </w:rPr>
              <w:t>O</w:t>
            </w:r>
            <w:r>
              <w:rPr>
                <w:rFonts w:hint="eastAsia" w:hAnsi="宋体"/>
                <w:sz w:val="24"/>
              </w:rPr>
              <w:t>—居住区有害气体最高容许浓度，mg/m</w:t>
            </w:r>
            <w:r>
              <w:rPr>
                <w:rFonts w:hint="eastAsia" w:hAnsi="宋体"/>
                <w:sz w:val="24"/>
                <w:vertAlign w:val="superscript"/>
              </w:rPr>
              <w:t>3</w:t>
            </w:r>
            <w:r>
              <w:rPr>
                <w:rFonts w:hint="eastAsia" w:hAnsi="宋体"/>
                <w:sz w:val="24"/>
              </w:rPr>
              <w:t>；</w:t>
            </w:r>
          </w:p>
          <w:p>
            <w:pPr>
              <w:autoSpaceDE w:val="0"/>
              <w:autoSpaceDN w:val="0"/>
              <w:adjustRightInd w:val="0"/>
              <w:spacing w:line="360" w:lineRule="auto"/>
              <w:ind w:right="-23" w:firstLine="480" w:firstLineChars="200"/>
              <w:jc w:val="left"/>
              <w:rPr>
                <w:rFonts w:hAnsi="宋体"/>
                <w:sz w:val="24"/>
              </w:rPr>
            </w:pPr>
            <w:r>
              <w:rPr>
                <w:rFonts w:hint="eastAsia" w:hAnsi="宋体"/>
                <w:sz w:val="24"/>
              </w:rPr>
              <w:t xml:space="preserve">      R—有害气体无组织排放所产生单元的等效半径，m；</w:t>
            </w:r>
          </w:p>
          <w:p>
            <w:pPr>
              <w:autoSpaceDE w:val="0"/>
              <w:autoSpaceDN w:val="0"/>
              <w:adjustRightInd w:val="0"/>
              <w:spacing w:line="360" w:lineRule="auto"/>
              <w:ind w:right="-23" w:firstLine="480" w:firstLineChars="200"/>
              <w:jc w:val="left"/>
              <w:rPr>
                <w:rFonts w:hAnsi="宋体"/>
                <w:sz w:val="24"/>
              </w:rPr>
            </w:pPr>
            <w:r>
              <w:rPr>
                <w:rFonts w:hint="eastAsia" w:hAnsi="宋体"/>
                <w:sz w:val="24"/>
              </w:rPr>
              <w:t xml:space="preserve">      A、B、C、D—卫生防护距离计算系数。</w:t>
            </w:r>
          </w:p>
          <w:p>
            <w:pPr>
              <w:autoSpaceDE w:val="0"/>
              <w:autoSpaceDN w:val="0"/>
              <w:adjustRightInd w:val="0"/>
              <w:spacing w:line="360" w:lineRule="auto"/>
              <w:ind w:right="-23" w:firstLine="422" w:firstLineChars="200"/>
              <w:jc w:val="center"/>
              <w:rPr>
                <w:rFonts w:hAnsi="宋体"/>
                <w:bCs/>
                <w:szCs w:val="21"/>
              </w:rPr>
            </w:pPr>
            <w:r>
              <w:rPr>
                <w:rFonts w:hAnsi="宋体"/>
                <w:b/>
                <w:bCs/>
                <w:szCs w:val="21"/>
              </w:rPr>
              <w:t>表</w:t>
            </w:r>
            <w:r>
              <w:rPr>
                <w:rFonts w:hint="eastAsia"/>
                <w:b/>
                <w:bCs/>
                <w:szCs w:val="21"/>
              </w:rPr>
              <w:t>57</w:t>
            </w:r>
            <w:r>
              <w:rPr>
                <w:b/>
                <w:bCs/>
                <w:szCs w:val="21"/>
              </w:rPr>
              <w:t xml:space="preserve">     </w:t>
            </w:r>
            <w:r>
              <w:rPr>
                <w:rFonts w:hAnsi="宋体"/>
                <w:b/>
                <w:bCs/>
                <w:szCs w:val="21"/>
              </w:rPr>
              <w:t>卫生防护距离计算系数</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1"/>
              <w:gridCol w:w="1274"/>
              <w:gridCol w:w="789"/>
              <w:gridCol w:w="787"/>
              <w:gridCol w:w="789"/>
              <w:gridCol w:w="787"/>
              <w:gridCol w:w="789"/>
              <w:gridCol w:w="790"/>
              <w:gridCol w:w="787"/>
              <w:gridCol w:w="789"/>
              <w:gridCol w:w="7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31" w:type="dxa"/>
                  <w:vMerge w:val="restart"/>
                  <w:vAlign w:val="center"/>
                </w:tcPr>
                <w:p>
                  <w:pPr>
                    <w:adjustRightInd w:val="0"/>
                    <w:snapToGrid w:val="0"/>
                    <w:jc w:val="center"/>
                    <w:rPr>
                      <w:b/>
                      <w:szCs w:val="21"/>
                    </w:rPr>
                  </w:pPr>
                  <w:r>
                    <w:rPr>
                      <w:rFonts w:hAnsi="宋体"/>
                      <w:b/>
                      <w:szCs w:val="21"/>
                    </w:rPr>
                    <w:t>计算系数</w:t>
                  </w:r>
                </w:p>
              </w:tc>
              <w:tc>
                <w:tcPr>
                  <w:tcW w:w="1274" w:type="dxa"/>
                  <w:vMerge w:val="restart"/>
                  <w:vAlign w:val="center"/>
                </w:tcPr>
                <w:p>
                  <w:pPr>
                    <w:adjustRightInd w:val="0"/>
                    <w:snapToGrid w:val="0"/>
                    <w:jc w:val="center"/>
                    <w:rPr>
                      <w:b/>
                      <w:szCs w:val="21"/>
                    </w:rPr>
                  </w:pPr>
                  <w:r>
                    <w:rPr>
                      <w:rFonts w:hAnsi="宋体"/>
                      <w:b/>
                      <w:szCs w:val="21"/>
                    </w:rPr>
                    <w:t>工业企业所在地区近五年平均风速</w:t>
                  </w:r>
                  <w:r>
                    <w:rPr>
                      <w:b/>
                      <w:szCs w:val="21"/>
                    </w:rPr>
                    <w:t>m/s</w:t>
                  </w:r>
                </w:p>
              </w:tc>
              <w:tc>
                <w:tcPr>
                  <w:tcW w:w="7096" w:type="dxa"/>
                  <w:gridSpan w:val="9"/>
                  <w:vAlign w:val="center"/>
                </w:tcPr>
                <w:p>
                  <w:pPr>
                    <w:adjustRightInd w:val="0"/>
                    <w:snapToGrid w:val="0"/>
                    <w:jc w:val="center"/>
                    <w:rPr>
                      <w:b/>
                      <w:szCs w:val="21"/>
                    </w:rPr>
                  </w:pPr>
                  <w:r>
                    <w:rPr>
                      <w:rFonts w:hAnsi="宋体"/>
                      <w:b/>
                      <w:szCs w:val="21"/>
                    </w:rPr>
                    <w:t>卫生防护距离</w:t>
                  </w:r>
                  <w:r>
                    <w:rPr>
                      <w:b/>
                      <w:szCs w:val="21"/>
                    </w:rPr>
                    <w:t>L</w:t>
                  </w:r>
                  <w:r>
                    <w:rPr>
                      <w:rFonts w:hAnsi="宋体"/>
                      <w:b/>
                      <w:szCs w:val="21"/>
                    </w:rPr>
                    <w:t>，</w:t>
                  </w:r>
                  <w:r>
                    <w:rPr>
                      <w:b/>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31" w:type="dxa"/>
                  <w:vMerge w:val="continue"/>
                  <w:vAlign w:val="center"/>
                </w:tcPr>
                <w:p>
                  <w:pPr>
                    <w:rPr>
                      <w:szCs w:val="21"/>
                    </w:rPr>
                  </w:pPr>
                </w:p>
              </w:tc>
              <w:tc>
                <w:tcPr>
                  <w:tcW w:w="1274" w:type="dxa"/>
                  <w:vMerge w:val="continue"/>
                  <w:vAlign w:val="center"/>
                </w:tcPr>
                <w:p>
                  <w:pPr>
                    <w:rPr>
                      <w:szCs w:val="21"/>
                    </w:rPr>
                  </w:pPr>
                </w:p>
              </w:tc>
              <w:tc>
                <w:tcPr>
                  <w:tcW w:w="2365" w:type="dxa"/>
                  <w:gridSpan w:val="3"/>
                  <w:vAlign w:val="center"/>
                </w:tcPr>
                <w:p>
                  <w:pPr>
                    <w:adjustRightInd w:val="0"/>
                    <w:snapToGrid w:val="0"/>
                    <w:jc w:val="center"/>
                    <w:rPr>
                      <w:szCs w:val="21"/>
                    </w:rPr>
                  </w:pPr>
                  <w:r>
                    <w:rPr>
                      <w:szCs w:val="21"/>
                    </w:rPr>
                    <w:t>L≤1000</w:t>
                  </w:r>
                </w:p>
              </w:tc>
              <w:tc>
                <w:tcPr>
                  <w:tcW w:w="2366" w:type="dxa"/>
                  <w:gridSpan w:val="3"/>
                  <w:vAlign w:val="center"/>
                </w:tcPr>
                <w:p>
                  <w:pPr>
                    <w:adjustRightInd w:val="0"/>
                    <w:snapToGrid w:val="0"/>
                    <w:jc w:val="center"/>
                    <w:rPr>
                      <w:szCs w:val="21"/>
                    </w:rPr>
                  </w:pPr>
                  <w:r>
                    <w:rPr>
                      <w:szCs w:val="21"/>
                    </w:rPr>
                    <w:t>1000</w:t>
                  </w:r>
                  <w:r>
                    <w:rPr>
                      <w:rFonts w:hAnsi="宋体"/>
                      <w:szCs w:val="21"/>
                    </w:rPr>
                    <w:t>＜</w:t>
                  </w:r>
                  <w:r>
                    <w:rPr>
                      <w:szCs w:val="21"/>
                    </w:rPr>
                    <w:t>L≤2000</w:t>
                  </w:r>
                </w:p>
              </w:tc>
              <w:tc>
                <w:tcPr>
                  <w:tcW w:w="2365" w:type="dxa"/>
                  <w:gridSpan w:val="3"/>
                  <w:vAlign w:val="center"/>
                </w:tcPr>
                <w:p>
                  <w:pPr>
                    <w:adjustRightInd w:val="0"/>
                    <w:snapToGrid w:val="0"/>
                    <w:jc w:val="center"/>
                    <w:rPr>
                      <w:szCs w:val="21"/>
                    </w:rPr>
                  </w:pPr>
                  <w:r>
                    <w:rPr>
                      <w:szCs w:val="21"/>
                    </w:rPr>
                    <w:t>L</w:t>
                  </w:r>
                  <w:r>
                    <w:rPr>
                      <w:rFonts w:hAnsi="宋体"/>
                      <w:szCs w:val="21"/>
                    </w:rPr>
                    <w:t>＞</w:t>
                  </w:r>
                  <w:r>
                    <w:rPr>
                      <w:szCs w:val="21"/>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31" w:type="dxa"/>
                  <w:vMerge w:val="continue"/>
                  <w:vAlign w:val="center"/>
                </w:tcPr>
                <w:p>
                  <w:pPr>
                    <w:rPr>
                      <w:szCs w:val="21"/>
                    </w:rPr>
                  </w:pPr>
                </w:p>
              </w:tc>
              <w:tc>
                <w:tcPr>
                  <w:tcW w:w="1274" w:type="dxa"/>
                  <w:vMerge w:val="continue"/>
                  <w:vAlign w:val="center"/>
                </w:tcPr>
                <w:p>
                  <w:pPr>
                    <w:rPr>
                      <w:szCs w:val="21"/>
                    </w:rPr>
                  </w:pPr>
                </w:p>
              </w:tc>
              <w:tc>
                <w:tcPr>
                  <w:tcW w:w="7096" w:type="dxa"/>
                  <w:gridSpan w:val="9"/>
                  <w:vAlign w:val="center"/>
                </w:tcPr>
                <w:p>
                  <w:pPr>
                    <w:adjustRightInd w:val="0"/>
                    <w:snapToGrid w:val="0"/>
                    <w:jc w:val="center"/>
                    <w:rPr>
                      <w:szCs w:val="21"/>
                    </w:rPr>
                  </w:pPr>
                  <w:r>
                    <w:rPr>
                      <w:rFonts w:hAnsi="宋体"/>
                      <w:szCs w:val="21"/>
                    </w:rPr>
                    <w:t>工业企业大气污染源构成类别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31" w:type="dxa"/>
                  <w:vMerge w:val="continue"/>
                  <w:vAlign w:val="center"/>
                </w:tcPr>
                <w:p>
                  <w:pPr>
                    <w:rPr>
                      <w:szCs w:val="21"/>
                    </w:rPr>
                  </w:pPr>
                </w:p>
              </w:tc>
              <w:tc>
                <w:tcPr>
                  <w:tcW w:w="1274" w:type="dxa"/>
                  <w:vMerge w:val="continue"/>
                  <w:vAlign w:val="center"/>
                </w:tcPr>
                <w:p>
                  <w:pPr>
                    <w:rPr>
                      <w:szCs w:val="21"/>
                    </w:rPr>
                  </w:pPr>
                </w:p>
              </w:tc>
              <w:tc>
                <w:tcPr>
                  <w:tcW w:w="789" w:type="dxa"/>
                  <w:vAlign w:val="center"/>
                </w:tcPr>
                <w:p>
                  <w:pPr>
                    <w:adjustRightInd w:val="0"/>
                    <w:snapToGrid w:val="0"/>
                    <w:jc w:val="center"/>
                    <w:rPr>
                      <w:szCs w:val="21"/>
                    </w:rPr>
                  </w:pPr>
                  <w:r>
                    <w:rPr>
                      <w:rFonts w:ascii="宋体" w:hAnsi="宋体"/>
                      <w:szCs w:val="21"/>
                    </w:rPr>
                    <w:t>Ⅰ</w:t>
                  </w:r>
                </w:p>
              </w:tc>
              <w:tc>
                <w:tcPr>
                  <w:tcW w:w="787" w:type="dxa"/>
                  <w:vAlign w:val="center"/>
                </w:tcPr>
                <w:p>
                  <w:pPr>
                    <w:adjustRightInd w:val="0"/>
                    <w:snapToGrid w:val="0"/>
                    <w:jc w:val="center"/>
                    <w:rPr>
                      <w:szCs w:val="21"/>
                    </w:rPr>
                  </w:pPr>
                  <w:r>
                    <w:rPr>
                      <w:rFonts w:ascii="宋体" w:hAnsi="宋体"/>
                      <w:szCs w:val="21"/>
                    </w:rPr>
                    <w:t>Ⅱ</w:t>
                  </w:r>
                </w:p>
              </w:tc>
              <w:tc>
                <w:tcPr>
                  <w:tcW w:w="789" w:type="dxa"/>
                  <w:vAlign w:val="center"/>
                </w:tcPr>
                <w:p>
                  <w:pPr>
                    <w:adjustRightInd w:val="0"/>
                    <w:snapToGrid w:val="0"/>
                    <w:jc w:val="center"/>
                    <w:rPr>
                      <w:szCs w:val="21"/>
                    </w:rPr>
                  </w:pPr>
                  <w:r>
                    <w:rPr>
                      <w:rFonts w:ascii="宋体" w:hAnsi="宋体"/>
                      <w:szCs w:val="21"/>
                    </w:rPr>
                    <w:t>Ⅲ</w:t>
                  </w:r>
                </w:p>
              </w:tc>
              <w:tc>
                <w:tcPr>
                  <w:tcW w:w="787" w:type="dxa"/>
                  <w:vAlign w:val="center"/>
                </w:tcPr>
                <w:p>
                  <w:pPr>
                    <w:adjustRightInd w:val="0"/>
                    <w:snapToGrid w:val="0"/>
                    <w:jc w:val="center"/>
                    <w:rPr>
                      <w:szCs w:val="21"/>
                    </w:rPr>
                  </w:pPr>
                  <w:r>
                    <w:rPr>
                      <w:rFonts w:ascii="宋体" w:hAnsi="宋体"/>
                      <w:szCs w:val="21"/>
                    </w:rPr>
                    <w:t>Ⅰ</w:t>
                  </w:r>
                </w:p>
              </w:tc>
              <w:tc>
                <w:tcPr>
                  <w:tcW w:w="789" w:type="dxa"/>
                  <w:vAlign w:val="center"/>
                </w:tcPr>
                <w:p>
                  <w:pPr>
                    <w:adjustRightInd w:val="0"/>
                    <w:snapToGrid w:val="0"/>
                    <w:jc w:val="center"/>
                    <w:rPr>
                      <w:szCs w:val="21"/>
                    </w:rPr>
                  </w:pPr>
                  <w:r>
                    <w:rPr>
                      <w:rFonts w:ascii="宋体" w:hAnsi="宋体"/>
                      <w:szCs w:val="21"/>
                    </w:rPr>
                    <w:t>Ⅱ</w:t>
                  </w:r>
                </w:p>
              </w:tc>
              <w:tc>
                <w:tcPr>
                  <w:tcW w:w="790" w:type="dxa"/>
                  <w:vAlign w:val="center"/>
                </w:tcPr>
                <w:p>
                  <w:pPr>
                    <w:adjustRightInd w:val="0"/>
                    <w:snapToGrid w:val="0"/>
                    <w:jc w:val="center"/>
                    <w:rPr>
                      <w:szCs w:val="21"/>
                    </w:rPr>
                  </w:pPr>
                  <w:r>
                    <w:rPr>
                      <w:rFonts w:ascii="宋体" w:hAnsi="宋体"/>
                      <w:szCs w:val="21"/>
                    </w:rPr>
                    <w:t>Ⅲ</w:t>
                  </w:r>
                </w:p>
              </w:tc>
              <w:tc>
                <w:tcPr>
                  <w:tcW w:w="787" w:type="dxa"/>
                  <w:vAlign w:val="center"/>
                </w:tcPr>
                <w:p>
                  <w:pPr>
                    <w:adjustRightInd w:val="0"/>
                    <w:snapToGrid w:val="0"/>
                    <w:jc w:val="center"/>
                    <w:rPr>
                      <w:szCs w:val="21"/>
                    </w:rPr>
                  </w:pPr>
                  <w:r>
                    <w:rPr>
                      <w:rFonts w:ascii="宋体" w:hAnsi="宋体"/>
                      <w:szCs w:val="21"/>
                    </w:rPr>
                    <w:t>Ⅰ</w:t>
                  </w:r>
                </w:p>
              </w:tc>
              <w:tc>
                <w:tcPr>
                  <w:tcW w:w="789" w:type="dxa"/>
                  <w:vAlign w:val="center"/>
                </w:tcPr>
                <w:p>
                  <w:pPr>
                    <w:adjustRightInd w:val="0"/>
                    <w:snapToGrid w:val="0"/>
                    <w:jc w:val="center"/>
                    <w:rPr>
                      <w:szCs w:val="21"/>
                    </w:rPr>
                  </w:pPr>
                  <w:r>
                    <w:rPr>
                      <w:rFonts w:ascii="宋体" w:hAnsi="宋体"/>
                      <w:szCs w:val="21"/>
                    </w:rPr>
                    <w:t>Ⅱ</w:t>
                  </w:r>
                </w:p>
              </w:tc>
              <w:tc>
                <w:tcPr>
                  <w:tcW w:w="789" w:type="dxa"/>
                  <w:vAlign w:val="center"/>
                </w:tcPr>
                <w:p>
                  <w:pPr>
                    <w:adjustRightInd w:val="0"/>
                    <w:snapToGrid w:val="0"/>
                    <w:jc w:val="center"/>
                    <w:rPr>
                      <w:szCs w:val="21"/>
                    </w:rPr>
                  </w:pPr>
                  <w:r>
                    <w:rPr>
                      <w:rFonts w:ascii="宋体" w:hAnsi="宋体"/>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31" w:type="dxa"/>
                  <w:vMerge w:val="restart"/>
                  <w:vAlign w:val="center"/>
                </w:tcPr>
                <w:p>
                  <w:pPr>
                    <w:adjustRightInd w:val="0"/>
                    <w:snapToGrid w:val="0"/>
                    <w:jc w:val="center"/>
                    <w:rPr>
                      <w:szCs w:val="21"/>
                    </w:rPr>
                  </w:pPr>
                  <w:r>
                    <w:rPr>
                      <w:szCs w:val="21"/>
                    </w:rPr>
                    <w:t>A</w:t>
                  </w:r>
                </w:p>
              </w:tc>
              <w:tc>
                <w:tcPr>
                  <w:tcW w:w="1274" w:type="dxa"/>
                  <w:vAlign w:val="center"/>
                </w:tcPr>
                <w:p>
                  <w:pPr>
                    <w:adjustRightInd w:val="0"/>
                    <w:snapToGrid w:val="0"/>
                    <w:jc w:val="center"/>
                    <w:rPr>
                      <w:szCs w:val="21"/>
                    </w:rPr>
                  </w:pPr>
                  <w:r>
                    <w:rPr>
                      <w:szCs w:val="21"/>
                    </w:rPr>
                    <w:t>&lt;2</w:t>
                  </w:r>
                </w:p>
              </w:tc>
              <w:tc>
                <w:tcPr>
                  <w:tcW w:w="789" w:type="dxa"/>
                  <w:vAlign w:val="center"/>
                </w:tcPr>
                <w:p>
                  <w:pPr>
                    <w:adjustRightInd w:val="0"/>
                    <w:snapToGrid w:val="0"/>
                    <w:jc w:val="center"/>
                    <w:rPr>
                      <w:szCs w:val="21"/>
                    </w:rPr>
                  </w:pPr>
                  <w:r>
                    <w:rPr>
                      <w:szCs w:val="21"/>
                    </w:rPr>
                    <w:t>400</w:t>
                  </w:r>
                </w:p>
              </w:tc>
              <w:tc>
                <w:tcPr>
                  <w:tcW w:w="787" w:type="dxa"/>
                  <w:vAlign w:val="center"/>
                </w:tcPr>
                <w:p>
                  <w:pPr>
                    <w:adjustRightInd w:val="0"/>
                    <w:snapToGrid w:val="0"/>
                    <w:jc w:val="center"/>
                    <w:rPr>
                      <w:szCs w:val="21"/>
                    </w:rPr>
                  </w:pPr>
                  <w:r>
                    <w:rPr>
                      <w:szCs w:val="21"/>
                    </w:rPr>
                    <w:t>400</w:t>
                  </w:r>
                </w:p>
              </w:tc>
              <w:tc>
                <w:tcPr>
                  <w:tcW w:w="789" w:type="dxa"/>
                  <w:vAlign w:val="center"/>
                </w:tcPr>
                <w:p>
                  <w:pPr>
                    <w:adjustRightInd w:val="0"/>
                    <w:snapToGrid w:val="0"/>
                    <w:jc w:val="center"/>
                    <w:rPr>
                      <w:szCs w:val="21"/>
                    </w:rPr>
                  </w:pPr>
                  <w:r>
                    <w:rPr>
                      <w:szCs w:val="21"/>
                    </w:rPr>
                    <w:t>400</w:t>
                  </w:r>
                </w:p>
              </w:tc>
              <w:tc>
                <w:tcPr>
                  <w:tcW w:w="787" w:type="dxa"/>
                  <w:vAlign w:val="center"/>
                </w:tcPr>
                <w:p>
                  <w:pPr>
                    <w:adjustRightInd w:val="0"/>
                    <w:snapToGrid w:val="0"/>
                    <w:jc w:val="center"/>
                    <w:rPr>
                      <w:szCs w:val="21"/>
                    </w:rPr>
                  </w:pPr>
                  <w:r>
                    <w:rPr>
                      <w:szCs w:val="21"/>
                    </w:rPr>
                    <w:t>400</w:t>
                  </w:r>
                </w:p>
              </w:tc>
              <w:tc>
                <w:tcPr>
                  <w:tcW w:w="789" w:type="dxa"/>
                  <w:vAlign w:val="center"/>
                </w:tcPr>
                <w:p>
                  <w:pPr>
                    <w:adjustRightInd w:val="0"/>
                    <w:snapToGrid w:val="0"/>
                    <w:jc w:val="center"/>
                    <w:rPr>
                      <w:szCs w:val="21"/>
                    </w:rPr>
                  </w:pPr>
                  <w:r>
                    <w:rPr>
                      <w:szCs w:val="21"/>
                    </w:rPr>
                    <w:t>400</w:t>
                  </w:r>
                </w:p>
              </w:tc>
              <w:tc>
                <w:tcPr>
                  <w:tcW w:w="790" w:type="dxa"/>
                  <w:vAlign w:val="center"/>
                </w:tcPr>
                <w:p>
                  <w:pPr>
                    <w:adjustRightInd w:val="0"/>
                    <w:snapToGrid w:val="0"/>
                    <w:jc w:val="center"/>
                    <w:rPr>
                      <w:szCs w:val="21"/>
                    </w:rPr>
                  </w:pPr>
                  <w:r>
                    <w:rPr>
                      <w:szCs w:val="21"/>
                    </w:rPr>
                    <w:t>400</w:t>
                  </w:r>
                </w:p>
              </w:tc>
              <w:tc>
                <w:tcPr>
                  <w:tcW w:w="787" w:type="dxa"/>
                  <w:vAlign w:val="center"/>
                </w:tcPr>
                <w:p>
                  <w:pPr>
                    <w:adjustRightInd w:val="0"/>
                    <w:snapToGrid w:val="0"/>
                    <w:jc w:val="center"/>
                    <w:rPr>
                      <w:szCs w:val="21"/>
                    </w:rPr>
                  </w:pPr>
                  <w:r>
                    <w:rPr>
                      <w:szCs w:val="21"/>
                    </w:rPr>
                    <w:t>80</w:t>
                  </w:r>
                </w:p>
              </w:tc>
              <w:tc>
                <w:tcPr>
                  <w:tcW w:w="789" w:type="dxa"/>
                  <w:vAlign w:val="center"/>
                </w:tcPr>
                <w:p>
                  <w:pPr>
                    <w:adjustRightInd w:val="0"/>
                    <w:snapToGrid w:val="0"/>
                    <w:jc w:val="center"/>
                    <w:rPr>
                      <w:szCs w:val="21"/>
                    </w:rPr>
                  </w:pPr>
                  <w:r>
                    <w:rPr>
                      <w:szCs w:val="21"/>
                    </w:rPr>
                    <w:t>80</w:t>
                  </w:r>
                </w:p>
              </w:tc>
              <w:tc>
                <w:tcPr>
                  <w:tcW w:w="789" w:type="dxa"/>
                  <w:vAlign w:val="center"/>
                </w:tcPr>
                <w:p>
                  <w:pPr>
                    <w:adjustRightInd w:val="0"/>
                    <w:snapToGrid w:val="0"/>
                    <w:jc w:val="center"/>
                    <w:rPr>
                      <w:szCs w:val="21"/>
                    </w:rPr>
                  </w:pPr>
                  <w:r>
                    <w:rPr>
                      <w:szCs w:val="21"/>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31" w:type="dxa"/>
                  <w:vMerge w:val="continue"/>
                  <w:vAlign w:val="center"/>
                </w:tcPr>
                <w:p>
                  <w:pPr>
                    <w:rPr>
                      <w:szCs w:val="21"/>
                    </w:rPr>
                  </w:pPr>
                </w:p>
              </w:tc>
              <w:tc>
                <w:tcPr>
                  <w:tcW w:w="1274" w:type="dxa"/>
                  <w:vAlign w:val="center"/>
                </w:tcPr>
                <w:p>
                  <w:pPr>
                    <w:adjustRightInd w:val="0"/>
                    <w:snapToGrid w:val="0"/>
                    <w:jc w:val="center"/>
                    <w:rPr>
                      <w:szCs w:val="21"/>
                    </w:rPr>
                  </w:pPr>
                  <w:r>
                    <w:rPr>
                      <w:szCs w:val="21"/>
                    </w:rPr>
                    <w:t>2~4</w:t>
                  </w:r>
                </w:p>
              </w:tc>
              <w:tc>
                <w:tcPr>
                  <w:tcW w:w="789" w:type="dxa"/>
                  <w:vAlign w:val="center"/>
                </w:tcPr>
                <w:p>
                  <w:pPr>
                    <w:adjustRightInd w:val="0"/>
                    <w:snapToGrid w:val="0"/>
                    <w:jc w:val="center"/>
                    <w:rPr>
                      <w:szCs w:val="21"/>
                    </w:rPr>
                  </w:pPr>
                  <w:r>
                    <w:rPr>
                      <w:szCs w:val="21"/>
                    </w:rPr>
                    <w:t>700</w:t>
                  </w:r>
                </w:p>
              </w:tc>
              <w:tc>
                <w:tcPr>
                  <w:tcW w:w="787" w:type="dxa"/>
                  <w:vAlign w:val="center"/>
                </w:tcPr>
                <w:p>
                  <w:pPr>
                    <w:adjustRightInd w:val="0"/>
                    <w:snapToGrid w:val="0"/>
                    <w:jc w:val="center"/>
                    <w:rPr>
                      <w:szCs w:val="21"/>
                    </w:rPr>
                  </w:pPr>
                  <w:r>
                    <w:rPr>
                      <w:szCs w:val="21"/>
                    </w:rPr>
                    <w:t>470</w:t>
                  </w:r>
                </w:p>
              </w:tc>
              <w:tc>
                <w:tcPr>
                  <w:tcW w:w="789" w:type="dxa"/>
                  <w:vAlign w:val="center"/>
                </w:tcPr>
                <w:p>
                  <w:pPr>
                    <w:adjustRightInd w:val="0"/>
                    <w:snapToGrid w:val="0"/>
                    <w:jc w:val="center"/>
                    <w:rPr>
                      <w:szCs w:val="21"/>
                    </w:rPr>
                  </w:pPr>
                  <w:r>
                    <w:rPr>
                      <w:szCs w:val="21"/>
                    </w:rPr>
                    <w:t>350</w:t>
                  </w:r>
                </w:p>
              </w:tc>
              <w:tc>
                <w:tcPr>
                  <w:tcW w:w="787" w:type="dxa"/>
                  <w:vAlign w:val="center"/>
                </w:tcPr>
                <w:p>
                  <w:pPr>
                    <w:adjustRightInd w:val="0"/>
                    <w:snapToGrid w:val="0"/>
                    <w:jc w:val="center"/>
                    <w:rPr>
                      <w:szCs w:val="21"/>
                    </w:rPr>
                  </w:pPr>
                  <w:r>
                    <w:rPr>
                      <w:szCs w:val="21"/>
                    </w:rPr>
                    <w:t>700</w:t>
                  </w:r>
                </w:p>
              </w:tc>
              <w:tc>
                <w:tcPr>
                  <w:tcW w:w="789" w:type="dxa"/>
                  <w:vAlign w:val="center"/>
                </w:tcPr>
                <w:p>
                  <w:pPr>
                    <w:adjustRightInd w:val="0"/>
                    <w:snapToGrid w:val="0"/>
                    <w:jc w:val="center"/>
                    <w:rPr>
                      <w:szCs w:val="21"/>
                    </w:rPr>
                  </w:pPr>
                  <w:r>
                    <w:rPr>
                      <w:szCs w:val="21"/>
                    </w:rPr>
                    <w:t>470</w:t>
                  </w:r>
                </w:p>
              </w:tc>
              <w:tc>
                <w:tcPr>
                  <w:tcW w:w="790" w:type="dxa"/>
                  <w:vAlign w:val="center"/>
                </w:tcPr>
                <w:p>
                  <w:pPr>
                    <w:adjustRightInd w:val="0"/>
                    <w:snapToGrid w:val="0"/>
                    <w:jc w:val="center"/>
                    <w:rPr>
                      <w:szCs w:val="21"/>
                    </w:rPr>
                  </w:pPr>
                  <w:r>
                    <w:rPr>
                      <w:szCs w:val="21"/>
                    </w:rPr>
                    <w:t>350</w:t>
                  </w:r>
                </w:p>
              </w:tc>
              <w:tc>
                <w:tcPr>
                  <w:tcW w:w="787" w:type="dxa"/>
                  <w:vAlign w:val="center"/>
                </w:tcPr>
                <w:p>
                  <w:pPr>
                    <w:adjustRightInd w:val="0"/>
                    <w:snapToGrid w:val="0"/>
                    <w:jc w:val="center"/>
                    <w:rPr>
                      <w:szCs w:val="21"/>
                    </w:rPr>
                  </w:pPr>
                  <w:r>
                    <w:rPr>
                      <w:szCs w:val="21"/>
                    </w:rPr>
                    <w:t>380</w:t>
                  </w:r>
                </w:p>
              </w:tc>
              <w:tc>
                <w:tcPr>
                  <w:tcW w:w="789" w:type="dxa"/>
                  <w:vAlign w:val="center"/>
                </w:tcPr>
                <w:p>
                  <w:pPr>
                    <w:adjustRightInd w:val="0"/>
                    <w:snapToGrid w:val="0"/>
                    <w:jc w:val="center"/>
                    <w:rPr>
                      <w:szCs w:val="21"/>
                    </w:rPr>
                  </w:pPr>
                  <w:r>
                    <w:rPr>
                      <w:szCs w:val="21"/>
                    </w:rPr>
                    <w:t>250</w:t>
                  </w:r>
                </w:p>
              </w:tc>
              <w:tc>
                <w:tcPr>
                  <w:tcW w:w="789" w:type="dxa"/>
                  <w:vAlign w:val="center"/>
                </w:tcPr>
                <w:p>
                  <w:pPr>
                    <w:adjustRightInd w:val="0"/>
                    <w:snapToGrid w:val="0"/>
                    <w:jc w:val="center"/>
                    <w:rPr>
                      <w:szCs w:val="21"/>
                    </w:rPr>
                  </w:pPr>
                  <w:r>
                    <w:rPr>
                      <w:szCs w:val="21"/>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31" w:type="dxa"/>
                  <w:vMerge w:val="continue"/>
                  <w:vAlign w:val="center"/>
                </w:tcPr>
                <w:p>
                  <w:pPr>
                    <w:rPr>
                      <w:szCs w:val="21"/>
                    </w:rPr>
                  </w:pPr>
                </w:p>
              </w:tc>
              <w:tc>
                <w:tcPr>
                  <w:tcW w:w="1274" w:type="dxa"/>
                  <w:vAlign w:val="center"/>
                </w:tcPr>
                <w:p>
                  <w:pPr>
                    <w:adjustRightInd w:val="0"/>
                    <w:snapToGrid w:val="0"/>
                    <w:jc w:val="center"/>
                    <w:rPr>
                      <w:szCs w:val="21"/>
                    </w:rPr>
                  </w:pPr>
                  <w:r>
                    <w:rPr>
                      <w:szCs w:val="21"/>
                    </w:rPr>
                    <w:t>&gt;4</w:t>
                  </w:r>
                </w:p>
              </w:tc>
              <w:tc>
                <w:tcPr>
                  <w:tcW w:w="789" w:type="dxa"/>
                  <w:vAlign w:val="center"/>
                </w:tcPr>
                <w:p>
                  <w:pPr>
                    <w:adjustRightInd w:val="0"/>
                    <w:snapToGrid w:val="0"/>
                    <w:jc w:val="center"/>
                    <w:rPr>
                      <w:szCs w:val="21"/>
                    </w:rPr>
                  </w:pPr>
                  <w:r>
                    <w:rPr>
                      <w:szCs w:val="21"/>
                    </w:rPr>
                    <w:t>530</w:t>
                  </w:r>
                </w:p>
              </w:tc>
              <w:tc>
                <w:tcPr>
                  <w:tcW w:w="787" w:type="dxa"/>
                  <w:vAlign w:val="center"/>
                </w:tcPr>
                <w:p>
                  <w:pPr>
                    <w:adjustRightInd w:val="0"/>
                    <w:snapToGrid w:val="0"/>
                    <w:jc w:val="center"/>
                    <w:rPr>
                      <w:szCs w:val="21"/>
                    </w:rPr>
                  </w:pPr>
                  <w:r>
                    <w:rPr>
                      <w:szCs w:val="21"/>
                    </w:rPr>
                    <w:t>350</w:t>
                  </w:r>
                </w:p>
              </w:tc>
              <w:tc>
                <w:tcPr>
                  <w:tcW w:w="789" w:type="dxa"/>
                  <w:vAlign w:val="center"/>
                </w:tcPr>
                <w:p>
                  <w:pPr>
                    <w:adjustRightInd w:val="0"/>
                    <w:snapToGrid w:val="0"/>
                    <w:jc w:val="center"/>
                    <w:rPr>
                      <w:szCs w:val="21"/>
                    </w:rPr>
                  </w:pPr>
                  <w:r>
                    <w:rPr>
                      <w:szCs w:val="21"/>
                    </w:rPr>
                    <w:t>260</w:t>
                  </w:r>
                </w:p>
              </w:tc>
              <w:tc>
                <w:tcPr>
                  <w:tcW w:w="787" w:type="dxa"/>
                  <w:vAlign w:val="center"/>
                </w:tcPr>
                <w:p>
                  <w:pPr>
                    <w:adjustRightInd w:val="0"/>
                    <w:snapToGrid w:val="0"/>
                    <w:jc w:val="center"/>
                    <w:rPr>
                      <w:szCs w:val="21"/>
                    </w:rPr>
                  </w:pPr>
                  <w:r>
                    <w:rPr>
                      <w:szCs w:val="21"/>
                    </w:rPr>
                    <w:t>530</w:t>
                  </w:r>
                </w:p>
              </w:tc>
              <w:tc>
                <w:tcPr>
                  <w:tcW w:w="789" w:type="dxa"/>
                  <w:vAlign w:val="center"/>
                </w:tcPr>
                <w:p>
                  <w:pPr>
                    <w:adjustRightInd w:val="0"/>
                    <w:snapToGrid w:val="0"/>
                    <w:jc w:val="center"/>
                    <w:rPr>
                      <w:szCs w:val="21"/>
                    </w:rPr>
                  </w:pPr>
                  <w:r>
                    <w:rPr>
                      <w:szCs w:val="21"/>
                    </w:rPr>
                    <w:t>350</w:t>
                  </w:r>
                </w:p>
              </w:tc>
              <w:tc>
                <w:tcPr>
                  <w:tcW w:w="790" w:type="dxa"/>
                  <w:vAlign w:val="center"/>
                </w:tcPr>
                <w:p>
                  <w:pPr>
                    <w:adjustRightInd w:val="0"/>
                    <w:snapToGrid w:val="0"/>
                    <w:jc w:val="center"/>
                    <w:rPr>
                      <w:szCs w:val="21"/>
                    </w:rPr>
                  </w:pPr>
                  <w:r>
                    <w:rPr>
                      <w:szCs w:val="21"/>
                    </w:rPr>
                    <w:t>260</w:t>
                  </w:r>
                </w:p>
              </w:tc>
              <w:tc>
                <w:tcPr>
                  <w:tcW w:w="787" w:type="dxa"/>
                  <w:vAlign w:val="center"/>
                </w:tcPr>
                <w:p>
                  <w:pPr>
                    <w:adjustRightInd w:val="0"/>
                    <w:snapToGrid w:val="0"/>
                    <w:jc w:val="center"/>
                    <w:rPr>
                      <w:szCs w:val="21"/>
                    </w:rPr>
                  </w:pPr>
                  <w:r>
                    <w:rPr>
                      <w:szCs w:val="21"/>
                    </w:rPr>
                    <w:t>290</w:t>
                  </w:r>
                </w:p>
              </w:tc>
              <w:tc>
                <w:tcPr>
                  <w:tcW w:w="789" w:type="dxa"/>
                  <w:vAlign w:val="center"/>
                </w:tcPr>
                <w:p>
                  <w:pPr>
                    <w:adjustRightInd w:val="0"/>
                    <w:snapToGrid w:val="0"/>
                    <w:jc w:val="center"/>
                    <w:rPr>
                      <w:szCs w:val="21"/>
                    </w:rPr>
                  </w:pPr>
                  <w:r>
                    <w:rPr>
                      <w:szCs w:val="21"/>
                    </w:rPr>
                    <w:t>190</w:t>
                  </w:r>
                </w:p>
              </w:tc>
              <w:tc>
                <w:tcPr>
                  <w:tcW w:w="789" w:type="dxa"/>
                  <w:vAlign w:val="center"/>
                </w:tcPr>
                <w:p>
                  <w:pPr>
                    <w:adjustRightInd w:val="0"/>
                    <w:snapToGrid w:val="0"/>
                    <w:jc w:val="center"/>
                    <w:rPr>
                      <w:szCs w:val="21"/>
                    </w:rPr>
                  </w:pPr>
                  <w:r>
                    <w:rPr>
                      <w:szCs w:val="21"/>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31" w:type="dxa"/>
                  <w:vMerge w:val="restart"/>
                  <w:vAlign w:val="center"/>
                </w:tcPr>
                <w:p>
                  <w:pPr>
                    <w:adjustRightInd w:val="0"/>
                    <w:snapToGrid w:val="0"/>
                    <w:jc w:val="center"/>
                    <w:rPr>
                      <w:szCs w:val="21"/>
                    </w:rPr>
                  </w:pPr>
                  <w:r>
                    <w:rPr>
                      <w:szCs w:val="21"/>
                    </w:rPr>
                    <w:t>B</w:t>
                  </w:r>
                </w:p>
              </w:tc>
              <w:tc>
                <w:tcPr>
                  <w:tcW w:w="1274" w:type="dxa"/>
                  <w:vAlign w:val="center"/>
                </w:tcPr>
                <w:p>
                  <w:pPr>
                    <w:adjustRightInd w:val="0"/>
                    <w:snapToGrid w:val="0"/>
                    <w:jc w:val="center"/>
                    <w:rPr>
                      <w:szCs w:val="21"/>
                    </w:rPr>
                  </w:pPr>
                  <w:r>
                    <w:rPr>
                      <w:szCs w:val="21"/>
                    </w:rPr>
                    <w:t>&lt;2</w:t>
                  </w:r>
                </w:p>
              </w:tc>
              <w:tc>
                <w:tcPr>
                  <w:tcW w:w="2365" w:type="dxa"/>
                  <w:gridSpan w:val="3"/>
                  <w:vAlign w:val="center"/>
                </w:tcPr>
                <w:p>
                  <w:pPr>
                    <w:adjustRightInd w:val="0"/>
                    <w:snapToGrid w:val="0"/>
                    <w:jc w:val="center"/>
                    <w:rPr>
                      <w:szCs w:val="21"/>
                    </w:rPr>
                  </w:pPr>
                  <w:r>
                    <w:rPr>
                      <w:szCs w:val="21"/>
                    </w:rPr>
                    <w:t>0.01</w:t>
                  </w:r>
                </w:p>
              </w:tc>
              <w:tc>
                <w:tcPr>
                  <w:tcW w:w="2366" w:type="dxa"/>
                  <w:gridSpan w:val="3"/>
                  <w:vAlign w:val="center"/>
                </w:tcPr>
                <w:p>
                  <w:pPr>
                    <w:adjustRightInd w:val="0"/>
                    <w:snapToGrid w:val="0"/>
                    <w:jc w:val="center"/>
                    <w:rPr>
                      <w:szCs w:val="21"/>
                    </w:rPr>
                  </w:pPr>
                  <w:r>
                    <w:rPr>
                      <w:szCs w:val="21"/>
                    </w:rPr>
                    <w:t>0.015</w:t>
                  </w:r>
                </w:p>
              </w:tc>
              <w:tc>
                <w:tcPr>
                  <w:tcW w:w="2365" w:type="dxa"/>
                  <w:gridSpan w:val="3"/>
                  <w:vAlign w:val="center"/>
                </w:tcPr>
                <w:p>
                  <w:pPr>
                    <w:adjustRightInd w:val="0"/>
                    <w:snapToGrid w:val="0"/>
                    <w:jc w:val="center"/>
                    <w:rPr>
                      <w:szCs w:val="21"/>
                    </w:rPr>
                  </w:pPr>
                  <w:r>
                    <w:rPr>
                      <w:szCs w:val="21"/>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31" w:type="dxa"/>
                  <w:vMerge w:val="continue"/>
                  <w:vAlign w:val="center"/>
                </w:tcPr>
                <w:p>
                  <w:pPr>
                    <w:rPr>
                      <w:szCs w:val="21"/>
                    </w:rPr>
                  </w:pPr>
                </w:p>
              </w:tc>
              <w:tc>
                <w:tcPr>
                  <w:tcW w:w="1274" w:type="dxa"/>
                  <w:vAlign w:val="center"/>
                </w:tcPr>
                <w:p>
                  <w:pPr>
                    <w:adjustRightInd w:val="0"/>
                    <w:snapToGrid w:val="0"/>
                    <w:jc w:val="center"/>
                    <w:rPr>
                      <w:szCs w:val="21"/>
                    </w:rPr>
                  </w:pPr>
                  <w:r>
                    <w:rPr>
                      <w:szCs w:val="21"/>
                    </w:rPr>
                    <w:t>&gt;2</w:t>
                  </w:r>
                </w:p>
              </w:tc>
              <w:tc>
                <w:tcPr>
                  <w:tcW w:w="2365" w:type="dxa"/>
                  <w:gridSpan w:val="3"/>
                  <w:vAlign w:val="center"/>
                </w:tcPr>
                <w:p>
                  <w:pPr>
                    <w:adjustRightInd w:val="0"/>
                    <w:snapToGrid w:val="0"/>
                    <w:jc w:val="center"/>
                    <w:rPr>
                      <w:szCs w:val="21"/>
                    </w:rPr>
                  </w:pPr>
                  <w:r>
                    <w:rPr>
                      <w:szCs w:val="21"/>
                    </w:rPr>
                    <w:t>0.021</w:t>
                  </w:r>
                </w:p>
              </w:tc>
              <w:tc>
                <w:tcPr>
                  <w:tcW w:w="2366" w:type="dxa"/>
                  <w:gridSpan w:val="3"/>
                  <w:vAlign w:val="center"/>
                </w:tcPr>
                <w:p>
                  <w:pPr>
                    <w:adjustRightInd w:val="0"/>
                    <w:snapToGrid w:val="0"/>
                    <w:jc w:val="center"/>
                    <w:rPr>
                      <w:szCs w:val="21"/>
                    </w:rPr>
                  </w:pPr>
                  <w:r>
                    <w:rPr>
                      <w:szCs w:val="21"/>
                    </w:rPr>
                    <w:t>0.036</w:t>
                  </w:r>
                </w:p>
              </w:tc>
              <w:tc>
                <w:tcPr>
                  <w:tcW w:w="2365" w:type="dxa"/>
                  <w:gridSpan w:val="3"/>
                  <w:vAlign w:val="center"/>
                </w:tcPr>
                <w:p>
                  <w:pPr>
                    <w:adjustRightInd w:val="0"/>
                    <w:snapToGrid w:val="0"/>
                    <w:jc w:val="center"/>
                    <w:rPr>
                      <w:szCs w:val="21"/>
                    </w:rPr>
                  </w:pPr>
                  <w:r>
                    <w:rPr>
                      <w:szCs w:val="21"/>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31" w:type="dxa"/>
                  <w:vMerge w:val="restart"/>
                  <w:vAlign w:val="center"/>
                </w:tcPr>
                <w:p>
                  <w:pPr>
                    <w:adjustRightInd w:val="0"/>
                    <w:snapToGrid w:val="0"/>
                    <w:jc w:val="center"/>
                    <w:rPr>
                      <w:szCs w:val="21"/>
                    </w:rPr>
                  </w:pPr>
                  <w:r>
                    <w:rPr>
                      <w:szCs w:val="21"/>
                    </w:rPr>
                    <w:t>C</w:t>
                  </w:r>
                </w:p>
              </w:tc>
              <w:tc>
                <w:tcPr>
                  <w:tcW w:w="1274" w:type="dxa"/>
                  <w:vAlign w:val="center"/>
                </w:tcPr>
                <w:p>
                  <w:pPr>
                    <w:adjustRightInd w:val="0"/>
                    <w:snapToGrid w:val="0"/>
                    <w:jc w:val="center"/>
                    <w:rPr>
                      <w:szCs w:val="21"/>
                    </w:rPr>
                  </w:pPr>
                  <w:r>
                    <w:rPr>
                      <w:szCs w:val="21"/>
                    </w:rPr>
                    <w:t>&lt;2</w:t>
                  </w:r>
                </w:p>
              </w:tc>
              <w:tc>
                <w:tcPr>
                  <w:tcW w:w="2365" w:type="dxa"/>
                  <w:gridSpan w:val="3"/>
                  <w:vAlign w:val="center"/>
                </w:tcPr>
                <w:p>
                  <w:pPr>
                    <w:adjustRightInd w:val="0"/>
                    <w:snapToGrid w:val="0"/>
                    <w:jc w:val="center"/>
                    <w:rPr>
                      <w:szCs w:val="21"/>
                    </w:rPr>
                  </w:pPr>
                  <w:r>
                    <w:rPr>
                      <w:szCs w:val="21"/>
                    </w:rPr>
                    <w:t>1.85</w:t>
                  </w:r>
                </w:p>
              </w:tc>
              <w:tc>
                <w:tcPr>
                  <w:tcW w:w="2366" w:type="dxa"/>
                  <w:gridSpan w:val="3"/>
                  <w:vAlign w:val="center"/>
                </w:tcPr>
                <w:p>
                  <w:pPr>
                    <w:adjustRightInd w:val="0"/>
                    <w:snapToGrid w:val="0"/>
                    <w:jc w:val="center"/>
                    <w:rPr>
                      <w:szCs w:val="21"/>
                    </w:rPr>
                  </w:pPr>
                  <w:r>
                    <w:rPr>
                      <w:szCs w:val="21"/>
                    </w:rPr>
                    <w:t>1.79</w:t>
                  </w:r>
                </w:p>
              </w:tc>
              <w:tc>
                <w:tcPr>
                  <w:tcW w:w="2365" w:type="dxa"/>
                  <w:gridSpan w:val="3"/>
                  <w:vAlign w:val="center"/>
                </w:tcPr>
                <w:p>
                  <w:pPr>
                    <w:adjustRightInd w:val="0"/>
                    <w:snapToGrid w:val="0"/>
                    <w:jc w:val="center"/>
                    <w:rPr>
                      <w:szCs w:val="21"/>
                    </w:rPr>
                  </w:pPr>
                  <w:r>
                    <w:rPr>
                      <w:szCs w:val="21"/>
                    </w:rPr>
                    <w:t>1.79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31" w:type="dxa"/>
                  <w:vMerge w:val="continue"/>
                  <w:vAlign w:val="center"/>
                </w:tcPr>
                <w:p>
                  <w:pPr>
                    <w:rPr>
                      <w:szCs w:val="21"/>
                    </w:rPr>
                  </w:pPr>
                </w:p>
              </w:tc>
              <w:tc>
                <w:tcPr>
                  <w:tcW w:w="1274" w:type="dxa"/>
                  <w:vAlign w:val="center"/>
                </w:tcPr>
                <w:p>
                  <w:pPr>
                    <w:adjustRightInd w:val="0"/>
                    <w:snapToGrid w:val="0"/>
                    <w:jc w:val="center"/>
                    <w:rPr>
                      <w:szCs w:val="21"/>
                    </w:rPr>
                  </w:pPr>
                  <w:r>
                    <w:rPr>
                      <w:szCs w:val="21"/>
                    </w:rPr>
                    <w:t>&gt;2</w:t>
                  </w:r>
                </w:p>
              </w:tc>
              <w:tc>
                <w:tcPr>
                  <w:tcW w:w="2365" w:type="dxa"/>
                  <w:gridSpan w:val="3"/>
                  <w:vAlign w:val="center"/>
                </w:tcPr>
                <w:p>
                  <w:pPr>
                    <w:adjustRightInd w:val="0"/>
                    <w:snapToGrid w:val="0"/>
                    <w:jc w:val="center"/>
                    <w:rPr>
                      <w:szCs w:val="21"/>
                    </w:rPr>
                  </w:pPr>
                  <w:r>
                    <w:rPr>
                      <w:szCs w:val="21"/>
                    </w:rPr>
                    <w:t>1.85</w:t>
                  </w:r>
                </w:p>
              </w:tc>
              <w:tc>
                <w:tcPr>
                  <w:tcW w:w="2366" w:type="dxa"/>
                  <w:gridSpan w:val="3"/>
                  <w:vAlign w:val="center"/>
                </w:tcPr>
                <w:p>
                  <w:pPr>
                    <w:adjustRightInd w:val="0"/>
                    <w:snapToGrid w:val="0"/>
                    <w:jc w:val="center"/>
                    <w:rPr>
                      <w:szCs w:val="21"/>
                    </w:rPr>
                  </w:pPr>
                  <w:r>
                    <w:rPr>
                      <w:szCs w:val="21"/>
                    </w:rPr>
                    <w:t>1.77</w:t>
                  </w:r>
                </w:p>
              </w:tc>
              <w:tc>
                <w:tcPr>
                  <w:tcW w:w="2365" w:type="dxa"/>
                  <w:gridSpan w:val="3"/>
                  <w:vAlign w:val="center"/>
                </w:tcPr>
                <w:p>
                  <w:pPr>
                    <w:adjustRightInd w:val="0"/>
                    <w:snapToGrid w:val="0"/>
                    <w:jc w:val="center"/>
                    <w:rPr>
                      <w:szCs w:val="21"/>
                    </w:rPr>
                  </w:pPr>
                  <w:r>
                    <w:rPr>
                      <w:szCs w:val="21"/>
                    </w:rPr>
                    <w:t>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31" w:type="dxa"/>
                  <w:vMerge w:val="restart"/>
                  <w:vAlign w:val="center"/>
                </w:tcPr>
                <w:p>
                  <w:pPr>
                    <w:adjustRightInd w:val="0"/>
                    <w:snapToGrid w:val="0"/>
                    <w:jc w:val="center"/>
                    <w:rPr>
                      <w:szCs w:val="21"/>
                    </w:rPr>
                  </w:pPr>
                  <w:r>
                    <w:rPr>
                      <w:szCs w:val="21"/>
                    </w:rPr>
                    <w:t>D</w:t>
                  </w:r>
                </w:p>
              </w:tc>
              <w:tc>
                <w:tcPr>
                  <w:tcW w:w="1274" w:type="dxa"/>
                  <w:vAlign w:val="center"/>
                </w:tcPr>
                <w:p>
                  <w:pPr>
                    <w:adjustRightInd w:val="0"/>
                    <w:snapToGrid w:val="0"/>
                    <w:jc w:val="center"/>
                    <w:rPr>
                      <w:szCs w:val="21"/>
                    </w:rPr>
                  </w:pPr>
                  <w:r>
                    <w:rPr>
                      <w:szCs w:val="21"/>
                    </w:rPr>
                    <w:t>&lt;2</w:t>
                  </w:r>
                </w:p>
              </w:tc>
              <w:tc>
                <w:tcPr>
                  <w:tcW w:w="2365" w:type="dxa"/>
                  <w:gridSpan w:val="3"/>
                  <w:vAlign w:val="center"/>
                </w:tcPr>
                <w:p>
                  <w:pPr>
                    <w:adjustRightInd w:val="0"/>
                    <w:snapToGrid w:val="0"/>
                    <w:jc w:val="center"/>
                    <w:rPr>
                      <w:szCs w:val="21"/>
                    </w:rPr>
                  </w:pPr>
                  <w:r>
                    <w:rPr>
                      <w:szCs w:val="21"/>
                    </w:rPr>
                    <w:t>0.78</w:t>
                  </w:r>
                </w:p>
              </w:tc>
              <w:tc>
                <w:tcPr>
                  <w:tcW w:w="2366" w:type="dxa"/>
                  <w:gridSpan w:val="3"/>
                  <w:vAlign w:val="center"/>
                </w:tcPr>
                <w:p>
                  <w:pPr>
                    <w:adjustRightInd w:val="0"/>
                    <w:snapToGrid w:val="0"/>
                    <w:jc w:val="center"/>
                    <w:rPr>
                      <w:szCs w:val="21"/>
                    </w:rPr>
                  </w:pPr>
                  <w:r>
                    <w:rPr>
                      <w:szCs w:val="21"/>
                    </w:rPr>
                    <w:t>0.78</w:t>
                  </w:r>
                </w:p>
              </w:tc>
              <w:tc>
                <w:tcPr>
                  <w:tcW w:w="2365" w:type="dxa"/>
                  <w:gridSpan w:val="3"/>
                  <w:vAlign w:val="center"/>
                </w:tcPr>
                <w:p>
                  <w:pPr>
                    <w:adjustRightInd w:val="0"/>
                    <w:snapToGrid w:val="0"/>
                    <w:jc w:val="center"/>
                    <w:rPr>
                      <w:szCs w:val="21"/>
                    </w:rPr>
                  </w:pPr>
                  <w:r>
                    <w:rPr>
                      <w:szCs w:val="21"/>
                    </w:rPr>
                    <w:t>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31" w:type="dxa"/>
                  <w:vMerge w:val="continue"/>
                  <w:vAlign w:val="center"/>
                </w:tcPr>
                <w:p>
                  <w:pPr>
                    <w:rPr>
                      <w:szCs w:val="21"/>
                    </w:rPr>
                  </w:pPr>
                </w:p>
              </w:tc>
              <w:tc>
                <w:tcPr>
                  <w:tcW w:w="1274" w:type="dxa"/>
                  <w:vAlign w:val="center"/>
                </w:tcPr>
                <w:p>
                  <w:pPr>
                    <w:adjustRightInd w:val="0"/>
                    <w:snapToGrid w:val="0"/>
                    <w:jc w:val="center"/>
                    <w:rPr>
                      <w:szCs w:val="21"/>
                    </w:rPr>
                  </w:pPr>
                  <w:r>
                    <w:rPr>
                      <w:szCs w:val="21"/>
                    </w:rPr>
                    <w:t>&gt;2</w:t>
                  </w:r>
                </w:p>
              </w:tc>
              <w:tc>
                <w:tcPr>
                  <w:tcW w:w="2365" w:type="dxa"/>
                  <w:gridSpan w:val="3"/>
                  <w:vAlign w:val="center"/>
                </w:tcPr>
                <w:p>
                  <w:pPr>
                    <w:adjustRightInd w:val="0"/>
                    <w:snapToGrid w:val="0"/>
                    <w:jc w:val="center"/>
                    <w:rPr>
                      <w:szCs w:val="21"/>
                    </w:rPr>
                  </w:pPr>
                  <w:r>
                    <w:rPr>
                      <w:szCs w:val="21"/>
                    </w:rPr>
                    <w:t>0.84</w:t>
                  </w:r>
                </w:p>
              </w:tc>
              <w:tc>
                <w:tcPr>
                  <w:tcW w:w="2366" w:type="dxa"/>
                  <w:gridSpan w:val="3"/>
                  <w:vAlign w:val="center"/>
                </w:tcPr>
                <w:p>
                  <w:pPr>
                    <w:adjustRightInd w:val="0"/>
                    <w:snapToGrid w:val="0"/>
                    <w:jc w:val="center"/>
                    <w:rPr>
                      <w:szCs w:val="21"/>
                    </w:rPr>
                  </w:pPr>
                  <w:r>
                    <w:rPr>
                      <w:szCs w:val="21"/>
                    </w:rPr>
                    <w:t>0.84</w:t>
                  </w:r>
                </w:p>
              </w:tc>
              <w:tc>
                <w:tcPr>
                  <w:tcW w:w="2365" w:type="dxa"/>
                  <w:gridSpan w:val="3"/>
                  <w:vAlign w:val="center"/>
                </w:tcPr>
                <w:p>
                  <w:pPr>
                    <w:adjustRightInd w:val="0"/>
                    <w:snapToGrid w:val="0"/>
                    <w:jc w:val="center"/>
                    <w:rPr>
                      <w:szCs w:val="21"/>
                    </w:rPr>
                  </w:pPr>
                  <w:r>
                    <w:rPr>
                      <w:szCs w:val="21"/>
                    </w:rPr>
                    <w:t>0.76</w:t>
                  </w:r>
                </w:p>
              </w:tc>
            </w:tr>
          </w:tbl>
          <w:p>
            <w:pPr>
              <w:autoSpaceDE w:val="0"/>
              <w:autoSpaceDN w:val="0"/>
              <w:adjustRightInd w:val="0"/>
              <w:spacing w:line="360" w:lineRule="auto"/>
              <w:ind w:right="-23" w:firstLine="480" w:firstLineChars="200"/>
              <w:jc w:val="left"/>
              <w:rPr>
                <w:rFonts w:hAnsi="宋体"/>
                <w:bCs/>
                <w:sz w:val="24"/>
              </w:rPr>
            </w:pPr>
            <w:r>
              <w:rPr>
                <w:rFonts w:hAnsi="宋体"/>
                <w:bCs/>
                <w:sz w:val="24"/>
              </w:rPr>
              <w:t>经过计算</w:t>
            </w:r>
            <w:r>
              <w:rPr>
                <w:rFonts w:hint="eastAsia" w:hAnsi="宋体"/>
                <w:bCs/>
                <w:sz w:val="24"/>
              </w:rPr>
              <w:t>逸散的</w:t>
            </w:r>
            <w:r>
              <w:rPr>
                <w:rFonts w:hAnsi="宋体"/>
                <w:bCs/>
                <w:sz w:val="24"/>
              </w:rPr>
              <w:t>NH</w:t>
            </w:r>
            <w:r>
              <w:rPr>
                <w:rFonts w:hAnsi="宋体"/>
                <w:bCs/>
                <w:sz w:val="24"/>
                <w:vertAlign w:val="subscript"/>
              </w:rPr>
              <w:t>3</w:t>
            </w:r>
            <w:r>
              <w:rPr>
                <w:rFonts w:hAnsi="宋体"/>
                <w:bCs/>
                <w:sz w:val="24"/>
              </w:rPr>
              <w:t>和H</w:t>
            </w:r>
            <w:r>
              <w:rPr>
                <w:rFonts w:hAnsi="宋体"/>
                <w:bCs/>
                <w:sz w:val="24"/>
                <w:vertAlign w:val="subscript"/>
              </w:rPr>
              <w:t>2</w:t>
            </w:r>
            <w:r>
              <w:rPr>
                <w:rFonts w:hAnsi="宋体"/>
                <w:bCs/>
                <w:sz w:val="24"/>
              </w:rPr>
              <w:t>S需要设置卫生防护距离分别为</w:t>
            </w:r>
            <w:r>
              <w:rPr>
                <w:rFonts w:hint="eastAsia" w:hAnsi="宋体"/>
                <w:bCs/>
                <w:sz w:val="24"/>
              </w:rPr>
              <w:t>0.04</w:t>
            </w:r>
            <w:r>
              <w:rPr>
                <w:rFonts w:hAnsi="宋体"/>
                <w:bCs/>
                <w:sz w:val="24"/>
              </w:rPr>
              <w:t>m、</w:t>
            </w:r>
            <w:r>
              <w:rPr>
                <w:rFonts w:hint="eastAsia" w:hAnsi="宋体"/>
                <w:bCs/>
                <w:sz w:val="24"/>
              </w:rPr>
              <w:t>0.03</w:t>
            </w:r>
            <w:r>
              <w:rPr>
                <w:rFonts w:hAnsi="宋体"/>
                <w:bCs/>
                <w:sz w:val="24"/>
              </w:rPr>
              <w:t>m。</w:t>
            </w:r>
            <w:r>
              <w:rPr>
                <w:rFonts w:hint="eastAsia" w:hAnsi="宋体"/>
                <w:bCs/>
                <w:sz w:val="24"/>
              </w:rPr>
              <w:t>项目NH</w:t>
            </w:r>
            <w:r>
              <w:rPr>
                <w:rFonts w:hint="eastAsia" w:hAnsi="宋体"/>
                <w:bCs/>
                <w:sz w:val="24"/>
                <w:vertAlign w:val="subscript"/>
              </w:rPr>
              <w:t>3</w:t>
            </w:r>
            <w:r>
              <w:rPr>
                <w:rFonts w:hint="eastAsia" w:hAnsi="宋体"/>
                <w:bCs/>
                <w:sz w:val="24"/>
              </w:rPr>
              <w:t>和H</w:t>
            </w:r>
            <w:r>
              <w:rPr>
                <w:rFonts w:hint="eastAsia" w:hAnsi="宋体"/>
                <w:bCs/>
                <w:sz w:val="24"/>
                <w:vertAlign w:val="subscript"/>
              </w:rPr>
              <w:t>2</w:t>
            </w:r>
            <w:r>
              <w:rPr>
                <w:rFonts w:hint="eastAsia" w:hAnsi="宋体"/>
                <w:bCs/>
                <w:sz w:val="24"/>
              </w:rPr>
              <w:t>S由同一生产单元产生。</w:t>
            </w:r>
            <w:r>
              <w:rPr>
                <w:rFonts w:hAnsi="宋体"/>
                <w:bCs/>
                <w:sz w:val="24"/>
              </w:rPr>
              <w:t>根据《制定地方大气污染物排放标准的技术方法》（GB/T13201－91）的规定：卫生防护距离在100m以内时，级差为50m。</w:t>
            </w:r>
          </w:p>
          <w:p>
            <w:pPr>
              <w:autoSpaceDE w:val="0"/>
              <w:autoSpaceDN w:val="0"/>
              <w:adjustRightInd w:val="0"/>
              <w:spacing w:line="360" w:lineRule="auto"/>
              <w:ind w:right="-23" w:firstLine="480" w:firstLineChars="200"/>
              <w:jc w:val="left"/>
              <w:rPr>
                <w:rFonts w:hAnsi="宋体"/>
                <w:bCs/>
                <w:sz w:val="24"/>
              </w:rPr>
            </w:pPr>
            <w:r>
              <w:rPr>
                <w:rFonts w:hAnsi="宋体"/>
                <w:bCs/>
                <w:sz w:val="24"/>
              </w:rPr>
              <w:t>因此，根据</w:t>
            </w:r>
            <w:r>
              <w:rPr>
                <w:rFonts w:hint="eastAsia" w:hAnsi="宋体"/>
                <w:bCs/>
                <w:sz w:val="24"/>
              </w:rPr>
              <w:t>项目所在地环境及</w:t>
            </w:r>
            <w:r>
              <w:rPr>
                <w:rFonts w:hAnsi="宋体"/>
                <w:bCs/>
                <w:sz w:val="24"/>
              </w:rPr>
              <w:t>卫生防护距离计算结果，本项目以污水处理</w:t>
            </w:r>
            <w:r>
              <w:rPr>
                <w:rFonts w:hint="eastAsia" w:hAnsi="宋体"/>
                <w:bCs/>
                <w:sz w:val="24"/>
              </w:rPr>
              <w:t>站生产区</w:t>
            </w:r>
            <w:r>
              <w:rPr>
                <w:rFonts w:hAnsi="宋体"/>
                <w:bCs/>
                <w:sz w:val="24"/>
              </w:rPr>
              <w:t>为界设置50m的卫生防护距离。</w:t>
            </w:r>
            <w:r>
              <w:rPr>
                <w:rFonts w:hint="eastAsia" w:hAnsi="宋体"/>
                <w:bCs/>
                <w:sz w:val="24"/>
              </w:rPr>
              <w:t>根据2018年11月环评踏勘现场，距离污水站生产区最近居民房屋为东北侧51m处，且为侧风向区域，环评要求本项目建成后生产区周围50m不得新建居民、学校等其他环境保护目标。</w:t>
            </w:r>
          </w:p>
          <w:p>
            <w:pPr>
              <w:adjustRightInd w:val="0"/>
              <w:snapToGrid w:val="0"/>
              <w:spacing w:line="360" w:lineRule="auto"/>
              <w:ind w:firstLine="482" w:firstLineChars="200"/>
              <w:rPr>
                <w:b/>
                <w:sz w:val="24"/>
                <w:szCs w:val="24"/>
              </w:rPr>
            </w:pPr>
            <w:r>
              <w:rPr>
                <w:rFonts w:hint="eastAsia"/>
                <w:b/>
                <w:sz w:val="24"/>
                <w:szCs w:val="24"/>
              </w:rPr>
              <w:t>2、地表水环境影响分析</w:t>
            </w:r>
          </w:p>
          <w:p>
            <w:pPr>
              <w:adjustRightInd w:val="0"/>
              <w:snapToGrid w:val="0"/>
              <w:spacing w:line="360" w:lineRule="auto"/>
              <w:ind w:firstLine="482" w:firstLineChars="200"/>
              <w:rPr>
                <w:b/>
                <w:sz w:val="24"/>
                <w:szCs w:val="24"/>
              </w:rPr>
            </w:pPr>
            <w:r>
              <w:rPr>
                <w:rFonts w:hint="eastAsia"/>
                <w:b/>
                <w:sz w:val="24"/>
                <w:szCs w:val="24"/>
              </w:rPr>
              <w:t>污水站：</w:t>
            </w:r>
          </w:p>
          <w:p>
            <w:pPr>
              <w:adjustRightInd w:val="0"/>
              <w:snapToGrid w:val="0"/>
              <w:spacing w:line="360" w:lineRule="auto"/>
              <w:ind w:firstLine="480" w:firstLineChars="200"/>
              <w:rPr>
                <w:sz w:val="24"/>
                <w:szCs w:val="24"/>
              </w:rPr>
            </w:pPr>
            <w:r>
              <w:rPr>
                <w:rFonts w:hint="eastAsia"/>
                <w:sz w:val="24"/>
                <w:szCs w:val="24"/>
              </w:rPr>
              <w:t>（1）正常状态下水环境影响分析</w:t>
            </w:r>
          </w:p>
          <w:p>
            <w:pPr>
              <w:adjustRightInd w:val="0"/>
              <w:snapToGrid w:val="0"/>
              <w:spacing w:line="360" w:lineRule="auto"/>
              <w:ind w:firstLine="480" w:firstLineChars="200"/>
              <w:rPr>
                <w:sz w:val="24"/>
                <w:szCs w:val="24"/>
              </w:rPr>
            </w:pPr>
            <w:r>
              <w:rPr>
                <w:rFonts w:hint="eastAsia" w:ascii="宋体" w:hAnsi="宋体" w:cs="宋体"/>
                <w:sz w:val="24"/>
                <w:szCs w:val="24"/>
              </w:rPr>
              <w:t>①</w:t>
            </w:r>
            <w:r>
              <w:rPr>
                <w:sz w:val="24"/>
                <w:szCs w:val="24"/>
              </w:rPr>
              <w:t>预测模式</w:t>
            </w:r>
          </w:p>
          <w:p>
            <w:pPr>
              <w:adjustRightInd w:val="0"/>
              <w:snapToGrid w:val="0"/>
              <w:spacing w:line="360" w:lineRule="auto"/>
              <w:ind w:firstLine="480" w:firstLineChars="200"/>
              <w:rPr>
                <w:sz w:val="24"/>
                <w:szCs w:val="24"/>
              </w:rPr>
            </w:pPr>
            <w:r>
              <w:rPr>
                <w:sz w:val="24"/>
                <w:szCs w:val="24"/>
              </w:rPr>
              <w:t>按《环境影响评价技术导则</w:t>
            </w:r>
            <w:r>
              <w:rPr>
                <w:rFonts w:hint="eastAsia"/>
                <w:sz w:val="24"/>
                <w:szCs w:val="24"/>
              </w:rPr>
              <w:t xml:space="preserve">  地面水环境</w:t>
            </w:r>
            <w:r>
              <w:rPr>
                <w:sz w:val="24"/>
                <w:szCs w:val="24"/>
              </w:rPr>
              <w:t>》</w:t>
            </w:r>
            <w:r>
              <w:rPr>
                <w:rFonts w:hint="eastAsia"/>
                <w:bCs/>
                <w:sz w:val="24"/>
                <w:szCs w:val="24"/>
              </w:rPr>
              <w:t>（</w:t>
            </w:r>
            <w:r>
              <w:rPr>
                <w:bCs/>
                <w:sz w:val="24"/>
                <w:szCs w:val="24"/>
              </w:rPr>
              <w:t>HJ/T2.3-93</w:t>
            </w:r>
            <w:r>
              <w:rPr>
                <w:rFonts w:hint="eastAsia"/>
                <w:bCs/>
                <w:sz w:val="24"/>
                <w:szCs w:val="24"/>
              </w:rPr>
              <w:t>）</w:t>
            </w:r>
            <w:r>
              <w:rPr>
                <w:sz w:val="24"/>
                <w:szCs w:val="24"/>
              </w:rPr>
              <w:t>，采用完全混合模式进行预测。</w:t>
            </w:r>
          </w:p>
          <w:p>
            <w:pPr>
              <w:adjustRightInd w:val="0"/>
              <w:snapToGrid w:val="0"/>
              <w:spacing w:line="360" w:lineRule="auto"/>
              <w:ind w:firstLine="480" w:firstLineChars="200"/>
              <w:rPr>
                <w:sz w:val="24"/>
                <w:szCs w:val="24"/>
              </w:rPr>
            </w:pPr>
            <w:r>
              <w:rPr>
                <w:sz w:val="24"/>
                <w:szCs w:val="24"/>
              </w:rPr>
              <w:t>河流完全混合模式：</w:t>
            </w:r>
          </w:p>
          <w:p>
            <w:pPr>
              <w:adjustRightInd w:val="0"/>
              <w:snapToGrid w:val="0"/>
              <w:spacing w:line="360" w:lineRule="auto"/>
              <w:ind w:firstLine="480" w:firstLineChars="200"/>
              <w:jc w:val="center"/>
              <w:rPr>
                <w:sz w:val="24"/>
                <w:szCs w:val="24"/>
              </w:rPr>
            </w:pPr>
            <w:r>
              <w:rPr>
                <w:rFonts w:hint="eastAsia"/>
                <w:sz w:val="24"/>
                <w:szCs w:val="24"/>
              </w:rPr>
              <w:object>
                <v:shape id="_x0000_i1027" o:spt="75" type="#_x0000_t75" style="height:37.35pt;width:85.6pt;" o:ole="t" filled="f" o:preferrelative="t" stroked="f" coordsize="21600,21600">
                  <v:path/>
                  <v:fill on="f" focussize="0,0"/>
                  <v:stroke on="f" joinstyle="miter"/>
                  <v:imagedata r:id="rId30" o:title=""/>
                  <o:lock v:ext="edit" aspectratio="t"/>
                  <w10:wrap type="none"/>
                  <w10:anchorlock/>
                </v:shape>
                <o:OLEObject Type="Embed" ProgID="Equations" ShapeID="_x0000_i1027" DrawAspect="Content" ObjectID="_1468075727" r:id="rId29">
                  <o:LockedField>false</o:LockedField>
                </o:OLEObject>
              </w:object>
            </w:r>
          </w:p>
          <w:p>
            <w:pPr>
              <w:adjustRightInd w:val="0"/>
              <w:snapToGrid w:val="0"/>
              <w:spacing w:line="360" w:lineRule="auto"/>
              <w:ind w:firstLine="480" w:firstLineChars="200"/>
              <w:rPr>
                <w:sz w:val="24"/>
                <w:szCs w:val="24"/>
              </w:rPr>
            </w:pPr>
            <w:r>
              <w:rPr>
                <w:sz w:val="24"/>
                <w:szCs w:val="24"/>
              </w:rPr>
              <w:t>式中：c—混合后河流中污染物浓度，mg/L；</w:t>
            </w:r>
          </w:p>
          <w:p>
            <w:pPr>
              <w:adjustRightInd w:val="0"/>
              <w:snapToGrid w:val="0"/>
              <w:spacing w:line="360" w:lineRule="auto"/>
              <w:ind w:firstLine="1200" w:firstLineChars="500"/>
              <w:rPr>
                <w:sz w:val="24"/>
                <w:szCs w:val="24"/>
              </w:rPr>
            </w:pPr>
            <w:r>
              <w:rPr>
                <w:sz w:val="24"/>
                <w:szCs w:val="24"/>
              </w:rPr>
              <w:t>c</w:t>
            </w:r>
            <w:r>
              <w:rPr>
                <w:sz w:val="24"/>
                <w:szCs w:val="24"/>
                <w:vertAlign w:val="subscript"/>
              </w:rPr>
              <w:t>h</w:t>
            </w:r>
            <w:r>
              <w:rPr>
                <w:sz w:val="24"/>
                <w:szCs w:val="24"/>
              </w:rPr>
              <w:t>—河流中污染物的背景浓度，mg/L；</w:t>
            </w:r>
          </w:p>
          <w:p>
            <w:pPr>
              <w:adjustRightInd w:val="0"/>
              <w:snapToGrid w:val="0"/>
              <w:spacing w:line="360" w:lineRule="auto"/>
              <w:ind w:firstLine="1200" w:firstLineChars="500"/>
              <w:rPr>
                <w:sz w:val="24"/>
                <w:szCs w:val="24"/>
              </w:rPr>
            </w:pPr>
            <w:r>
              <w:rPr>
                <w:sz w:val="24"/>
                <w:szCs w:val="24"/>
              </w:rPr>
              <w:t>c</w:t>
            </w:r>
            <w:r>
              <w:rPr>
                <w:sz w:val="24"/>
                <w:szCs w:val="24"/>
                <w:vertAlign w:val="subscript"/>
              </w:rPr>
              <w:t>p</w:t>
            </w:r>
            <w:r>
              <w:rPr>
                <w:sz w:val="24"/>
                <w:szCs w:val="24"/>
              </w:rPr>
              <w:t>—污水中污染物的浓度，mg/L。</w:t>
            </w:r>
          </w:p>
          <w:p>
            <w:pPr>
              <w:adjustRightInd w:val="0"/>
              <w:snapToGrid w:val="0"/>
              <w:spacing w:line="360" w:lineRule="auto"/>
              <w:ind w:firstLine="1200" w:firstLineChars="500"/>
              <w:rPr>
                <w:sz w:val="24"/>
                <w:szCs w:val="24"/>
              </w:rPr>
            </w:pPr>
            <w:r>
              <w:rPr>
                <w:sz w:val="24"/>
                <w:szCs w:val="24"/>
              </w:rPr>
              <w:t>Q</w:t>
            </w:r>
            <w:r>
              <w:rPr>
                <w:sz w:val="24"/>
                <w:szCs w:val="24"/>
                <w:vertAlign w:val="subscript"/>
              </w:rPr>
              <w:t>h</w:t>
            </w:r>
            <w:r>
              <w:rPr>
                <w:sz w:val="24"/>
                <w:szCs w:val="24"/>
              </w:rPr>
              <w:t>—河流流量，m</w:t>
            </w:r>
            <w:r>
              <w:rPr>
                <w:sz w:val="24"/>
                <w:szCs w:val="24"/>
                <w:vertAlign w:val="superscript"/>
              </w:rPr>
              <w:t>3</w:t>
            </w:r>
            <w:r>
              <w:rPr>
                <w:sz w:val="24"/>
                <w:szCs w:val="24"/>
              </w:rPr>
              <w:t>/s；</w:t>
            </w:r>
          </w:p>
          <w:p>
            <w:pPr>
              <w:adjustRightInd w:val="0"/>
              <w:snapToGrid w:val="0"/>
              <w:spacing w:line="360" w:lineRule="auto"/>
              <w:ind w:firstLine="1200" w:firstLineChars="500"/>
              <w:rPr>
                <w:sz w:val="24"/>
                <w:szCs w:val="24"/>
              </w:rPr>
            </w:pPr>
            <w:r>
              <w:rPr>
                <w:sz w:val="24"/>
                <w:szCs w:val="24"/>
              </w:rPr>
              <w:t>Q</w:t>
            </w:r>
            <w:r>
              <w:rPr>
                <w:sz w:val="24"/>
                <w:szCs w:val="24"/>
                <w:vertAlign w:val="subscript"/>
              </w:rPr>
              <w:t>p</w:t>
            </w:r>
            <w:r>
              <w:rPr>
                <w:sz w:val="24"/>
                <w:szCs w:val="24"/>
              </w:rPr>
              <w:t>—污水流量，m</w:t>
            </w:r>
            <w:r>
              <w:rPr>
                <w:sz w:val="24"/>
                <w:szCs w:val="24"/>
                <w:vertAlign w:val="superscript"/>
              </w:rPr>
              <w:t>3</w:t>
            </w:r>
            <w:r>
              <w:rPr>
                <w:sz w:val="24"/>
                <w:szCs w:val="24"/>
              </w:rPr>
              <w:t>/s；</w:t>
            </w:r>
          </w:p>
          <w:p>
            <w:pPr>
              <w:adjustRightInd w:val="0"/>
              <w:snapToGrid w:val="0"/>
              <w:spacing w:line="360" w:lineRule="auto"/>
              <w:ind w:firstLine="480" w:firstLineChars="200"/>
              <w:rPr>
                <w:sz w:val="24"/>
                <w:szCs w:val="24"/>
              </w:rPr>
            </w:pPr>
            <w:r>
              <w:rPr>
                <w:rFonts w:hint="eastAsia" w:ascii="宋体" w:hAnsi="宋体" w:cs="宋体"/>
                <w:sz w:val="24"/>
                <w:szCs w:val="24"/>
              </w:rPr>
              <w:t>②</w:t>
            </w:r>
            <w:r>
              <w:rPr>
                <w:sz w:val="24"/>
                <w:szCs w:val="24"/>
              </w:rPr>
              <w:t>预测参数</w:t>
            </w:r>
          </w:p>
          <w:p>
            <w:pPr>
              <w:adjustRightInd w:val="0"/>
              <w:snapToGrid w:val="0"/>
              <w:spacing w:line="360" w:lineRule="auto"/>
              <w:ind w:firstLine="480" w:firstLineChars="200"/>
              <w:rPr>
                <w:sz w:val="24"/>
                <w:szCs w:val="24"/>
              </w:rPr>
            </w:pPr>
            <w:r>
              <w:rPr>
                <w:sz w:val="24"/>
                <w:szCs w:val="24"/>
              </w:rPr>
              <w:t>预测参数见表</w:t>
            </w:r>
            <w:r>
              <w:rPr>
                <w:rFonts w:hint="eastAsia"/>
                <w:sz w:val="24"/>
                <w:szCs w:val="24"/>
              </w:rPr>
              <w:t>58</w:t>
            </w:r>
            <w:r>
              <w:rPr>
                <w:sz w:val="24"/>
                <w:szCs w:val="24"/>
              </w:rPr>
              <w:t>。</w:t>
            </w:r>
          </w:p>
          <w:p>
            <w:pPr>
              <w:spacing w:line="440" w:lineRule="exact"/>
              <w:ind w:firstLine="413" w:firstLineChars="196"/>
              <w:jc w:val="center"/>
              <w:rPr>
                <w:rFonts w:hAnsi="宋体"/>
                <w:b/>
                <w:szCs w:val="21"/>
              </w:rPr>
            </w:pPr>
            <w:r>
              <w:rPr>
                <w:rFonts w:hAnsi="宋体"/>
                <w:b/>
                <w:szCs w:val="21"/>
              </w:rPr>
              <w:t>表</w:t>
            </w:r>
            <w:r>
              <w:rPr>
                <w:rFonts w:hint="eastAsia" w:hAnsi="宋体"/>
                <w:b/>
                <w:szCs w:val="21"/>
              </w:rPr>
              <w:t>58</w:t>
            </w:r>
            <w:r>
              <w:rPr>
                <w:rFonts w:hAnsi="宋体"/>
                <w:b/>
                <w:szCs w:val="21"/>
              </w:rPr>
              <w:t xml:space="preserve">  预测参数</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553"/>
              <w:gridCol w:w="63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8" w:hRule="atLeast"/>
                <w:jc w:val="center"/>
              </w:trPr>
              <w:tc>
                <w:tcPr>
                  <w:tcW w:w="2553" w:type="dxa"/>
                  <w:vAlign w:val="center"/>
                </w:tcPr>
                <w:p>
                  <w:pPr>
                    <w:adjustRightInd w:val="0"/>
                    <w:snapToGrid w:val="0"/>
                    <w:jc w:val="center"/>
                    <w:rPr>
                      <w:b/>
                      <w:szCs w:val="21"/>
                    </w:rPr>
                  </w:pPr>
                  <w:r>
                    <w:rPr>
                      <w:rFonts w:hint="eastAsia"/>
                      <w:b/>
                      <w:szCs w:val="21"/>
                    </w:rPr>
                    <w:t>项目</w:t>
                  </w:r>
                </w:p>
              </w:tc>
              <w:tc>
                <w:tcPr>
                  <w:tcW w:w="6348" w:type="dxa"/>
                  <w:vAlign w:val="center"/>
                </w:tcPr>
                <w:p>
                  <w:pPr>
                    <w:adjustRightInd w:val="0"/>
                    <w:snapToGrid w:val="0"/>
                    <w:jc w:val="center"/>
                    <w:rPr>
                      <w:b/>
                      <w:szCs w:val="21"/>
                    </w:rPr>
                  </w:pPr>
                  <w:r>
                    <w:rPr>
                      <w:rFonts w:hint="eastAsia"/>
                      <w:b/>
                      <w:szCs w:val="21"/>
                    </w:rPr>
                    <w:t>流量m</w:t>
                  </w:r>
                  <w:r>
                    <w:rPr>
                      <w:rFonts w:hint="eastAsia"/>
                      <w:b/>
                      <w:szCs w:val="21"/>
                      <w:vertAlign w:val="superscript"/>
                    </w:rPr>
                    <w:t>3</w:t>
                  </w:r>
                  <w:r>
                    <w:rPr>
                      <w:rFonts w:hint="eastAsia"/>
                      <w:b/>
                      <w:szCs w:val="21"/>
                    </w:rPr>
                    <w:t>/s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jc w:val="center"/>
              </w:trPr>
              <w:tc>
                <w:tcPr>
                  <w:tcW w:w="2553" w:type="dxa"/>
                  <w:vAlign w:val="center"/>
                </w:tcPr>
                <w:p>
                  <w:pPr>
                    <w:adjustRightInd w:val="0"/>
                    <w:snapToGrid w:val="0"/>
                    <w:jc w:val="center"/>
                    <w:rPr>
                      <w:szCs w:val="21"/>
                    </w:rPr>
                  </w:pPr>
                  <w:r>
                    <w:rPr>
                      <w:rFonts w:hint="eastAsia"/>
                      <w:szCs w:val="21"/>
                    </w:rPr>
                    <w:t>污水流量</w:t>
                  </w:r>
                </w:p>
              </w:tc>
              <w:tc>
                <w:tcPr>
                  <w:tcW w:w="6348" w:type="dxa"/>
                  <w:vAlign w:val="center"/>
                </w:tcPr>
                <w:p>
                  <w:pPr>
                    <w:adjustRightInd w:val="0"/>
                    <w:snapToGrid w:val="0"/>
                    <w:jc w:val="center"/>
                    <w:rPr>
                      <w:szCs w:val="21"/>
                    </w:rPr>
                  </w:pPr>
                  <w:r>
                    <w:rPr>
                      <w:rFonts w:hint="eastAsia"/>
                      <w:szCs w:val="21"/>
                    </w:rPr>
                    <w:t>0.0012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jc w:val="center"/>
              </w:trPr>
              <w:tc>
                <w:tcPr>
                  <w:tcW w:w="2553" w:type="dxa"/>
                  <w:vAlign w:val="center"/>
                </w:tcPr>
                <w:p>
                  <w:pPr>
                    <w:adjustRightInd w:val="0"/>
                    <w:snapToGrid w:val="0"/>
                    <w:jc w:val="center"/>
                    <w:rPr>
                      <w:szCs w:val="21"/>
                    </w:rPr>
                  </w:pPr>
                  <w:r>
                    <w:rPr>
                      <w:rFonts w:hint="eastAsia"/>
                      <w:szCs w:val="21"/>
                    </w:rPr>
                    <w:t>老虎沟流量</w:t>
                  </w:r>
                </w:p>
              </w:tc>
              <w:tc>
                <w:tcPr>
                  <w:tcW w:w="6348" w:type="dxa"/>
                  <w:vAlign w:val="center"/>
                </w:tcPr>
                <w:p>
                  <w:pPr>
                    <w:adjustRightInd w:val="0"/>
                    <w:snapToGrid w:val="0"/>
                    <w:jc w:val="center"/>
                    <w:rPr>
                      <w:szCs w:val="21"/>
                    </w:rPr>
                  </w:pPr>
                  <w:r>
                    <w:rPr>
                      <w:rFonts w:hint="eastAsia"/>
                      <w:szCs w:val="21"/>
                    </w:rPr>
                    <w:t>0.48</w:t>
                  </w:r>
                </w:p>
              </w:tc>
            </w:tr>
          </w:tbl>
          <w:p>
            <w:pPr>
              <w:adjustRightInd w:val="0"/>
              <w:snapToGrid w:val="0"/>
              <w:spacing w:line="360" w:lineRule="auto"/>
              <w:ind w:firstLine="480" w:firstLineChars="200"/>
              <w:rPr>
                <w:sz w:val="24"/>
                <w:szCs w:val="24"/>
              </w:rPr>
            </w:pPr>
            <w:r>
              <w:rPr>
                <w:rFonts w:hint="eastAsia"/>
                <w:sz w:val="24"/>
                <w:szCs w:val="24"/>
              </w:rPr>
              <w:t>③预测结果及分析</w:t>
            </w:r>
          </w:p>
          <w:p>
            <w:pPr>
              <w:adjustRightInd w:val="0"/>
              <w:snapToGrid w:val="0"/>
              <w:spacing w:line="360" w:lineRule="auto"/>
              <w:ind w:firstLine="480" w:firstLineChars="200"/>
              <w:rPr>
                <w:sz w:val="24"/>
                <w:szCs w:val="24"/>
                <w:highlight w:val="lightGray"/>
              </w:rPr>
            </w:pPr>
            <w:r>
              <w:rPr>
                <w:rFonts w:hint="eastAsia"/>
                <w:sz w:val="24"/>
                <w:szCs w:val="24"/>
                <w:highlight w:val="lightGray"/>
              </w:rPr>
              <w:t>拟建项目采用完全混合模式预测，选择预测因子为总量控制指标COD</w:t>
            </w:r>
            <w:r>
              <w:rPr>
                <w:rFonts w:hint="eastAsia"/>
                <w:sz w:val="24"/>
                <w:szCs w:val="24"/>
                <w:highlight w:val="lightGray"/>
                <w:vertAlign w:val="subscript"/>
              </w:rPr>
              <w:t>Cr</w:t>
            </w:r>
            <w:r>
              <w:rPr>
                <w:rFonts w:hint="eastAsia"/>
                <w:sz w:val="24"/>
                <w:szCs w:val="24"/>
                <w:highlight w:val="lightGray"/>
              </w:rPr>
              <w:t>和NH</w:t>
            </w:r>
            <w:r>
              <w:rPr>
                <w:rFonts w:hint="eastAsia"/>
                <w:sz w:val="24"/>
                <w:szCs w:val="24"/>
                <w:highlight w:val="lightGray"/>
                <w:vertAlign w:val="subscript"/>
              </w:rPr>
              <w:t>3</w:t>
            </w:r>
            <w:r>
              <w:rPr>
                <w:rFonts w:hint="eastAsia"/>
                <w:sz w:val="24"/>
                <w:szCs w:val="24"/>
                <w:highlight w:val="lightGray"/>
              </w:rPr>
              <w:t>-N，预测结果如下：</w:t>
            </w:r>
          </w:p>
          <w:p>
            <w:pPr>
              <w:adjustRightInd w:val="0"/>
              <w:snapToGrid w:val="0"/>
              <w:spacing w:line="360" w:lineRule="auto"/>
              <w:ind w:firstLine="480" w:firstLineChars="200"/>
              <w:rPr>
                <w:sz w:val="24"/>
                <w:szCs w:val="24"/>
                <w:highlight w:val="lightGray"/>
              </w:rPr>
            </w:pPr>
            <w:r>
              <w:rPr>
                <w:rFonts w:hint="eastAsia"/>
                <w:sz w:val="24"/>
                <w:szCs w:val="24"/>
                <w:highlight w:val="lightGray"/>
              </w:rPr>
              <w:t>COD</w:t>
            </w:r>
            <w:r>
              <w:rPr>
                <w:rFonts w:hint="eastAsia"/>
                <w:sz w:val="24"/>
                <w:szCs w:val="24"/>
                <w:highlight w:val="lightGray"/>
                <w:vertAlign w:val="subscript"/>
              </w:rPr>
              <w:t>Cr</w:t>
            </w:r>
            <w:r>
              <w:rPr>
                <w:rFonts w:hint="eastAsia"/>
                <w:sz w:val="24"/>
                <w:szCs w:val="24"/>
                <w:highlight w:val="lightGray"/>
              </w:rPr>
              <w:t>：c=</w:t>
            </w:r>
            <m:oMath>
              <m:f>
                <m:fPr>
                  <m:ctrlPr>
                    <w:rPr>
                      <w:rFonts w:ascii="Cambria Math" w:hAnsi="Cambria Math"/>
                      <w:sz w:val="24"/>
                      <w:szCs w:val="24"/>
                      <w:highlight w:val="lightGray"/>
                    </w:rPr>
                  </m:ctrlPr>
                </m:fPr>
                <m:num>
                  <m:r>
                    <m:rPr>
                      <m:sty m:val="p"/>
                    </m:rPr>
                    <w:rPr>
                      <w:rFonts w:ascii="Cambria Math" w:hAnsi="Cambria Math"/>
                      <w:sz w:val="24"/>
                      <w:szCs w:val="24"/>
                      <w:highlight w:val="lightGray"/>
                    </w:rPr>
                    <m:t>c</m:t>
                  </m:r>
                  <m:d>
                    <m:dPr>
                      <m:begChr m:val="（"/>
                      <m:endChr m:val="）"/>
                      <m:ctrlPr>
                        <w:rPr>
                          <w:rFonts w:ascii="Cambria Math" w:hAnsi="Cambria Math"/>
                          <w:sz w:val="24"/>
                          <w:szCs w:val="24"/>
                          <w:highlight w:val="lightGray"/>
                        </w:rPr>
                      </m:ctrlPr>
                    </m:dPr>
                    <m:e>
                      <m:r>
                        <m:rPr>
                          <m:sty m:val="p"/>
                        </m:rPr>
                        <w:rPr>
                          <w:rFonts w:ascii="Cambria Math" w:hAnsi="Cambria Math"/>
                          <w:sz w:val="24"/>
                          <w:szCs w:val="24"/>
                          <w:highlight w:val="lightGray"/>
                        </w:rPr>
                        <m:t>COD</m:t>
                      </m:r>
                      <m:ctrlPr>
                        <w:rPr>
                          <w:rFonts w:ascii="Cambria Math" w:hAnsi="Cambria Math"/>
                          <w:sz w:val="24"/>
                          <w:szCs w:val="24"/>
                          <w:highlight w:val="lightGray"/>
                        </w:rPr>
                      </m:ctrlPr>
                    </m:e>
                  </m:d>
                  <m:r>
                    <m:rPr>
                      <m:sty m:val="p"/>
                    </m:rPr>
                    <w:rPr>
                      <w:rFonts w:ascii="Cambria Math" w:hAnsi="Cambria Math"/>
                      <w:sz w:val="24"/>
                      <w:szCs w:val="24"/>
                      <w:highlight w:val="lightGray"/>
                    </w:rPr>
                    <m:t>Q</m:t>
                  </m:r>
                  <m:d>
                    <m:dPr>
                      <m:begChr m:val="（"/>
                      <m:endChr m:val="）"/>
                      <m:ctrlPr>
                        <w:rPr>
                          <w:rFonts w:ascii="Cambria Math" w:hAnsi="Cambria Math"/>
                          <w:sz w:val="24"/>
                          <w:szCs w:val="24"/>
                          <w:highlight w:val="lightGray"/>
                        </w:rPr>
                      </m:ctrlPr>
                    </m:dPr>
                    <m:e>
                      <m:r>
                        <m:rPr>
                          <m:sty m:val="p"/>
                        </m:rPr>
                        <w:rPr>
                          <w:rFonts w:ascii="Cambria Math" w:hAnsi="Cambria Math"/>
                          <w:sz w:val="24"/>
                          <w:szCs w:val="24"/>
                          <w:highlight w:val="lightGray"/>
                        </w:rPr>
                        <m:t>COD</m:t>
                      </m:r>
                      <m:ctrlPr>
                        <w:rPr>
                          <w:rFonts w:ascii="Cambria Math" w:hAnsi="Cambria Math"/>
                          <w:sz w:val="24"/>
                          <w:szCs w:val="24"/>
                          <w:highlight w:val="lightGray"/>
                        </w:rPr>
                      </m:ctrlPr>
                    </m:e>
                  </m:d>
                  <m:r>
                    <m:rPr>
                      <m:sty m:val="p"/>
                    </m:rPr>
                    <w:rPr>
                      <w:rFonts w:ascii="Cambria Math" w:hAnsi="Cambria Math"/>
                      <w:sz w:val="24"/>
                      <w:szCs w:val="24"/>
                      <w:highlight w:val="lightGray"/>
                    </w:rPr>
                    <m:t>+c</m:t>
                  </m:r>
                  <m:d>
                    <m:dPr>
                      <m:begChr m:val="（"/>
                      <m:endChr m:val="）"/>
                      <m:ctrlPr>
                        <w:rPr>
                          <w:rFonts w:ascii="Cambria Math" w:hAnsi="Cambria Math"/>
                          <w:sz w:val="24"/>
                          <w:szCs w:val="24"/>
                          <w:highlight w:val="lightGray"/>
                        </w:rPr>
                      </m:ctrlPr>
                    </m:dPr>
                    <m:e>
                      <m:r>
                        <m:rPr>
                          <m:sty m:val="p"/>
                        </m:rPr>
                        <w:rPr>
                          <w:rFonts w:ascii="Cambria Math" w:hAnsi="Cambria Math"/>
                          <w:sz w:val="24"/>
                          <w:szCs w:val="24"/>
                          <w:highlight w:val="lightGray"/>
                        </w:rPr>
                        <m:t>河流</m:t>
                      </m:r>
                      <m:ctrlPr>
                        <w:rPr>
                          <w:rFonts w:ascii="Cambria Math" w:hAnsi="Cambria Math"/>
                          <w:sz w:val="24"/>
                          <w:szCs w:val="24"/>
                          <w:highlight w:val="lightGray"/>
                        </w:rPr>
                      </m:ctrlPr>
                    </m:e>
                  </m:d>
                  <m:r>
                    <m:rPr>
                      <m:sty m:val="p"/>
                    </m:rPr>
                    <w:rPr>
                      <w:rFonts w:ascii="Cambria Math" w:hAnsi="Cambria Math"/>
                      <w:sz w:val="24"/>
                      <w:szCs w:val="24"/>
                      <w:highlight w:val="lightGray"/>
                    </w:rPr>
                    <m:t>Q（河流）</m:t>
                  </m:r>
                  <m:ctrlPr>
                    <w:rPr>
                      <w:rFonts w:ascii="Cambria Math" w:hAnsi="Cambria Math"/>
                      <w:sz w:val="24"/>
                      <w:szCs w:val="24"/>
                      <w:highlight w:val="lightGray"/>
                    </w:rPr>
                  </m:ctrlPr>
                </m:num>
                <m:den>
                  <m:r>
                    <m:rPr>
                      <m:sty m:val="p"/>
                    </m:rPr>
                    <w:rPr>
                      <w:rFonts w:ascii="Cambria Math" w:hAnsi="Cambria Math"/>
                      <w:sz w:val="24"/>
                      <w:szCs w:val="24"/>
                      <w:highlight w:val="lightGray"/>
                    </w:rPr>
                    <m:t>Q</m:t>
                  </m:r>
                  <m:d>
                    <m:dPr>
                      <m:begChr m:val="（"/>
                      <m:endChr m:val="）"/>
                      <m:ctrlPr>
                        <w:rPr>
                          <w:rFonts w:ascii="Cambria Math" w:hAnsi="Cambria Math"/>
                          <w:sz w:val="24"/>
                          <w:szCs w:val="24"/>
                          <w:highlight w:val="lightGray"/>
                        </w:rPr>
                      </m:ctrlPr>
                    </m:dPr>
                    <m:e>
                      <m:r>
                        <m:rPr>
                          <m:sty m:val="p"/>
                        </m:rPr>
                        <w:rPr>
                          <w:rFonts w:ascii="Cambria Math" w:hAnsi="Cambria Math"/>
                          <w:sz w:val="24"/>
                          <w:szCs w:val="24"/>
                          <w:highlight w:val="lightGray"/>
                        </w:rPr>
                        <m:t>COD</m:t>
                      </m:r>
                      <m:ctrlPr>
                        <w:rPr>
                          <w:rFonts w:ascii="Cambria Math" w:hAnsi="Cambria Math"/>
                          <w:sz w:val="24"/>
                          <w:szCs w:val="24"/>
                          <w:highlight w:val="lightGray"/>
                        </w:rPr>
                      </m:ctrlPr>
                    </m:e>
                  </m:d>
                  <m:r>
                    <m:rPr>
                      <m:sty m:val="p"/>
                    </m:rPr>
                    <w:rPr>
                      <w:rFonts w:ascii="Cambria Math" w:hAnsi="Cambria Math"/>
                      <w:sz w:val="24"/>
                      <w:szCs w:val="24"/>
                      <w:highlight w:val="lightGray"/>
                    </w:rPr>
                    <m:t>+Q（河流）</m:t>
                  </m:r>
                  <m:ctrlPr>
                    <w:rPr>
                      <w:rFonts w:ascii="Cambria Math" w:hAnsi="Cambria Math"/>
                      <w:sz w:val="24"/>
                      <w:szCs w:val="24"/>
                      <w:highlight w:val="lightGray"/>
                    </w:rPr>
                  </m:ctrlPr>
                </m:den>
              </m:f>
            </m:oMath>
            <w:r>
              <w:rPr>
                <w:rFonts w:hint="eastAsia"/>
                <w:sz w:val="24"/>
                <w:szCs w:val="24"/>
                <w:highlight w:val="lightGray"/>
              </w:rPr>
              <w:t>=</w:t>
            </w:r>
            <m:oMath>
              <m:f>
                <m:fPr>
                  <m:ctrlPr>
                    <w:rPr>
                      <w:rFonts w:ascii="Cambria Math" w:hAnsi="Cambria Math"/>
                      <w:sz w:val="24"/>
                      <w:szCs w:val="24"/>
                      <w:highlight w:val="lightGray"/>
                    </w:rPr>
                  </m:ctrlPr>
                </m:fPr>
                <m:num>
                  <m:r>
                    <m:rPr>
                      <m:sty m:val="p"/>
                    </m:rPr>
                    <w:rPr>
                      <w:rFonts w:ascii="Cambria Math" w:hAnsi="Cambria Math"/>
                      <w:sz w:val="24"/>
                      <w:szCs w:val="24"/>
                      <w:highlight w:val="lightGray"/>
                    </w:rPr>
                    <m:t>50×0.0012+25×0.48</m:t>
                  </m:r>
                  <m:ctrlPr>
                    <w:rPr>
                      <w:rFonts w:ascii="Cambria Math" w:hAnsi="Cambria Math"/>
                      <w:sz w:val="24"/>
                      <w:szCs w:val="24"/>
                      <w:highlight w:val="lightGray"/>
                    </w:rPr>
                  </m:ctrlPr>
                </m:num>
                <m:den>
                  <m:r>
                    <m:rPr>
                      <m:sty m:val="p"/>
                    </m:rPr>
                    <w:rPr>
                      <w:rFonts w:ascii="Cambria Math" w:hAnsi="Cambria Math"/>
                      <w:sz w:val="24"/>
                      <w:szCs w:val="24"/>
                      <w:highlight w:val="lightGray"/>
                    </w:rPr>
                    <m:t>0.0012+0.48</m:t>
                  </m:r>
                  <m:ctrlPr>
                    <w:rPr>
                      <w:rFonts w:ascii="Cambria Math" w:hAnsi="Cambria Math"/>
                      <w:sz w:val="24"/>
                      <w:szCs w:val="24"/>
                      <w:highlight w:val="lightGray"/>
                    </w:rPr>
                  </m:ctrlPr>
                </m:den>
              </m:f>
            </m:oMath>
            <w:r>
              <w:rPr>
                <w:rFonts w:hint="eastAsia"/>
                <w:sz w:val="24"/>
                <w:szCs w:val="24"/>
                <w:highlight w:val="lightGray"/>
              </w:rPr>
              <w:t>mg/L=25.06mg/L</w:t>
            </w:r>
          </w:p>
          <w:p>
            <w:pPr>
              <w:adjustRightInd w:val="0"/>
              <w:snapToGrid w:val="0"/>
              <w:spacing w:line="360" w:lineRule="auto"/>
              <w:ind w:firstLine="480" w:firstLineChars="200"/>
              <w:rPr>
                <w:sz w:val="24"/>
                <w:szCs w:val="24"/>
              </w:rPr>
            </w:pPr>
            <w:r>
              <w:rPr>
                <w:rFonts w:hint="eastAsia"/>
                <w:sz w:val="24"/>
                <w:szCs w:val="24"/>
                <w:highlight w:val="lightGray"/>
              </w:rPr>
              <w:t>NH</w:t>
            </w:r>
            <w:r>
              <w:rPr>
                <w:rFonts w:hint="eastAsia"/>
                <w:sz w:val="24"/>
                <w:szCs w:val="24"/>
                <w:highlight w:val="lightGray"/>
                <w:vertAlign w:val="subscript"/>
              </w:rPr>
              <w:t>3</w:t>
            </w:r>
            <w:r>
              <w:rPr>
                <w:rFonts w:hint="eastAsia"/>
                <w:sz w:val="24"/>
                <w:szCs w:val="24"/>
                <w:highlight w:val="lightGray"/>
              </w:rPr>
              <w:t>-N：c=</w:t>
            </w:r>
            <m:oMath>
              <m:f>
                <m:fPr>
                  <m:ctrlPr>
                    <w:rPr>
                      <w:rFonts w:ascii="Cambria Math" w:hAnsi="Cambria Math"/>
                      <w:sz w:val="24"/>
                      <w:szCs w:val="24"/>
                      <w:highlight w:val="lightGray"/>
                    </w:rPr>
                  </m:ctrlPr>
                </m:fPr>
                <m:num>
                  <m:r>
                    <m:rPr>
                      <m:sty m:val="p"/>
                    </m:rPr>
                    <w:rPr>
                      <w:rFonts w:ascii="Cambria Math" w:hAnsi="Cambria Math"/>
                      <w:sz w:val="24"/>
                      <w:szCs w:val="24"/>
                      <w:highlight w:val="lightGray"/>
                    </w:rPr>
                    <m:t>c</m:t>
                  </m:r>
                  <m:d>
                    <m:dPr>
                      <m:begChr m:val="（"/>
                      <m:endChr m:val="）"/>
                      <m:ctrlPr>
                        <w:rPr>
                          <w:rFonts w:ascii="Cambria Math" w:hAnsi="Cambria Math"/>
                          <w:sz w:val="24"/>
                          <w:szCs w:val="24"/>
                          <w:highlight w:val="lightGray"/>
                        </w:rPr>
                      </m:ctrlPr>
                    </m:dPr>
                    <m:e>
                      <m:r>
                        <m:rPr>
                          <m:sty m:val="p"/>
                        </m:rPr>
                        <w:rPr>
                          <w:rFonts w:hint="eastAsia" w:ascii="Cambria Math" w:hAnsi="Cambria Math"/>
                          <w:sz w:val="24"/>
                          <w:szCs w:val="24"/>
                          <w:highlight w:val="lightGray"/>
                        </w:rPr>
                        <m:t>NH</m:t>
                      </m:r>
                      <m:r>
                        <m:rPr>
                          <m:sty m:val="p"/>
                        </m:rPr>
                        <w:rPr>
                          <w:rFonts w:hint="eastAsia" w:ascii="Cambria Math" w:hAnsi="Cambria Math"/>
                          <w:sz w:val="24"/>
                          <w:szCs w:val="24"/>
                          <w:highlight w:val="lightGray"/>
                          <w:vertAlign w:val="subscript"/>
                        </w:rPr>
                        <m:t>3</m:t>
                      </m:r>
                      <m:r>
                        <m:rPr>
                          <m:sty m:val="p"/>
                        </m:rPr>
                        <w:rPr>
                          <w:rFonts w:hint="eastAsia" w:ascii="MS Mincho" w:hAnsi="MS Mincho" w:eastAsia="MS Mincho" w:cs="MS Mincho"/>
                          <w:sz w:val="24"/>
                          <w:szCs w:val="24"/>
                          <w:highlight w:val="lightGray"/>
                        </w:rPr>
                        <m:t>-</m:t>
                      </m:r>
                      <m:r>
                        <m:rPr>
                          <m:sty m:val="p"/>
                        </m:rPr>
                        <w:rPr>
                          <w:rFonts w:hint="eastAsia" w:ascii="Cambria Math" w:hAnsi="Cambria Math"/>
                          <w:sz w:val="24"/>
                          <w:szCs w:val="24"/>
                          <w:highlight w:val="lightGray"/>
                        </w:rPr>
                        <m:t>N</m:t>
                      </m:r>
                      <m:ctrlPr>
                        <w:rPr>
                          <w:rFonts w:ascii="Cambria Math" w:hAnsi="Cambria Math"/>
                          <w:sz w:val="24"/>
                          <w:szCs w:val="24"/>
                          <w:highlight w:val="lightGray"/>
                        </w:rPr>
                      </m:ctrlPr>
                    </m:e>
                  </m:d>
                  <m:r>
                    <m:rPr>
                      <m:sty m:val="p"/>
                    </m:rPr>
                    <w:rPr>
                      <w:rFonts w:ascii="Cambria Math" w:hAnsi="Cambria Math"/>
                      <w:sz w:val="24"/>
                      <w:szCs w:val="24"/>
                      <w:highlight w:val="lightGray"/>
                    </w:rPr>
                    <m:t>Q</m:t>
                  </m:r>
                  <m:d>
                    <m:dPr>
                      <m:begChr m:val="（"/>
                      <m:endChr m:val="）"/>
                      <m:ctrlPr>
                        <w:rPr>
                          <w:rFonts w:ascii="Cambria Math" w:hAnsi="Cambria Math"/>
                          <w:sz w:val="24"/>
                          <w:szCs w:val="24"/>
                          <w:highlight w:val="lightGray"/>
                        </w:rPr>
                      </m:ctrlPr>
                    </m:dPr>
                    <m:e>
                      <m:r>
                        <m:rPr>
                          <m:sty m:val="p"/>
                        </m:rPr>
                        <w:rPr>
                          <w:rFonts w:hint="eastAsia" w:ascii="Cambria Math" w:hAnsi="Cambria Math"/>
                          <w:sz w:val="24"/>
                          <w:szCs w:val="24"/>
                          <w:highlight w:val="lightGray"/>
                        </w:rPr>
                        <m:t>NH</m:t>
                      </m:r>
                      <m:r>
                        <m:rPr>
                          <m:sty m:val="p"/>
                        </m:rPr>
                        <w:rPr>
                          <w:rFonts w:hint="eastAsia" w:ascii="Cambria Math" w:hAnsi="Cambria Math"/>
                          <w:sz w:val="24"/>
                          <w:szCs w:val="24"/>
                          <w:highlight w:val="lightGray"/>
                          <w:vertAlign w:val="subscript"/>
                        </w:rPr>
                        <m:t>3</m:t>
                      </m:r>
                      <m:r>
                        <m:rPr>
                          <m:sty m:val="p"/>
                        </m:rPr>
                        <w:rPr>
                          <w:rFonts w:hint="eastAsia" w:ascii="MS Mincho" w:hAnsi="MS Mincho" w:eastAsia="MS Mincho" w:cs="MS Mincho"/>
                          <w:sz w:val="24"/>
                          <w:szCs w:val="24"/>
                          <w:highlight w:val="lightGray"/>
                        </w:rPr>
                        <m:t>-</m:t>
                      </m:r>
                      <m:r>
                        <m:rPr>
                          <m:sty m:val="p"/>
                        </m:rPr>
                        <w:rPr>
                          <w:rFonts w:hint="eastAsia" w:ascii="Cambria Math" w:hAnsi="Cambria Math"/>
                          <w:sz w:val="24"/>
                          <w:szCs w:val="24"/>
                          <w:highlight w:val="lightGray"/>
                        </w:rPr>
                        <m:t>N</m:t>
                      </m:r>
                      <m:ctrlPr>
                        <w:rPr>
                          <w:rFonts w:ascii="Cambria Math" w:hAnsi="Cambria Math"/>
                          <w:sz w:val="24"/>
                          <w:szCs w:val="24"/>
                          <w:highlight w:val="lightGray"/>
                        </w:rPr>
                      </m:ctrlPr>
                    </m:e>
                  </m:d>
                  <m:r>
                    <m:rPr>
                      <m:sty m:val="p"/>
                    </m:rPr>
                    <w:rPr>
                      <w:rFonts w:ascii="Cambria Math" w:hAnsi="Cambria Math"/>
                      <w:sz w:val="24"/>
                      <w:szCs w:val="24"/>
                      <w:highlight w:val="lightGray"/>
                    </w:rPr>
                    <m:t>+c</m:t>
                  </m:r>
                  <m:d>
                    <m:dPr>
                      <m:begChr m:val="（"/>
                      <m:endChr m:val="）"/>
                      <m:ctrlPr>
                        <w:rPr>
                          <w:rFonts w:ascii="Cambria Math" w:hAnsi="Cambria Math"/>
                          <w:sz w:val="24"/>
                          <w:szCs w:val="24"/>
                          <w:highlight w:val="lightGray"/>
                        </w:rPr>
                      </m:ctrlPr>
                    </m:dPr>
                    <m:e>
                      <m:r>
                        <m:rPr>
                          <m:sty m:val="p"/>
                        </m:rPr>
                        <w:rPr>
                          <w:rFonts w:ascii="Cambria Math" w:hAnsi="Cambria Math"/>
                          <w:sz w:val="24"/>
                          <w:szCs w:val="24"/>
                          <w:highlight w:val="lightGray"/>
                        </w:rPr>
                        <m:t>河流</m:t>
                      </m:r>
                      <m:ctrlPr>
                        <w:rPr>
                          <w:rFonts w:ascii="Cambria Math" w:hAnsi="Cambria Math"/>
                          <w:sz w:val="24"/>
                          <w:szCs w:val="24"/>
                          <w:highlight w:val="lightGray"/>
                        </w:rPr>
                      </m:ctrlPr>
                    </m:e>
                  </m:d>
                  <m:r>
                    <m:rPr>
                      <m:sty m:val="p"/>
                    </m:rPr>
                    <w:rPr>
                      <w:rFonts w:ascii="Cambria Math" w:hAnsi="Cambria Math"/>
                      <w:sz w:val="24"/>
                      <w:szCs w:val="24"/>
                      <w:highlight w:val="lightGray"/>
                    </w:rPr>
                    <m:t>Q（河流）</m:t>
                  </m:r>
                  <m:ctrlPr>
                    <w:rPr>
                      <w:rFonts w:ascii="Cambria Math" w:hAnsi="Cambria Math"/>
                      <w:sz w:val="24"/>
                      <w:szCs w:val="24"/>
                      <w:highlight w:val="lightGray"/>
                    </w:rPr>
                  </m:ctrlPr>
                </m:num>
                <m:den>
                  <m:r>
                    <m:rPr>
                      <m:sty m:val="p"/>
                    </m:rPr>
                    <w:rPr>
                      <w:rFonts w:ascii="Cambria Math" w:hAnsi="Cambria Math"/>
                      <w:sz w:val="24"/>
                      <w:szCs w:val="24"/>
                      <w:highlight w:val="lightGray"/>
                    </w:rPr>
                    <m:t>Q</m:t>
                  </m:r>
                  <m:d>
                    <m:dPr>
                      <m:begChr m:val="（"/>
                      <m:endChr m:val="）"/>
                      <m:ctrlPr>
                        <w:rPr>
                          <w:rFonts w:ascii="Cambria Math" w:hAnsi="Cambria Math"/>
                          <w:sz w:val="24"/>
                          <w:szCs w:val="24"/>
                          <w:highlight w:val="lightGray"/>
                        </w:rPr>
                      </m:ctrlPr>
                    </m:dPr>
                    <m:e>
                      <m:r>
                        <m:rPr>
                          <m:sty m:val="p"/>
                        </m:rPr>
                        <w:rPr>
                          <w:rFonts w:hint="eastAsia" w:ascii="Cambria Math" w:hAnsi="Cambria Math"/>
                          <w:sz w:val="24"/>
                          <w:szCs w:val="24"/>
                          <w:highlight w:val="lightGray"/>
                        </w:rPr>
                        <m:t>NH</m:t>
                      </m:r>
                      <m:r>
                        <m:rPr>
                          <m:sty m:val="p"/>
                        </m:rPr>
                        <w:rPr>
                          <w:rFonts w:hint="eastAsia" w:ascii="Cambria Math" w:hAnsi="Cambria Math"/>
                          <w:sz w:val="24"/>
                          <w:szCs w:val="24"/>
                          <w:highlight w:val="lightGray"/>
                          <w:vertAlign w:val="subscript"/>
                        </w:rPr>
                        <m:t>3</m:t>
                      </m:r>
                      <m:r>
                        <m:rPr>
                          <m:sty m:val="p"/>
                        </m:rPr>
                        <w:rPr>
                          <w:rFonts w:hint="eastAsia" w:ascii="MS Mincho" w:hAnsi="MS Mincho" w:eastAsia="MS Mincho" w:cs="MS Mincho"/>
                          <w:sz w:val="24"/>
                          <w:szCs w:val="24"/>
                          <w:highlight w:val="lightGray"/>
                        </w:rPr>
                        <m:t>-</m:t>
                      </m:r>
                      <m:r>
                        <m:rPr>
                          <m:sty m:val="p"/>
                        </m:rPr>
                        <w:rPr>
                          <w:rFonts w:hint="eastAsia" w:ascii="Cambria Math" w:hAnsi="Cambria Math"/>
                          <w:sz w:val="24"/>
                          <w:szCs w:val="24"/>
                          <w:highlight w:val="lightGray"/>
                        </w:rPr>
                        <m:t>N</m:t>
                      </m:r>
                      <m:ctrlPr>
                        <w:rPr>
                          <w:rFonts w:ascii="Cambria Math" w:hAnsi="Cambria Math"/>
                          <w:sz w:val="24"/>
                          <w:szCs w:val="24"/>
                          <w:highlight w:val="lightGray"/>
                        </w:rPr>
                      </m:ctrlPr>
                    </m:e>
                  </m:d>
                  <m:r>
                    <m:rPr>
                      <m:sty m:val="p"/>
                    </m:rPr>
                    <w:rPr>
                      <w:rFonts w:ascii="Cambria Math" w:hAnsi="Cambria Math"/>
                      <w:sz w:val="24"/>
                      <w:szCs w:val="24"/>
                      <w:highlight w:val="lightGray"/>
                    </w:rPr>
                    <m:t>+Q（河流）</m:t>
                  </m:r>
                  <m:ctrlPr>
                    <w:rPr>
                      <w:rFonts w:ascii="Cambria Math" w:hAnsi="Cambria Math"/>
                      <w:sz w:val="24"/>
                      <w:szCs w:val="24"/>
                      <w:highlight w:val="lightGray"/>
                    </w:rPr>
                  </m:ctrlPr>
                </m:den>
              </m:f>
            </m:oMath>
            <w:r>
              <w:rPr>
                <w:rFonts w:hint="eastAsia"/>
                <w:sz w:val="24"/>
                <w:szCs w:val="24"/>
                <w:highlight w:val="lightGray"/>
              </w:rPr>
              <w:t>=</w:t>
            </w:r>
            <m:oMath>
              <m:f>
                <m:fPr>
                  <m:ctrlPr>
                    <w:rPr>
                      <w:rFonts w:ascii="Cambria Math" w:hAnsi="Cambria Math"/>
                      <w:sz w:val="24"/>
                      <w:szCs w:val="24"/>
                      <w:highlight w:val="lightGray"/>
                    </w:rPr>
                  </m:ctrlPr>
                </m:fPr>
                <m:num>
                  <m:r>
                    <m:rPr>
                      <m:sty m:val="p"/>
                    </m:rPr>
                    <w:rPr>
                      <w:rFonts w:ascii="Cambria Math" w:hAnsi="Cambria Math"/>
                      <w:sz w:val="24"/>
                      <w:szCs w:val="24"/>
                      <w:highlight w:val="lightGray"/>
                    </w:rPr>
                    <m:t>5×0.0012+0.082×0.48</m:t>
                  </m:r>
                  <m:ctrlPr>
                    <w:rPr>
                      <w:rFonts w:ascii="Cambria Math" w:hAnsi="Cambria Math"/>
                      <w:sz w:val="24"/>
                      <w:szCs w:val="24"/>
                      <w:highlight w:val="lightGray"/>
                    </w:rPr>
                  </m:ctrlPr>
                </m:num>
                <m:den>
                  <m:r>
                    <m:rPr>
                      <m:sty m:val="p"/>
                    </m:rPr>
                    <w:rPr>
                      <w:rFonts w:ascii="Cambria Math" w:hAnsi="Cambria Math"/>
                      <w:sz w:val="24"/>
                      <w:szCs w:val="24"/>
                      <w:highlight w:val="lightGray"/>
                    </w:rPr>
                    <m:t>0.0012+0.48</m:t>
                  </m:r>
                  <m:ctrlPr>
                    <w:rPr>
                      <w:rFonts w:ascii="Cambria Math" w:hAnsi="Cambria Math"/>
                      <w:sz w:val="24"/>
                      <w:szCs w:val="24"/>
                      <w:highlight w:val="lightGray"/>
                    </w:rPr>
                  </m:ctrlPr>
                </m:den>
              </m:f>
            </m:oMath>
            <w:r>
              <w:rPr>
                <w:rFonts w:hint="eastAsia"/>
                <w:sz w:val="24"/>
                <w:szCs w:val="24"/>
                <w:highlight w:val="lightGray"/>
              </w:rPr>
              <w:t>mg/L=0.09mg/L</w:t>
            </w:r>
          </w:p>
          <w:p>
            <w:pPr>
              <w:adjustRightInd w:val="0"/>
              <w:snapToGrid w:val="0"/>
              <w:spacing w:line="360" w:lineRule="auto"/>
              <w:ind w:firstLine="480" w:firstLineChars="200"/>
              <w:rPr>
                <w:sz w:val="24"/>
                <w:szCs w:val="24"/>
              </w:rPr>
            </w:pPr>
            <w:r>
              <w:rPr>
                <w:rFonts w:hint="eastAsia"/>
                <w:sz w:val="24"/>
                <w:szCs w:val="24"/>
              </w:rPr>
              <w:t>预测结果见表59。</w:t>
            </w:r>
          </w:p>
          <w:p>
            <w:pPr>
              <w:spacing w:line="440" w:lineRule="exact"/>
              <w:ind w:firstLine="413" w:firstLineChars="196"/>
              <w:jc w:val="center"/>
              <w:rPr>
                <w:rFonts w:hAnsi="宋体"/>
                <w:b/>
                <w:szCs w:val="21"/>
              </w:rPr>
            </w:pPr>
            <w:r>
              <w:rPr>
                <w:rFonts w:hint="eastAsia" w:hAnsi="宋体"/>
                <w:b/>
                <w:szCs w:val="21"/>
              </w:rPr>
              <w:t>表59  预测结果</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28"/>
              <w:gridCol w:w="1024"/>
              <w:gridCol w:w="1136"/>
              <w:gridCol w:w="2366"/>
              <w:gridCol w:w="284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0" w:hRule="atLeast"/>
                <w:jc w:val="center"/>
              </w:trPr>
              <w:tc>
                <w:tcPr>
                  <w:tcW w:w="1528" w:type="dxa"/>
                  <w:vAlign w:val="center"/>
                </w:tcPr>
                <w:p>
                  <w:pPr>
                    <w:adjustRightInd w:val="0"/>
                    <w:snapToGrid w:val="0"/>
                    <w:jc w:val="center"/>
                    <w:rPr>
                      <w:b/>
                      <w:szCs w:val="21"/>
                    </w:rPr>
                  </w:pPr>
                  <w:r>
                    <w:rPr>
                      <w:rFonts w:hint="eastAsia"/>
                      <w:b/>
                      <w:szCs w:val="21"/>
                    </w:rPr>
                    <w:t>污染物名称</w:t>
                  </w:r>
                </w:p>
              </w:tc>
              <w:tc>
                <w:tcPr>
                  <w:tcW w:w="1024" w:type="dxa"/>
                  <w:vAlign w:val="center"/>
                </w:tcPr>
                <w:p>
                  <w:pPr>
                    <w:adjustRightInd w:val="0"/>
                    <w:snapToGrid w:val="0"/>
                    <w:jc w:val="center"/>
                    <w:rPr>
                      <w:b/>
                      <w:szCs w:val="21"/>
                    </w:rPr>
                  </w:pPr>
                  <w:r>
                    <w:rPr>
                      <w:rFonts w:hint="eastAsia"/>
                      <w:b/>
                      <w:szCs w:val="21"/>
                    </w:rPr>
                    <w:t>背景值</w:t>
                  </w:r>
                </w:p>
              </w:tc>
              <w:tc>
                <w:tcPr>
                  <w:tcW w:w="1136" w:type="dxa"/>
                  <w:vAlign w:val="center"/>
                </w:tcPr>
                <w:p>
                  <w:pPr>
                    <w:adjustRightInd w:val="0"/>
                    <w:snapToGrid w:val="0"/>
                    <w:jc w:val="center"/>
                    <w:rPr>
                      <w:b/>
                      <w:szCs w:val="21"/>
                    </w:rPr>
                  </w:pPr>
                  <w:r>
                    <w:rPr>
                      <w:rFonts w:hint="eastAsia"/>
                      <w:b/>
                      <w:szCs w:val="21"/>
                    </w:rPr>
                    <w:t>排放浓度</w:t>
                  </w:r>
                </w:p>
              </w:tc>
              <w:tc>
                <w:tcPr>
                  <w:tcW w:w="2366" w:type="dxa"/>
                  <w:vAlign w:val="center"/>
                </w:tcPr>
                <w:p>
                  <w:pPr>
                    <w:adjustRightInd w:val="0"/>
                    <w:snapToGrid w:val="0"/>
                    <w:jc w:val="center"/>
                    <w:rPr>
                      <w:b/>
                      <w:szCs w:val="21"/>
                    </w:rPr>
                  </w:pPr>
                  <w:r>
                    <w:rPr>
                      <w:rFonts w:hint="eastAsia"/>
                      <w:b/>
                      <w:szCs w:val="21"/>
                    </w:rPr>
                    <w:t>预测浓度mg/L</w:t>
                  </w:r>
                </w:p>
              </w:tc>
              <w:tc>
                <w:tcPr>
                  <w:tcW w:w="2847" w:type="dxa"/>
                  <w:vAlign w:val="center"/>
                </w:tcPr>
                <w:p>
                  <w:pPr>
                    <w:adjustRightInd w:val="0"/>
                    <w:snapToGrid w:val="0"/>
                    <w:jc w:val="center"/>
                    <w:rPr>
                      <w:b/>
                      <w:szCs w:val="21"/>
                    </w:rPr>
                  </w:pPr>
                  <w:r>
                    <w:rPr>
                      <w:b/>
                      <w:szCs w:val="21"/>
                    </w:rPr>
                    <w:t>《地表水环境质量</w:t>
                  </w:r>
                  <w:r>
                    <w:rPr>
                      <w:rFonts w:hint="eastAsia"/>
                      <w:b/>
                      <w:szCs w:val="21"/>
                    </w:rPr>
                    <w:t>标准</w:t>
                  </w:r>
                  <w:r>
                    <w:rPr>
                      <w:b/>
                      <w:szCs w:val="21"/>
                    </w:rPr>
                    <w:t>》（GB3838-2002）</w:t>
                  </w:r>
                  <w:r>
                    <w:rPr>
                      <w:rFonts w:hint="eastAsia"/>
                      <w:b/>
                      <w:szCs w:val="21"/>
                    </w:rPr>
                    <w:t>Ⅳ</w:t>
                  </w:r>
                  <w:r>
                    <w:rPr>
                      <w:b/>
                      <w:szCs w:val="21"/>
                    </w:rPr>
                    <w:t>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6" w:hRule="atLeast"/>
                <w:jc w:val="center"/>
              </w:trPr>
              <w:tc>
                <w:tcPr>
                  <w:tcW w:w="1528" w:type="dxa"/>
                  <w:vAlign w:val="center"/>
                </w:tcPr>
                <w:p>
                  <w:pPr>
                    <w:adjustRightInd w:val="0"/>
                    <w:snapToGrid w:val="0"/>
                    <w:jc w:val="center"/>
                    <w:rPr>
                      <w:szCs w:val="21"/>
                    </w:rPr>
                  </w:pPr>
                  <w:r>
                    <w:rPr>
                      <w:rFonts w:hint="eastAsia"/>
                      <w:szCs w:val="21"/>
                    </w:rPr>
                    <w:t>COD</w:t>
                  </w:r>
                  <w:r>
                    <w:rPr>
                      <w:rFonts w:hint="eastAsia"/>
                      <w:szCs w:val="21"/>
                      <w:vertAlign w:val="subscript"/>
                    </w:rPr>
                    <w:t>Cr</w:t>
                  </w:r>
                </w:p>
              </w:tc>
              <w:tc>
                <w:tcPr>
                  <w:tcW w:w="1024" w:type="dxa"/>
                  <w:vAlign w:val="center"/>
                </w:tcPr>
                <w:p>
                  <w:pPr>
                    <w:adjustRightInd w:val="0"/>
                    <w:snapToGrid w:val="0"/>
                    <w:jc w:val="center"/>
                    <w:rPr>
                      <w:szCs w:val="21"/>
                    </w:rPr>
                  </w:pPr>
                  <w:r>
                    <w:rPr>
                      <w:rFonts w:hint="eastAsia"/>
                      <w:szCs w:val="21"/>
                    </w:rPr>
                    <w:t>25</w:t>
                  </w:r>
                </w:p>
              </w:tc>
              <w:tc>
                <w:tcPr>
                  <w:tcW w:w="1136" w:type="dxa"/>
                  <w:vAlign w:val="center"/>
                </w:tcPr>
                <w:p>
                  <w:pPr>
                    <w:adjustRightInd w:val="0"/>
                    <w:snapToGrid w:val="0"/>
                    <w:jc w:val="center"/>
                    <w:rPr>
                      <w:szCs w:val="21"/>
                    </w:rPr>
                  </w:pPr>
                  <w:r>
                    <w:rPr>
                      <w:rFonts w:hint="eastAsia"/>
                      <w:szCs w:val="21"/>
                    </w:rPr>
                    <w:t>50</w:t>
                  </w:r>
                </w:p>
              </w:tc>
              <w:tc>
                <w:tcPr>
                  <w:tcW w:w="2366" w:type="dxa"/>
                  <w:vAlign w:val="center"/>
                </w:tcPr>
                <w:p>
                  <w:pPr>
                    <w:adjustRightInd w:val="0"/>
                    <w:snapToGrid w:val="0"/>
                    <w:jc w:val="center"/>
                    <w:rPr>
                      <w:szCs w:val="21"/>
                    </w:rPr>
                  </w:pPr>
                  <w:r>
                    <w:rPr>
                      <w:rFonts w:hint="eastAsia"/>
                      <w:szCs w:val="21"/>
                    </w:rPr>
                    <w:t>25.06</w:t>
                  </w:r>
                </w:p>
              </w:tc>
              <w:tc>
                <w:tcPr>
                  <w:tcW w:w="2847" w:type="dxa"/>
                  <w:vAlign w:val="center"/>
                </w:tcPr>
                <w:p>
                  <w:pPr>
                    <w:adjustRightInd w:val="0"/>
                    <w:snapToGrid w:val="0"/>
                    <w:jc w:val="center"/>
                    <w:rPr>
                      <w:szCs w:val="21"/>
                    </w:rPr>
                  </w:pPr>
                  <w:r>
                    <w:rPr>
                      <w:szCs w:val="21"/>
                    </w:rPr>
                    <w:t>≤</w:t>
                  </w:r>
                  <w:r>
                    <w:rPr>
                      <w:rFonts w:hint="eastAsia"/>
                      <w:szCs w:val="21"/>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6" w:hRule="atLeast"/>
                <w:jc w:val="center"/>
              </w:trPr>
              <w:tc>
                <w:tcPr>
                  <w:tcW w:w="1528" w:type="dxa"/>
                  <w:vAlign w:val="center"/>
                </w:tcPr>
                <w:p>
                  <w:pPr>
                    <w:adjustRightInd w:val="0"/>
                    <w:snapToGrid w:val="0"/>
                    <w:jc w:val="center"/>
                    <w:rPr>
                      <w:szCs w:val="21"/>
                    </w:rPr>
                  </w:pPr>
                  <w:r>
                    <w:rPr>
                      <w:rFonts w:hint="eastAsia"/>
                      <w:szCs w:val="21"/>
                    </w:rPr>
                    <w:t>NH</w:t>
                  </w:r>
                  <w:r>
                    <w:rPr>
                      <w:rFonts w:hint="eastAsia"/>
                      <w:szCs w:val="21"/>
                      <w:vertAlign w:val="subscript"/>
                    </w:rPr>
                    <w:t>3</w:t>
                  </w:r>
                  <w:r>
                    <w:rPr>
                      <w:rFonts w:hint="eastAsia"/>
                      <w:szCs w:val="21"/>
                    </w:rPr>
                    <w:t>-N</w:t>
                  </w:r>
                </w:p>
              </w:tc>
              <w:tc>
                <w:tcPr>
                  <w:tcW w:w="1024" w:type="dxa"/>
                  <w:vAlign w:val="center"/>
                </w:tcPr>
                <w:p>
                  <w:pPr>
                    <w:adjustRightInd w:val="0"/>
                    <w:snapToGrid w:val="0"/>
                    <w:jc w:val="center"/>
                    <w:rPr>
                      <w:szCs w:val="21"/>
                    </w:rPr>
                  </w:pPr>
                  <w:r>
                    <w:rPr>
                      <w:rFonts w:hint="eastAsia"/>
                      <w:szCs w:val="21"/>
                    </w:rPr>
                    <w:t>0.082</w:t>
                  </w:r>
                </w:p>
              </w:tc>
              <w:tc>
                <w:tcPr>
                  <w:tcW w:w="1136" w:type="dxa"/>
                  <w:vAlign w:val="center"/>
                </w:tcPr>
                <w:p>
                  <w:pPr>
                    <w:adjustRightInd w:val="0"/>
                    <w:snapToGrid w:val="0"/>
                    <w:jc w:val="center"/>
                    <w:rPr>
                      <w:szCs w:val="21"/>
                    </w:rPr>
                  </w:pPr>
                  <w:r>
                    <w:rPr>
                      <w:rFonts w:hint="eastAsia"/>
                      <w:szCs w:val="21"/>
                    </w:rPr>
                    <w:t>5</w:t>
                  </w:r>
                </w:p>
              </w:tc>
              <w:tc>
                <w:tcPr>
                  <w:tcW w:w="2366" w:type="dxa"/>
                  <w:vAlign w:val="center"/>
                </w:tcPr>
                <w:p>
                  <w:pPr>
                    <w:adjustRightInd w:val="0"/>
                    <w:snapToGrid w:val="0"/>
                    <w:jc w:val="center"/>
                    <w:rPr>
                      <w:szCs w:val="21"/>
                    </w:rPr>
                  </w:pPr>
                  <w:r>
                    <w:rPr>
                      <w:rFonts w:hint="eastAsia"/>
                      <w:szCs w:val="21"/>
                    </w:rPr>
                    <w:t>0.09</w:t>
                  </w:r>
                </w:p>
              </w:tc>
              <w:tc>
                <w:tcPr>
                  <w:tcW w:w="2847" w:type="dxa"/>
                  <w:vAlign w:val="center"/>
                </w:tcPr>
                <w:p>
                  <w:pPr>
                    <w:adjustRightInd w:val="0"/>
                    <w:snapToGrid w:val="0"/>
                    <w:jc w:val="center"/>
                    <w:rPr>
                      <w:szCs w:val="21"/>
                    </w:rPr>
                  </w:pPr>
                  <w:r>
                    <w:rPr>
                      <w:szCs w:val="21"/>
                    </w:rPr>
                    <w:t>≤</w:t>
                  </w:r>
                  <w:r>
                    <w:rPr>
                      <w:kern w:val="0"/>
                      <w:szCs w:val="21"/>
                    </w:rPr>
                    <w:t>1.</w:t>
                  </w:r>
                  <w:r>
                    <w:rPr>
                      <w:rFonts w:hint="eastAsia"/>
                      <w:kern w:val="0"/>
                      <w:szCs w:val="21"/>
                    </w:rPr>
                    <w:t>5</w:t>
                  </w:r>
                </w:p>
              </w:tc>
            </w:tr>
          </w:tbl>
          <w:p>
            <w:pPr>
              <w:adjustRightInd w:val="0"/>
              <w:snapToGrid w:val="0"/>
              <w:spacing w:line="360" w:lineRule="auto"/>
              <w:ind w:firstLine="480" w:firstLineChars="200"/>
              <w:rPr>
                <w:sz w:val="24"/>
                <w:szCs w:val="24"/>
              </w:rPr>
            </w:pPr>
            <w:r>
              <w:rPr>
                <w:rFonts w:hint="eastAsia"/>
                <w:sz w:val="24"/>
                <w:szCs w:val="24"/>
              </w:rPr>
              <w:t>由预测结果可知，本项目污水站建成后，地表水水质仍可以满足</w:t>
            </w:r>
            <w:r>
              <w:rPr>
                <w:sz w:val="24"/>
                <w:szCs w:val="24"/>
              </w:rPr>
              <w:t>《地表水环境质量</w:t>
            </w:r>
            <w:r>
              <w:rPr>
                <w:rFonts w:hint="eastAsia"/>
                <w:sz w:val="24"/>
                <w:szCs w:val="24"/>
              </w:rPr>
              <w:t>标准</w:t>
            </w:r>
            <w:r>
              <w:rPr>
                <w:sz w:val="24"/>
                <w:szCs w:val="24"/>
              </w:rPr>
              <w:t>》（GB3838-2002）</w:t>
            </w:r>
            <w:r>
              <w:rPr>
                <w:rFonts w:hint="eastAsia"/>
                <w:sz w:val="24"/>
                <w:szCs w:val="24"/>
              </w:rPr>
              <w:t>Ⅳ类水域水质标准要求，</w:t>
            </w:r>
            <w:r>
              <w:rPr>
                <w:rFonts w:hint="eastAsia"/>
                <w:sz w:val="24"/>
                <w:szCs w:val="24"/>
                <w:highlight w:val="lightGray"/>
              </w:rPr>
              <w:t>因此，污水处理后排入老虎沟不会对其水体造成明显不良影响</w:t>
            </w:r>
            <w:r>
              <w:rPr>
                <w:rFonts w:hint="eastAsia"/>
                <w:sz w:val="24"/>
                <w:szCs w:val="24"/>
              </w:rPr>
              <w:t>。</w:t>
            </w:r>
          </w:p>
          <w:p>
            <w:pPr>
              <w:adjustRightInd w:val="0"/>
              <w:snapToGrid w:val="0"/>
              <w:spacing w:line="360" w:lineRule="auto"/>
              <w:ind w:firstLine="480" w:firstLineChars="200"/>
              <w:rPr>
                <w:sz w:val="24"/>
                <w:szCs w:val="24"/>
              </w:rPr>
            </w:pPr>
            <w:r>
              <w:rPr>
                <w:sz w:val="24"/>
                <w:szCs w:val="24"/>
              </w:rPr>
              <w:t>（</w:t>
            </w:r>
            <w:r>
              <w:rPr>
                <w:rFonts w:hint="eastAsia"/>
                <w:sz w:val="24"/>
                <w:szCs w:val="24"/>
              </w:rPr>
              <w:t>2</w:t>
            </w:r>
            <w:r>
              <w:rPr>
                <w:sz w:val="24"/>
                <w:szCs w:val="24"/>
              </w:rPr>
              <w:t>）事故状态下影响预测评价</w:t>
            </w:r>
          </w:p>
          <w:p>
            <w:pPr>
              <w:adjustRightInd w:val="0"/>
              <w:snapToGrid w:val="0"/>
              <w:spacing w:line="360" w:lineRule="auto"/>
              <w:ind w:firstLine="480" w:firstLineChars="200"/>
              <w:rPr>
                <w:sz w:val="24"/>
                <w:szCs w:val="24"/>
              </w:rPr>
            </w:pPr>
            <w:r>
              <w:rPr>
                <w:sz w:val="24"/>
                <w:szCs w:val="24"/>
              </w:rPr>
              <w:t>遇到突发事件，污水处理</w:t>
            </w:r>
            <w:r>
              <w:rPr>
                <w:rFonts w:hint="eastAsia"/>
                <w:sz w:val="24"/>
                <w:szCs w:val="24"/>
              </w:rPr>
              <w:t>站</w:t>
            </w:r>
            <w:r>
              <w:rPr>
                <w:sz w:val="24"/>
                <w:szCs w:val="24"/>
              </w:rPr>
              <w:t>停工，按</w:t>
            </w:r>
            <w:r>
              <w:rPr>
                <w:rFonts w:hint="eastAsia"/>
                <w:sz w:val="24"/>
                <w:szCs w:val="24"/>
              </w:rPr>
              <w:t>三</w:t>
            </w:r>
            <w:r>
              <w:rPr>
                <w:sz w:val="24"/>
                <w:szCs w:val="24"/>
              </w:rPr>
              <w:t>天计算，</w:t>
            </w:r>
            <w:r>
              <w:rPr>
                <w:rFonts w:hint="eastAsia"/>
                <w:sz w:val="24"/>
                <w:szCs w:val="24"/>
              </w:rPr>
              <w:t>三</w:t>
            </w:r>
            <w:r>
              <w:rPr>
                <w:sz w:val="24"/>
                <w:szCs w:val="24"/>
              </w:rPr>
              <w:t>日污水直接排放的量</w:t>
            </w:r>
            <w:r>
              <w:rPr>
                <w:rFonts w:hint="eastAsia"/>
                <w:sz w:val="24"/>
                <w:szCs w:val="24"/>
              </w:rPr>
              <w:t>300</w:t>
            </w:r>
            <w:r>
              <w:rPr>
                <w:sz w:val="24"/>
                <w:szCs w:val="24"/>
              </w:rPr>
              <w:t>m</w:t>
            </w:r>
            <w:r>
              <w:rPr>
                <w:sz w:val="24"/>
                <w:szCs w:val="24"/>
                <w:vertAlign w:val="superscript"/>
              </w:rPr>
              <w:t>3</w:t>
            </w:r>
            <w:r>
              <w:rPr>
                <w:rFonts w:hint="eastAsia"/>
                <w:sz w:val="24"/>
                <w:szCs w:val="24"/>
              </w:rPr>
              <w:t>，污水直接排放会对地表水环境造成一定影响。事故状态下预测结果见表60。</w:t>
            </w:r>
          </w:p>
          <w:p>
            <w:pPr>
              <w:spacing w:line="440" w:lineRule="exact"/>
              <w:ind w:firstLine="470" w:firstLineChars="196"/>
              <w:jc w:val="center"/>
              <w:rPr>
                <w:rFonts w:hAnsi="宋体"/>
                <w:b/>
                <w:szCs w:val="21"/>
              </w:rPr>
            </w:pPr>
            <w:r>
              <w:rPr>
                <w:sz w:val="24"/>
                <w:szCs w:val="24"/>
              </w:rPr>
              <w:tab/>
            </w:r>
            <w:r>
              <w:rPr>
                <w:rFonts w:hint="eastAsia" w:hAnsi="宋体"/>
                <w:b/>
                <w:szCs w:val="21"/>
              </w:rPr>
              <w:t>表60  预测结果</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28"/>
              <w:gridCol w:w="1024"/>
              <w:gridCol w:w="1136"/>
              <w:gridCol w:w="2366"/>
              <w:gridCol w:w="284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0" w:hRule="atLeast"/>
                <w:jc w:val="center"/>
              </w:trPr>
              <w:tc>
                <w:tcPr>
                  <w:tcW w:w="1528" w:type="dxa"/>
                  <w:vAlign w:val="center"/>
                </w:tcPr>
                <w:p>
                  <w:pPr>
                    <w:adjustRightInd w:val="0"/>
                    <w:snapToGrid w:val="0"/>
                    <w:jc w:val="center"/>
                    <w:rPr>
                      <w:b/>
                      <w:szCs w:val="21"/>
                    </w:rPr>
                  </w:pPr>
                  <w:r>
                    <w:rPr>
                      <w:rFonts w:hint="eastAsia"/>
                      <w:b/>
                      <w:szCs w:val="21"/>
                    </w:rPr>
                    <w:t>污染物名称</w:t>
                  </w:r>
                </w:p>
              </w:tc>
              <w:tc>
                <w:tcPr>
                  <w:tcW w:w="1024" w:type="dxa"/>
                  <w:vAlign w:val="center"/>
                </w:tcPr>
                <w:p>
                  <w:pPr>
                    <w:adjustRightInd w:val="0"/>
                    <w:snapToGrid w:val="0"/>
                    <w:jc w:val="center"/>
                    <w:rPr>
                      <w:b/>
                      <w:szCs w:val="21"/>
                    </w:rPr>
                  </w:pPr>
                  <w:r>
                    <w:rPr>
                      <w:rFonts w:hint="eastAsia"/>
                      <w:b/>
                      <w:szCs w:val="21"/>
                    </w:rPr>
                    <w:t>背景值</w:t>
                  </w:r>
                </w:p>
              </w:tc>
              <w:tc>
                <w:tcPr>
                  <w:tcW w:w="1136" w:type="dxa"/>
                  <w:vAlign w:val="center"/>
                </w:tcPr>
                <w:p>
                  <w:pPr>
                    <w:adjustRightInd w:val="0"/>
                    <w:snapToGrid w:val="0"/>
                    <w:jc w:val="center"/>
                    <w:rPr>
                      <w:b/>
                      <w:szCs w:val="21"/>
                    </w:rPr>
                  </w:pPr>
                  <w:r>
                    <w:rPr>
                      <w:rFonts w:hint="eastAsia"/>
                      <w:b/>
                      <w:szCs w:val="21"/>
                    </w:rPr>
                    <w:t>排放浓度</w:t>
                  </w:r>
                </w:p>
              </w:tc>
              <w:tc>
                <w:tcPr>
                  <w:tcW w:w="2366" w:type="dxa"/>
                  <w:vAlign w:val="center"/>
                </w:tcPr>
                <w:p>
                  <w:pPr>
                    <w:adjustRightInd w:val="0"/>
                    <w:snapToGrid w:val="0"/>
                    <w:jc w:val="center"/>
                    <w:rPr>
                      <w:b/>
                      <w:szCs w:val="21"/>
                    </w:rPr>
                  </w:pPr>
                  <w:r>
                    <w:rPr>
                      <w:rFonts w:hint="eastAsia"/>
                      <w:b/>
                      <w:szCs w:val="21"/>
                    </w:rPr>
                    <w:t>预测浓度mg/L</w:t>
                  </w:r>
                </w:p>
              </w:tc>
              <w:tc>
                <w:tcPr>
                  <w:tcW w:w="2847" w:type="dxa"/>
                  <w:vAlign w:val="center"/>
                </w:tcPr>
                <w:p>
                  <w:pPr>
                    <w:adjustRightInd w:val="0"/>
                    <w:snapToGrid w:val="0"/>
                    <w:jc w:val="center"/>
                    <w:rPr>
                      <w:b/>
                      <w:szCs w:val="21"/>
                    </w:rPr>
                  </w:pPr>
                  <w:r>
                    <w:rPr>
                      <w:b/>
                      <w:szCs w:val="21"/>
                    </w:rPr>
                    <w:t>《地表水环境质量</w:t>
                  </w:r>
                  <w:r>
                    <w:rPr>
                      <w:rFonts w:hint="eastAsia"/>
                      <w:b/>
                      <w:szCs w:val="21"/>
                    </w:rPr>
                    <w:t>标准</w:t>
                  </w:r>
                  <w:r>
                    <w:rPr>
                      <w:b/>
                      <w:szCs w:val="21"/>
                    </w:rPr>
                    <w:t>》（GB3838-2002）</w:t>
                  </w:r>
                  <w:r>
                    <w:rPr>
                      <w:rFonts w:hint="eastAsia"/>
                      <w:b/>
                      <w:szCs w:val="21"/>
                    </w:rPr>
                    <w:t>Ⅳ</w:t>
                  </w:r>
                  <w:r>
                    <w:rPr>
                      <w:b/>
                      <w:szCs w:val="21"/>
                    </w:rPr>
                    <w:t>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6" w:hRule="atLeast"/>
                <w:jc w:val="center"/>
              </w:trPr>
              <w:tc>
                <w:tcPr>
                  <w:tcW w:w="1528" w:type="dxa"/>
                  <w:vAlign w:val="center"/>
                </w:tcPr>
                <w:p>
                  <w:pPr>
                    <w:adjustRightInd w:val="0"/>
                    <w:snapToGrid w:val="0"/>
                    <w:jc w:val="center"/>
                    <w:rPr>
                      <w:szCs w:val="21"/>
                    </w:rPr>
                  </w:pPr>
                  <w:r>
                    <w:rPr>
                      <w:rFonts w:hint="eastAsia"/>
                      <w:szCs w:val="21"/>
                    </w:rPr>
                    <w:t>COD</w:t>
                  </w:r>
                  <w:r>
                    <w:rPr>
                      <w:rFonts w:hint="eastAsia"/>
                      <w:szCs w:val="21"/>
                      <w:vertAlign w:val="subscript"/>
                    </w:rPr>
                    <w:t>cr</w:t>
                  </w:r>
                </w:p>
              </w:tc>
              <w:tc>
                <w:tcPr>
                  <w:tcW w:w="1024" w:type="dxa"/>
                  <w:vAlign w:val="center"/>
                </w:tcPr>
                <w:p>
                  <w:pPr>
                    <w:adjustRightInd w:val="0"/>
                    <w:snapToGrid w:val="0"/>
                    <w:jc w:val="center"/>
                    <w:rPr>
                      <w:szCs w:val="21"/>
                    </w:rPr>
                  </w:pPr>
                  <w:r>
                    <w:rPr>
                      <w:rFonts w:hint="eastAsia"/>
                      <w:szCs w:val="21"/>
                    </w:rPr>
                    <w:t>25</w:t>
                  </w:r>
                </w:p>
              </w:tc>
              <w:tc>
                <w:tcPr>
                  <w:tcW w:w="1136" w:type="dxa"/>
                  <w:vAlign w:val="center"/>
                </w:tcPr>
                <w:p>
                  <w:pPr>
                    <w:adjustRightInd w:val="0"/>
                    <w:snapToGrid w:val="0"/>
                    <w:jc w:val="center"/>
                    <w:rPr>
                      <w:szCs w:val="21"/>
                    </w:rPr>
                  </w:pPr>
                  <w:r>
                    <w:rPr>
                      <w:rFonts w:hint="eastAsia"/>
                      <w:szCs w:val="21"/>
                    </w:rPr>
                    <w:t>300</w:t>
                  </w:r>
                </w:p>
              </w:tc>
              <w:tc>
                <w:tcPr>
                  <w:tcW w:w="2366" w:type="dxa"/>
                  <w:vAlign w:val="center"/>
                </w:tcPr>
                <w:p>
                  <w:pPr>
                    <w:adjustRightInd w:val="0"/>
                    <w:snapToGrid w:val="0"/>
                    <w:jc w:val="center"/>
                    <w:rPr>
                      <w:szCs w:val="21"/>
                    </w:rPr>
                  </w:pPr>
                  <w:r>
                    <w:rPr>
                      <w:rFonts w:hint="eastAsia"/>
                      <w:szCs w:val="21"/>
                    </w:rPr>
                    <w:t>25.7</w:t>
                  </w:r>
                </w:p>
              </w:tc>
              <w:tc>
                <w:tcPr>
                  <w:tcW w:w="2847" w:type="dxa"/>
                  <w:vAlign w:val="center"/>
                </w:tcPr>
                <w:p>
                  <w:pPr>
                    <w:adjustRightInd w:val="0"/>
                    <w:snapToGrid w:val="0"/>
                    <w:jc w:val="center"/>
                    <w:rPr>
                      <w:szCs w:val="21"/>
                    </w:rPr>
                  </w:pPr>
                  <w:r>
                    <w:rPr>
                      <w:szCs w:val="21"/>
                    </w:rPr>
                    <w:t>≤</w:t>
                  </w:r>
                  <w:r>
                    <w:rPr>
                      <w:rFonts w:hint="eastAsia"/>
                      <w:kern w:val="0"/>
                      <w:szCs w:val="21"/>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6" w:hRule="atLeast"/>
                <w:jc w:val="center"/>
              </w:trPr>
              <w:tc>
                <w:tcPr>
                  <w:tcW w:w="1528" w:type="dxa"/>
                  <w:vAlign w:val="center"/>
                </w:tcPr>
                <w:p>
                  <w:pPr>
                    <w:adjustRightInd w:val="0"/>
                    <w:snapToGrid w:val="0"/>
                    <w:jc w:val="center"/>
                    <w:rPr>
                      <w:szCs w:val="21"/>
                    </w:rPr>
                  </w:pPr>
                  <w:r>
                    <w:rPr>
                      <w:rFonts w:hint="eastAsia"/>
                      <w:szCs w:val="21"/>
                    </w:rPr>
                    <w:t>NH</w:t>
                  </w:r>
                  <w:r>
                    <w:rPr>
                      <w:rFonts w:hint="eastAsia"/>
                      <w:szCs w:val="21"/>
                      <w:vertAlign w:val="subscript"/>
                    </w:rPr>
                    <w:t>3</w:t>
                  </w:r>
                  <w:r>
                    <w:rPr>
                      <w:rFonts w:hint="eastAsia"/>
                      <w:szCs w:val="21"/>
                    </w:rPr>
                    <w:t>-N</w:t>
                  </w:r>
                </w:p>
              </w:tc>
              <w:tc>
                <w:tcPr>
                  <w:tcW w:w="1024" w:type="dxa"/>
                  <w:vAlign w:val="center"/>
                </w:tcPr>
                <w:p>
                  <w:pPr>
                    <w:adjustRightInd w:val="0"/>
                    <w:snapToGrid w:val="0"/>
                    <w:jc w:val="center"/>
                    <w:rPr>
                      <w:szCs w:val="21"/>
                    </w:rPr>
                  </w:pPr>
                  <w:r>
                    <w:rPr>
                      <w:rFonts w:hint="eastAsia"/>
                      <w:szCs w:val="21"/>
                    </w:rPr>
                    <w:t>0.082</w:t>
                  </w:r>
                </w:p>
              </w:tc>
              <w:tc>
                <w:tcPr>
                  <w:tcW w:w="1136" w:type="dxa"/>
                  <w:vAlign w:val="center"/>
                </w:tcPr>
                <w:p>
                  <w:pPr>
                    <w:adjustRightInd w:val="0"/>
                    <w:snapToGrid w:val="0"/>
                    <w:jc w:val="center"/>
                    <w:rPr>
                      <w:szCs w:val="21"/>
                    </w:rPr>
                  </w:pPr>
                  <w:r>
                    <w:rPr>
                      <w:rFonts w:hint="eastAsia"/>
                      <w:szCs w:val="21"/>
                    </w:rPr>
                    <w:t>32</w:t>
                  </w:r>
                </w:p>
              </w:tc>
              <w:tc>
                <w:tcPr>
                  <w:tcW w:w="2366" w:type="dxa"/>
                  <w:vAlign w:val="center"/>
                </w:tcPr>
                <w:p>
                  <w:pPr>
                    <w:adjustRightInd w:val="0"/>
                    <w:snapToGrid w:val="0"/>
                    <w:jc w:val="center"/>
                    <w:rPr>
                      <w:szCs w:val="21"/>
                    </w:rPr>
                  </w:pPr>
                  <w:r>
                    <w:rPr>
                      <w:rFonts w:hint="eastAsia"/>
                      <w:szCs w:val="21"/>
                    </w:rPr>
                    <w:t>0.16</w:t>
                  </w:r>
                </w:p>
              </w:tc>
              <w:tc>
                <w:tcPr>
                  <w:tcW w:w="2847" w:type="dxa"/>
                  <w:vAlign w:val="center"/>
                </w:tcPr>
                <w:p>
                  <w:pPr>
                    <w:adjustRightInd w:val="0"/>
                    <w:snapToGrid w:val="0"/>
                    <w:jc w:val="center"/>
                    <w:rPr>
                      <w:szCs w:val="21"/>
                    </w:rPr>
                  </w:pPr>
                  <w:r>
                    <w:rPr>
                      <w:szCs w:val="21"/>
                    </w:rPr>
                    <w:t>≤</w:t>
                  </w:r>
                  <w:r>
                    <w:rPr>
                      <w:kern w:val="0"/>
                      <w:szCs w:val="21"/>
                    </w:rPr>
                    <w:t>1.</w:t>
                  </w:r>
                  <w:r>
                    <w:rPr>
                      <w:rFonts w:hint="eastAsia"/>
                      <w:kern w:val="0"/>
                      <w:szCs w:val="21"/>
                    </w:rPr>
                    <w:t>5</w:t>
                  </w:r>
                </w:p>
              </w:tc>
            </w:tr>
          </w:tbl>
          <w:p>
            <w:pPr>
              <w:tabs>
                <w:tab w:val="left" w:pos="1532"/>
              </w:tabs>
              <w:adjustRightInd w:val="0"/>
              <w:snapToGrid w:val="0"/>
              <w:spacing w:line="360" w:lineRule="auto"/>
              <w:ind w:firstLine="480" w:firstLineChars="200"/>
              <w:rPr>
                <w:sz w:val="24"/>
                <w:szCs w:val="24"/>
              </w:rPr>
            </w:pPr>
            <w:r>
              <w:rPr>
                <w:rFonts w:hint="eastAsia"/>
                <w:sz w:val="24"/>
                <w:szCs w:val="24"/>
              </w:rPr>
              <w:t>根据预测结果可知，污水处理站事故状态下排入老虎沟，短期排水量少，老虎沟水质COD</w:t>
            </w:r>
            <w:r>
              <w:rPr>
                <w:rFonts w:hint="eastAsia"/>
                <w:sz w:val="24"/>
                <w:szCs w:val="24"/>
                <w:vertAlign w:val="subscript"/>
              </w:rPr>
              <w:t>cr</w:t>
            </w:r>
            <w:r>
              <w:rPr>
                <w:rFonts w:hint="eastAsia"/>
                <w:sz w:val="24"/>
                <w:szCs w:val="24"/>
              </w:rPr>
              <w:t>25.7mg/L，NH</w:t>
            </w:r>
            <w:r>
              <w:rPr>
                <w:rFonts w:hint="eastAsia"/>
                <w:sz w:val="24"/>
                <w:szCs w:val="24"/>
                <w:vertAlign w:val="subscript"/>
              </w:rPr>
              <w:t>3</w:t>
            </w:r>
            <w:r>
              <w:rPr>
                <w:rFonts w:hint="eastAsia"/>
                <w:sz w:val="24"/>
                <w:szCs w:val="24"/>
              </w:rPr>
              <w:t>-N 0.16mg/L，仍满足</w:t>
            </w:r>
            <w:r>
              <w:rPr>
                <w:sz w:val="24"/>
                <w:szCs w:val="24"/>
              </w:rPr>
              <w:t>《地表水环境质量</w:t>
            </w:r>
            <w:r>
              <w:rPr>
                <w:rFonts w:hint="eastAsia"/>
                <w:sz w:val="24"/>
                <w:szCs w:val="24"/>
              </w:rPr>
              <w:t>标准</w:t>
            </w:r>
            <w:r>
              <w:rPr>
                <w:sz w:val="24"/>
                <w:szCs w:val="24"/>
              </w:rPr>
              <w:t>》（GB3838-2002）</w:t>
            </w:r>
            <w:r>
              <w:rPr>
                <w:rFonts w:hint="eastAsia"/>
                <w:sz w:val="24"/>
                <w:szCs w:val="24"/>
              </w:rPr>
              <w:t>Ⅳ类水域水质标准要求，但长时间事故排放，会对老虎沟造成污染，因此，定期维护设备，保证污水处理站正常运行，禁止污水直接排放入老虎沟。</w:t>
            </w:r>
          </w:p>
          <w:p>
            <w:pPr>
              <w:tabs>
                <w:tab w:val="left" w:pos="1532"/>
              </w:tabs>
              <w:adjustRightInd w:val="0"/>
              <w:snapToGrid w:val="0"/>
              <w:spacing w:line="360" w:lineRule="auto"/>
              <w:ind w:firstLine="480" w:firstLineChars="200"/>
              <w:rPr>
                <w:sz w:val="24"/>
                <w:szCs w:val="24"/>
              </w:rPr>
            </w:pPr>
            <w:r>
              <w:rPr>
                <w:sz w:val="24"/>
                <w:szCs w:val="24"/>
              </w:rPr>
              <w:t>针对</w:t>
            </w:r>
            <w:r>
              <w:rPr>
                <w:rFonts w:hint="eastAsia"/>
                <w:sz w:val="24"/>
                <w:szCs w:val="24"/>
              </w:rPr>
              <w:t>本项目生活污水</w:t>
            </w:r>
            <w:r>
              <w:rPr>
                <w:sz w:val="24"/>
                <w:szCs w:val="24"/>
              </w:rPr>
              <w:t>可能的事故排放，</w:t>
            </w:r>
            <w:r>
              <w:rPr>
                <w:rFonts w:hint="eastAsia"/>
                <w:sz w:val="24"/>
                <w:szCs w:val="24"/>
              </w:rPr>
              <w:t>建议在污水处理站设置事故罐1个</w:t>
            </w:r>
            <w:r>
              <w:rPr>
                <w:sz w:val="24"/>
                <w:szCs w:val="24"/>
              </w:rPr>
              <w:t>，容积为</w:t>
            </w:r>
            <w:r>
              <w:rPr>
                <w:rFonts w:hint="eastAsia"/>
                <w:sz w:val="24"/>
                <w:szCs w:val="24"/>
              </w:rPr>
              <w:t>25</w:t>
            </w:r>
            <w:r>
              <w:rPr>
                <w:sz w:val="24"/>
                <w:szCs w:val="24"/>
              </w:rPr>
              <w:t>m</w:t>
            </w:r>
            <w:r>
              <w:rPr>
                <w:sz w:val="24"/>
                <w:szCs w:val="24"/>
                <w:vertAlign w:val="superscript"/>
              </w:rPr>
              <w:t>3</w:t>
            </w:r>
            <w:r>
              <w:rPr>
                <w:sz w:val="24"/>
                <w:szCs w:val="24"/>
              </w:rPr>
              <w:t>，可容纳</w:t>
            </w:r>
            <w:r>
              <w:rPr>
                <w:rFonts w:hint="eastAsia"/>
                <w:sz w:val="24"/>
                <w:szCs w:val="24"/>
              </w:rPr>
              <w:t>6</w:t>
            </w:r>
            <w:r>
              <w:rPr>
                <w:sz w:val="24"/>
                <w:szCs w:val="24"/>
              </w:rPr>
              <w:t>小时废水，以确保事故废水有足够的缓冲时间；但该措施只能在短时间内有效。在事故临时控制期间，</w:t>
            </w:r>
            <w:r>
              <w:rPr>
                <w:rFonts w:hint="eastAsia"/>
                <w:sz w:val="24"/>
                <w:szCs w:val="24"/>
              </w:rPr>
              <w:t>建设单位</w:t>
            </w:r>
            <w:r>
              <w:rPr>
                <w:sz w:val="24"/>
                <w:szCs w:val="24"/>
              </w:rPr>
              <w:t>应及时组织相关部门进行排查处理，以便使污水</w:t>
            </w:r>
            <w:r>
              <w:rPr>
                <w:rFonts w:hint="eastAsia"/>
                <w:sz w:val="24"/>
                <w:szCs w:val="24"/>
              </w:rPr>
              <w:t>站</w:t>
            </w:r>
            <w:r>
              <w:rPr>
                <w:sz w:val="24"/>
                <w:szCs w:val="24"/>
              </w:rPr>
              <w:t>尽快</w:t>
            </w:r>
            <w:r>
              <w:rPr>
                <w:rFonts w:hint="eastAsia"/>
                <w:sz w:val="24"/>
                <w:szCs w:val="24"/>
              </w:rPr>
              <w:t>恢复</w:t>
            </w:r>
            <w:r>
              <w:rPr>
                <w:sz w:val="24"/>
                <w:szCs w:val="24"/>
              </w:rPr>
              <w:t>正常运行。</w:t>
            </w:r>
          </w:p>
          <w:p>
            <w:pPr>
              <w:tabs>
                <w:tab w:val="left" w:pos="1532"/>
              </w:tabs>
              <w:adjustRightInd w:val="0"/>
              <w:snapToGrid w:val="0"/>
              <w:spacing w:line="360" w:lineRule="auto"/>
              <w:ind w:firstLine="480" w:firstLineChars="200"/>
              <w:rPr>
                <w:sz w:val="24"/>
                <w:szCs w:val="24"/>
              </w:rPr>
            </w:pPr>
            <w:r>
              <w:rPr>
                <w:rFonts w:hint="eastAsia"/>
                <w:sz w:val="24"/>
                <w:szCs w:val="24"/>
              </w:rPr>
              <w:t>事故罐建设要求：</w:t>
            </w:r>
          </w:p>
          <w:p>
            <w:pPr>
              <w:tabs>
                <w:tab w:val="left" w:pos="1532"/>
              </w:tabs>
              <w:adjustRightInd w:val="0"/>
              <w:snapToGrid w:val="0"/>
              <w:spacing w:line="360" w:lineRule="auto"/>
              <w:ind w:firstLine="480" w:firstLineChars="200"/>
              <w:rPr>
                <w:sz w:val="24"/>
                <w:szCs w:val="24"/>
              </w:rPr>
            </w:pPr>
            <w:r>
              <w:rPr>
                <w:sz w:val="24"/>
                <w:szCs w:val="24"/>
              </w:rPr>
              <w:t>污水处理</w:t>
            </w:r>
            <w:r>
              <w:rPr>
                <w:rFonts w:hint="eastAsia"/>
                <w:sz w:val="24"/>
                <w:szCs w:val="24"/>
              </w:rPr>
              <w:t>站</w:t>
            </w:r>
            <w:r>
              <w:rPr>
                <w:sz w:val="24"/>
                <w:szCs w:val="24"/>
              </w:rPr>
              <w:t>在发生以下情况时，会产生非正常排污：收水管网由于管道堵塞、破裂和管道接头处的破损，可能造成污水外溢，污染地下水；由于停电、设备损坏等原因使污水处理工程无法正常运行，可能造成污水未经处理直接外排。以上两种情况下最不利情况为短时间内全部污水不经处理直接排入外环境，其水质即为污水处理工程进水水质。一旦发生非正常排放，将会加剧</w:t>
            </w:r>
            <w:r>
              <w:rPr>
                <w:rFonts w:hint="eastAsia"/>
                <w:sz w:val="24"/>
                <w:szCs w:val="24"/>
              </w:rPr>
              <w:t>老虎沟</w:t>
            </w:r>
            <w:r>
              <w:rPr>
                <w:sz w:val="24"/>
                <w:szCs w:val="24"/>
              </w:rPr>
              <w:t>水质的污染程度，对地表水影响较大。</w:t>
            </w:r>
          </w:p>
          <w:p>
            <w:pPr>
              <w:tabs>
                <w:tab w:val="left" w:pos="1532"/>
              </w:tabs>
              <w:adjustRightInd w:val="0"/>
              <w:snapToGrid w:val="0"/>
              <w:spacing w:line="360" w:lineRule="auto"/>
              <w:ind w:firstLine="480" w:firstLineChars="200"/>
              <w:rPr>
                <w:sz w:val="24"/>
                <w:szCs w:val="24"/>
              </w:rPr>
            </w:pPr>
            <w:r>
              <w:rPr>
                <w:sz w:val="24"/>
                <w:szCs w:val="24"/>
              </w:rPr>
              <w:t>因此，污水</w:t>
            </w:r>
            <w:r>
              <w:rPr>
                <w:rFonts w:hint="eastAsia"/>
                <w:sz w:val="24"/>
                <w:szCs w:val="24"/>
              </w:rPr>
              <w:t>站</w:t>
            </w:r>
            <w:r>
              <w:rPr>
                <w:sz w:val="24"/>
                <w:szCs w:val="24"/>
              </w:rPr>
              <w:t>应采取有效的防范措施，防止污水</w:t>
            </w:r>
            <w:r>
              <w:rPr>
                <w:rFonts w:hint="eastAsia"/>
                <w:sz w:val="24"/>
                <w:szCs w:val="24"/>
              </w:rPr>
              <w:t>站</w:t>
            </w:r>
            <w:r>
              <w:rPr>
                <w:sz w:val="24"/>
                <w:szCs w:val="24"/>
              </w:rPr>
              <w:t>非正常排放发生。工程通过加强日常维护，定期更换易损管件，避免管道堵塞、管道破裂和管道接头处的破损可能造成的非正常事故的发生。</w:t>
            </w:r>
            <w:r>
              <w:rPr>
                <w:rFonts w:hint="eastAsia"/>
                <w:sz w:val="24"/>
                <w:szCs w:val="24"/>
              </w:rPr>
              <w:t>项目建设地上事故罐1座，当污水处理站无法</w:t>
            </w:r>
            <w:r>
              <w:rPr>
                <w:sz w:val="24"/>
                <w:szCs w:val="24"/>
              </w:rPr>
              <w:t>正常运行时，污水管网的污水立即进入事故</w:t>
            </w:r>
            <w:r>
              <w:rPr>
                <w:rFonts w:hint="eastAsia"/>
                <w:sz w:val="24"/>
                <w:szCs w:val="24"/>
              </w:rPr>
              <w:t>罐。</w:t>
            </w:r>
            <w:r>
              <w:rPr>
                <w:sz w:val="24"/>
                <w:szCs w:val="24"/>
              </w:rPr>
              <w:t>随着本</w:t>
            </w:r>
            <w:r>
              <w:rPr>
                <w:rFonts w:hint="eastAsia"/>
                <w:sz w:val="24"/>
                <w:szCs w:val="24"/>
              </w:rPr>
              <w:t>项目</w:t>
            </w:r>
            <w:r>
              <w:rPr>
                <w:sz w:val="24"/>
                <w:szCs w:val="24"/>
              </w:rPr>
              <w:t>的建成运行，</w:t>
            </w:r>
            <w:r>
              <w:rPr>
                <w:rFonts w:hint="eastAsia"/>
                <w:sz w:val="24"/>
                <w:szCs w:val="24"/>
              </w:rPr>
              <w:t>项目</w:t>
            </w:r>
            <w:r>
              <w:rPr>
                <w:sz w:val="24"/>
                <w:szCs w:val="24"/>
              </w:rPr>
              <w:t>收水范围内的污废水将经过处理后达标排放，防止污水不经处理流入</w:t>
            </w:r>
            <w:r>
              <w:rPr>
                <w:rFonts w:hint="eastAsia"/>
                <w:sz w:val="24"/>
                <w:szCs w:val="24"/>
              </w:rPr>
              <w:t>老虎沟</w:t>
            </w:r>
            <w:r>
              <w:rPr>
                <w:sz w:val="24"/>
                <w:szCs w:val="24"/>
              </w:rPr>
              <w:t>。</w:t>
            </w:r>
          </w:p>
          <w:p>
            <w:pPr>
              <w:tabs>
                <w:tab w:val="left" w:pos="1532"/>
              </w:tabs>
              <w:adjustRightInd w:val="0"/>
              <w:snapToGrid w:val="0"/>
              <w:spacing w:line="360" w:lineRule="auto"/>
              <w:ind w:firstLine="480" w:firstLineChars="200"/>
              <w:rPr>
                <w:sz w:val="24"/>
                <w:szCs w:val="24"/>
              </w:rPr>
            </w:pPr>
            <w:r>
              <w:rPr>
                <w:rFonts w:hint="eastAsia"/>
                <w:sz w:val="24"/>
                <w:szCs w:val="24"/>
              </w:rPr>
              <w:t>本项目事故罐设置方式为地上事故罐，采用玻璃钢制结构，调节池容量为4~6小时停留时间，事故池容积设置为6小时污水量，即容积为25m</w:t>
            </w:r>
            <w:r>
              <w:rPr>
                <w:rFonts w:hint="eastAsia"/>
                <w:sz w:val="24"/>
                <w:szCs w:val="24"/>
                <w:vertAlign w:val="superscript"/>
              </w:rPr>
              <w:t>3</w:t>
            </w:r>
            <w:r>
              <w:rPr>
                <w:rFonts w:hint="eastAsia"/>
                <w:sz w:val="24"/>
                <w:szCs w:val="24"/>
              </w:rPr>
              <w:t>，并于四周设置围堰，围堰具体高度按可能泄露废水量确定。事故罐范围内按分区防渗重点防渗区设置，防渗结构建设单位可采用项目设计资料中</w:t>
            </w:r>
            <w:r>
              <w:rPr>
                <w:rFonts w:hint="eastAsia"/>
                <w:bCs/>
                <w:sz w:val="24"/>
                <w:szCs w:val="24"/>
              </w:rPr>
              <w:t>“素土夯实+300厚3:7灰土+100厚C10素混凝土垫层+20厚混凝土找平层+冷粘结剂一道+4厚高聚物SBS改性沥青防水卷材两道+20厚1:3水泥砂浆找平层+钢筋混凝土自防水底板+20厚1:3水泥砂浆+2厚水泥基渗透结晶型防水涂料+20厚混合物水泥防水砂浆抹面”结构型式防渗，</w:t>
            </w:r>
            <w:r>
              <w:rPr>
                <w:bCs/>
                <w:sz w:val="24"/>
                <w:szCs w:val="24"/>
              </w:rPr>
              <w:t>渗透系数≤1.0×10</w:t>
            </w:r>
            <w:r>
              <w:rPr>
                <w:bCs/>
                <w:sz w:val="24"/>
                <w:szCs w:val="24"/>
                <w:vertAlign w:val="superscript"/>
              </w:rPr>
              <w:t>-</w:t>
            </w:r>
            <w:r>
              <w:rPr>
                <w:rFonts w:hint="eastAsia"/>
                <w:bCs/>
                <w:sz w:val="24"/>
                <w:szCs w:val="24"/>
                <w:vertAlign w:val="superscript"/>
              </w:rPr>
              <w:t>7</w:t>
            </w:r>
            <w:r>
              <w:rPr>
                <w:bCs/>
                <w:sz w:val="24"/>
                <w:szCs w:val="24"/>
              </w:rPr>
              <w:t>cm/s</w:t>
            </w:r>
            <w:r>
              <w:rPr>
                <w:rFonts w:hint="eastAsia"/>
                <w:bCs/>
                <w:sz w:val="24"/>
                <w:szCs w:val="24"/>
              </w:rPr>
              <w:t>。</w:t>
            </w:r>
          </w:p>
          <w:p>
            <w:pPr>
              <w:tabs>
                <w:tab w:val="left" w:pos="1532"/>
              </w:tabs>
              <w:adjustRightInd w:val="0"/>
              <w:snapToGrid w:val="0"/>
              <w:spacing w:line="360" w:lineRule="auto"/>
              <w:ind w:firstLine="482" w:firstLineChars="200"/>
              <w:rPr>
                <w:b/>
                <w:sz w:val="24"/>
                <w:szCs w:val="24"/>
              </w:rPr>
            </w:pPr>
            <w:r>
              <w:rPr>
                <w:rFonts w:hint="eastAsia"/>
                <w:b/>
                <w:sz w:val="24"/>
                <w:szCs w:val="24"/>
              </w:rPr>
              <w:t>道路工程：</w:t>
            </w:r>
          </w:p>
          <w:p>
            <w:pPr>
              <w:tabs>
                <w:tab w:val="left" w:pos="1532"/>
              </w:tabs>
              <w:adjustRightInd w:val="0"/>
              <w:snapToGrid w:val="0"/>
              <w:spacing w:line="360" w:lineRule="auto"/>
              <w:ind w:firstLine="480" w:firstLineChars="200"/>
              <w:rPr>
                <w:sz w:val="24"/>
                <w:szCs w:val="24"/>
              </w:rPr>
            </w:pPr>
            <w:r>
              <w:rPr>
                <w:rFonts w:hint="eastAsia"/>
                <w:sz w:val="24"/>
                <w:szCs w:val="24"/>
              </w:rPr>
              <w:t>项目道路工程运营期对周边水的影响主要是地面径流。</w:t>
            </w:r>
            <w:r>
              <w:rPr>
                <w:sz w:val="24"/>
                <w:szCs w:val="24"/>
              </w:rPr>
              <w:t>公路路面径流是具有单一地表使用功能的地表径流，所含污染物与车辆运输及周围环境状况有关，污染物来源于车辆排气、车辆部件磨损、路面磨损、运输物洒落及大气降尘，主要成分为固体物质、有机物、颗粒物、无机盐等。影响路面径流污染的因素有降雨量、降雨时间、车流量、降雨间隔时间、路面宽度、长度等。</w:t>
            </w:r>
          </w:p>
          <w:p>
            <w:pPr>
              <w:tabs>
                <w:tab w:val="left" w:pos="1532"/>
              </w:tabs>
              <w:adjustRightInd w:val="0"/>
              <w:snapToGrid w:val="0"/>
              <w:spacing w:line="360" w:lineRule="auto"/>
              <w:ind w:firstLine="480" w:firstLineChars="200"/>
              <w:rPr>
                <w:sz w:val="24"/>
                <w:szCs w:val="24"/>
              </w:rPr>
            </w:pPr>
            <w:r>
              <w:rPr>
                <w:rFonts w:hint="eastAsia"/>
                <w:sz w:val="24"/>
                <w:szCs w:val="24"/>
              </w:rPr>
              <w:t>规划区雨水管线布局结合地形，采用线路最短，就近排放的原则进行布置。雨水通过雨水口收集，排入支管汇集后，最后排入街道下雨水干管，沿绿化带敷设的雨水主干管最终排入南侧原有排水渠。</w:t>
            </w:r>
          </w:p>
          <w:p>
            <w:pPr>
              <w:tabs>
                <w:tab w:val="left" w:pos="1532"/>
              </w:tabs>
              <w:adjustRightInd w:val="0"/>
              <w:snapToGrid w:val="0"/>
              <w:spacing w:line="360" w:lineRule="auto"/>
              <w:ind w:firstLine="480" w:firstLineChars="200"/>
              <w:rPr>
                <w:sz w:val="24"/>
                <w:szCs w:val="24"/>
              </w:rPr>
            </w:pPr>
            <w:r>
              <w:rPr>
                <w:sz w:val="24"/>
                <w:szCs w:val="24"/>
              </w:rPr>
              <w:t>在正常运行情况下，公路路面污染物集中于下雨时的前1小时内，由于雨水对路面的冲刷，后期路面径流污染物浓度逐渐减小，经过过量雨水的稀释，环境能够承受公路路面径流中的污染物负荷，故对当地水环境影响不大。</w:t>
            </w:r>
          </w:p>
          <w:p>
            <w:pPr>
              <w:pStyle w:val="198"/>
              <w:ind w:firstLine="482"/>
              <w:rPr>
                <w:rFonts w:ascii="Times New Roman"/>
                <w:b/>
              </w:rPr>
            </w:pPr>
            <w:r>
              <w:rPr>
                <w:rFonts w:ascii="Times New Roman"/>
                <w:b/>
              </w:rPr>
              <w:t>3</w:t>
            </w:r>
            <w:r>
              <w:rPr>
                <w:rFonts w:hint="eastAsia" w:ascii="Times New Roman"/>
                <w:b/>
              </w:rPr>
              <w:t>、声环境影响分析</w:t>
            </w:r>
          </w:p>
          <w:p>
            <w:pPr>
              <w:autoSpaceDE w:val="0"/>
              <w:autoSpaceDN w:val="0"/>
              <w:adjustRightInd w:val="0"/>
              <w:spacing w:line="360" w:lineRule="auto"/>
              <w:ind w:right="-23" w:firstLine="480" w:firstLineChars="200"/>
              <w:jc w:val="left"/>
              <w:rPr>
                <w:sz w:val="24"/>
              </w:rPr>
            </w:pPr>
            <w:r>
              <w:rPr>
                <w:rFonts w:hint="eastAsia"/>
                <w:sz w:val="24"/>
              </w:rPr>
              <w:t>项目运营期噪声主要有污水站提升泵及其他机械设备噪声、公路机动车辆噪声及广场娱乐活动噪声。</w:t>
            </w:r>
          </w:p>
          <w:p>
            <w:pPr>
              <w:autoSpaceDE w:val="0"/>
              <w:autoSpaceDN w:val="0"/>
              <w:adjustRightInd w:val="0"/>
              <w:spacing w:line="360" w:lineRule="auto"/>
              <w:ind w:right="-23" w:firstLine="480" w:firstLineChars="200"/>
              <w:jc w:val="left"/>
              <w:rPr>
                <w:sz w:val="24"/>
              </w:rPr>
            </w:pPr>
            <w:r>
              <w:rPr>
                <w:rFonts w:hint="eastAsia"/>
                <w:sz w:val="24"/>
              </w:rPr>
              <w:t>广场娱乐噪声一般在80</w:t>
            </w:r>
            <w:r>
              <w:rPr>
                <w:sz w:val="24"/>
              </w:rPr>
              <w:t xml:space="preserve"> dB(A)</w:t>
            </w:r>
            <w:r>
              <w:rPr>
                <w:rFonts w:hint="eastAsia"/>
                <w:sz w:val="24"/>
              </w:rPr>
              <w:t>以下，主要为人为噪声，于东风村宣传噪声环境影响，广场张贴噪声知识图画，广场舞等扩音器严格控制音量为60</w:t>
            </w:r>
            <w:r>
              <w:rPr>
                <w:sz w:val="24"/>
              </w:rPr>
              <w:t xml:space="preserve"> dB(A)</w:t>
            </w:r>
            <w:r>
              <w:rPr>
                <w:rFonts w:hint="eastAsia"/>
                <w:sz w:val="24"/>
              </w:rPr>
              <w:t>以下，即可降低广场人为噪声源强。</w:t>
            </w:r>
          </w:p>
          <w:p>
            <w:pPr>
              <w:autoSpaceDE w:val="0"/>
              <w:autoSpaceDN w:val="0"/>
              <w:adjustRightInd w:val="0"/>
              <w:spacing w:line="360" w:lineRule="auto"/>
              <w:ind w:right="-23" w:firstLine="480" w:firstLineChars="200"/>
              <w:jc w:val="left"/>
              <w:rPr>
                <w:sz w:val="24"/>
              </w:rPr>
            </w:pPr>
            <w:r>
              <w:rPr>
                <w:rFonts w:hint="eastAsia"/>
                <w:sz w:val="24"/>
              </w:rPr>
              <w:t>项目道路工程仅为路面维修，交通量未增加，可用现状噪声监测结果分析太昌镇街道主干道营运期车辆噪声对环境的影响。</w:t>
            </w:r>
          </w:p>
          <w:p>
            <w:pPr>
              <w:spacing w:line="360" w:lineRule="auto"/>
              <w:ind w:firstLine="422" w:firstLineChars="200"/>
              <w:contextualSpacing/>
              <w:jc w:val="center"/>
              <w:rPr>
                <w:sz w:val="24"/>
              </w:rPr>
            </w:pPr>
            <w:r>
              <w:rPr>
                <w:rFonts w:hint="eastAsia"/>
                <w:b/>
                <w:szCs w:val="21"/>
              </w:rPr>
              <w:t>表61</w:t>
            </w:r>
            <w:r>
              <w:rPr>
                <w:b/>
                <w:szCs w:val="21"/>
              </w:rPr>
              <w:t xml:space="preserve">   </w:t>
            </w:r>
            <w:r>
              <w:rPr>
                <w:rFonts w:hint="eastAsia"/>
                <w:b/>
                <w:szCs w:val="21"/>
              </w:rPr>
              <w:t>环境噪声现状监测结果表（摘取）</w:t>
            </w:r>
            <w:r>
              <w:rPr>
                <w:b/>
                <w:szCs w:val="21"/>
              </w:rPr>
              <w:t xml:space="preserve">   </w:t>
            </w:r>
            <w:r>
              <w:rPr>
                <w:rFonts w:hint="eastAsia"/>
                <w:b/>
                <w:bCs/>
                <w:szCs w:val="21"/>
              </w:rPr>
              <w:t>单位：</w:t>
            </w:r>
            <w:r>
              <w:rPr>
                <w:b/>
                <w:bCs/>
                <w:szCs w:val="21"/>
              </w:rPr>
              <w:t>dB(A)</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25"/>
              <w:gridCol w:w="1186"/>
              <w:gridCol w:w="1335"/>
              <w:gridCol w:w="1777"/>
              <w:gridCol w:w="1036"/>
              <w:gridCol w:w="94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restart"/>
                  <w:vAlign w:val="center"/>
                </w:tcPr>
                <w:p>
                  <w:pPr>
                    <w:contextualSpacing/>
                    <w:jc w:val="center"/>
                    <w:rPr>
                      <w:b/>
                      <w:bCs/>
                      <w:szCs w:val="21"/>
                    </w:rPr>
                  </w:pPr>
                  <w:r>
                    <w:rPr>
                      <w:rFonts w:hint="eastAsia"/>
                      <w:b/>
                      <w:bCs/>
                      <w:szCs w:val="21"/>
                    </w:rPr>
                    <w:t>测点名称</w:t>
                  </w:r>
                </w:p>
              </w:tc>
              <w:tc>
                <w:tcPr>
                  <w:tcW w:w="1186" w:type="dxa"/>
                  <w:vMerge w:val="restart"/>
                  <w:vAlign w:val="center"/>
                </w:tcPr>
                <w:p>
                  <w:pPr>
                    <w:contextualSpacing/>
                    <w:jc w:val="center"/>
                    <w:rPr>
                      <w:b/>
                      <w:bCs/>
                      <w:szCs w:val="21"/>
                    </w:rPr>
                  </w:pPr>
                  <w:r>
                    <w:rPr>
                      <w:rFonts w:hint="eastAsia"/>
                      <w:b/>
                      <w:bCs/>
                      <w:szCs w:val="21"/>
                    </w:rPr>
                    <w:t>时间</w:t>
                  </w:r>
                </w:p>
              </w:tc>
              <w:tc>
                <w:tcPr>
                  <w:tcW w:w="3112" w:type="dxa"/>
                  <w:gridSpan w:val="2"/>
                  <w:vAlign w:val="center"/>
                </w:tcPr>
                <w:p>
                  <w:pPr>
                    <w:contextualSpacing/>
                    <w:jc w:val="center"/>
                    <w:rPr>
                      <w:b/>
                      <w:szCs w:val="21"/>
                    </w:rPr>
                  </w:pPr>
                  <w:r>
                    <w:rPr>
                      <w:b/>
                      <w:szCs w:val="21"/>
                    </w:rPr>
                    <w:t>Leq</w:t>
                  </w:r>
                  <w:r>
                    <w:rPr>
                      <w:rFonts w:hint="eastAsia"/>
                      <w:b/>
                      <w:szCs w:val="21"/>
                    </w:rPr>
                    <w:t>（</w:t>
                  </w:r>
                  <w:r>
                    <w:rPr>
                      <w:b/>
                      <w:szCs w:val="21"/>
                    </w:rPr>
                    <w:t>A</w:t>
                  </w:r>
                  <w:r>
                    <w:rPr>
                      <w:rFonts w:hint="eastAsia"/>
                      <w:b/>
                      <w:szCs w:val="21"/>
                    </w:rPr>
                    <w:t>）</w:t>
                  </w:r>
                </w:p>
              </w:tc>
              <w:tc>
                <w:tcPr>
                  <w:tcW w:w="1036" w:type="dxa"/>
                  <w:vMerge w:val="restart"/>
                  <w:vAlign w:val="center"/>
                </w:tcPr>
                <w:p>
                  <w:pPr>
                    <w:contextualSpacing/>
                    <w:jc w:val="center"/>
                    <w:rPr>
                      <w:b/>
                      <w:bCs/>
                      <w:szCs w:val="21"/>
                    </w:rPr>
                  </w:pPr>
                  <w:r>
                    <w:rPr>
                      <w:rFonts w:hint="eastAsia"/>
                      <w:b/>
                      <w:bCs/>
                      <w:szCs w:val="21"/>
                    </w:rPr>
                    <w:t>标准值</w:t>
                  </w:r>
                </w:p>
              </w:tc>
              <w:tc>
                <w:tcPr>
                  <w:tcW w:w="942" w:type="dxa"/>
                  <w:vMerge w:val="restart"/>
                  <w:vAlign w:val="center"/>
                </w:tcPr>
                <w:p>
                  <w:pPr>
                    <w:contextualSpacing/>
                    <w:jc w:val="center"/>
                    <w:rPr>
                      <w:b/>
                      <w:bCs/>
                      <w:szCs w:val="21"/>
                    </w:rPr>
                  </w:pPr>
                  <w:r>
                    <w:rPr>
                      <w:rFonts w:hint="eastAsia"/>
                      <w:b/>
                      <w:bCs/>
                      <w:szCs w:val="21"/>
                    </w:rPr>
                    <w:t>超标值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continue"/>
                  <w:vAlign w:val="center"/>
                </w:tcPr>
                <w:p>
                  <w:pPr>
                    <w:ind w:firstLine="420" w:firstLineChars="200"/>
                    <w:contextualSpacing/>
                    <w:jc w:val="center"/>
                    <w:rPr>
                      <w:bCs/>
                      <w:szCs w:val="21"/>
                    </w:rPr>
                  </w:pPr>
                </w:p>
              </w:tc>
              <w:tc>
                <w:tcPr>
                  <w:tcW w:w="1186" w:type="dxa"/>
                  <w:vMerge w:val="continue"/>
                  <w:vAlign w:val="center"/>
                </w:tcPr>
                <w:p>
                  <w:pPr>
                    <w:ind w:firstLine="420" w:firstLineChars="200"/>
                    <w:contextualSpacing/>
                    <w:jc w:val="center"/>
                    <w:rPr>
                      <w:bCs/>
                      <w:szCs w:val="21"/>
                    </w:rPr>
                  </w:pPr>
                </w:p>
              </w:tc>
              <w:tc>
                <w:tcPr>
                  <w:tcW w:w="1335" w:type="dxa"/>
                  <w:vAlign w:val="center"/>
                </w:tcPr>
                <w:p>
                  <w:pPr>
                    <w:contextualSpacing/>
                    <w:jc w:val="center"/>
                    <w:rPr>
                      <w:bCs/>
                      <w:szCs w:val="21"/>
                    </w:rPr>
                  </w:pPr>
                  <w:r>
                    <w:rPr>
                      <w:rFonts w:hint="eastAsia"/>
                      <w:bCs/>
                      <w:szCs w:val="21"/>
                    </w:rPr>
                    <w:t>11月20日</w:t>
                  </w:r>
                </w:p>
              </w:tc>
              <w:tc>
                <w:tcPr>
                  <w:tcW w:w="1777" w:type="dxa"/>
                  <w:vAlign w:val="center"/>
                </w:tcPr>
                <w:p>
                  <w:pPr>
                    <w:contextualSpacing/>
                    <w:jc w:val="center"/>
                    <w:rPr>
                      <w:bCs/>
                      <w:szCs w:val="21"/>
                    </w:rPr>
                  </w:pPr>
                  <w:r>
                    <w:rPr>
                      <w:rFonts w:hint="eastAsia"/>
                      <w:bCs/>
                      <w:szCs w:val="21"/>
                    </w:rPr>
                    <w:t>11月21日</w:t>
                  </w:r>
                </w:p>
              </w:tc>
              <w:tc>
                <w:tcPr>
                  <w:tcW w:w="1036" w:type="dxa"/>
                  <w:vMerge w:val="continue"/>
                  <w:vAlign w:val="center"/>
                </w:tcPr>
                <w:p>
                  <w:pPr>
                    <w:ind w:firstLine="420" w:firstLineChars="200"/>
                    <w:contextualSpacing/>
                    <w:jc w:val="center"/>
                    <w:rPr>
                      <w:bCs/>
                      <w:szCs w:val="21"/>
                    </w:rPr>
                  </w:pPr>
                </w:p>
              </w:tc>
              <w:tc>
                <w:tcPr>
                  <w:tcW w:w="942" w:type="dxa"/>
                  <w:vMerge w:val="continue"/>
                  <w:vAlign w:val="center"/>
                </w:tcPr>
                <w:p>
                  <w:pPr>
                    <w:ind w:firstLine="422" w:firstLineChars="200"/>
                    <w:contextualSpacing/>
                    <w:jc w:val="center"/>
                    <w:rPr>
                      <w:b/>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restart"/>
                  <w:vAlign w:val="center"/>
                </w:tcPr>
                <w:p>
                  <w:pPr>
                    <w:contextualSpacing/>
                    <w:jc w:val="center"/>
                    <w:rPr>
                      <w:bCs/>
                      <w:szCs w:val="21"/>
                    </w:rPr>
                  </w:pPr>
                  <w:r>
                    <w:rPr>
                      <w:bCs/>
                      <w:szCs w:val="21"/>
                    </w:rPr>
                    <w:t>3#</w:t>
                  </w:r>
                  <w:r>
                    <w:rPr>
                      <w:rFonts w:hint="eastAsia"/>
                      <w:bCs/>
                      <w:szCs w:val="21"/>
                    </w:rPr>
                    <w:t>（</w:t>
                  </w:r>
                  <w:r>
                    <w:rPr>
                      <w:rFonts w:hint="eastAsia" w:ascii="宋体" w:hAnsi="宋体"/>
                      <w:szCs w:val="21"/>
                    </w:rPr>
                    <w:t>广场处</w:t>
                  </w:r>
                  <w:r>
                    <w:rPr>
                      <w:rFonts w:hint="eastAsia"/>
                      <w:bCs/>
                      <w:szCs w:val="21"/>
                    </w:rPr>
                    <w:t>）</w:t>
                  </w:r>
                </w:p>
              </w:tc>
              <w:tc>
                <w:tcPr>
                  <w:tcW w:w="1186" w:type="dxa"/>
                  <w:vAlign w:val="center"/>
                </w:tcPr>
                <w:p>
                  <w:pPr>
                    <w:contextualSpacing/>
                    <w:jc w:val="center"/>
                    <w:rPr>
                      <w:bCs/>
                      <w:szCs w:val="21"/>
                    </w:rPr>
                  </w:pPr>
                  <w:r>
                    <w:rPr>
                      <w:rFonts w:hint="eastAsia"/>
                      <w:bCs/>
                      <w:szCs w:val="21"/>
                    </w:rPr>
                    <w:t>昼间</w:t>
                  </w:r>
                </w:p>
              </w:tc>
              <w:tc>
                <w:tcPr>
                  <w:tcW w:w="1335" w:type="dxa"/>
                  <w:vAlign w:val="center"/>
                </w:tcPr>
                <w:p>
                  <w:pPr>
                    <w:contextualSpacing/>
                    <w:jc w:val="center"/>
                    <w:rPr>
                      <w:szCs w:val="21"/>
                    </w:rPr>
                  </w:pPr>
                  <w:r>
                    <w:rPr>
                      <w:rFonts w:hint="eastAsia"/>
                      <w:szCs w:val="21"/>
                    </w:rPr>
                    <w:t>54.4</w:t>
                  </w:r>
                </w:p>
              </w:tc>
              <w:tc>
                <w:tcPr>
                  <w:tcW w:w="1777" w:type="dxa"/>
                  <w:vAlign w:val="center"/>
                </w:tcPr>
                <w:p>
                  <w:pPr>
                    <w:contextualSpacing/>
                    <w:jc w:val="center"/>
                    <w:rPr>
                      <w:szCs w:val="21"/>
                    </w:rPr>
                  </w:pPr>
                  <w:r>
                    <w:rPr>
                      <w:rFonts w:hint="eastAsia"/>
                      <w:szCs w:val="21"/>
                    </w:rPr>
                    <w:t>54.3</w:t>
                  </w:r>
                </w:p>
              </w:tc>
              <w:tc>
                <w:tcPr>
                  <w:tcW w:w="1036" w:type="dxa"/>
                  <w:vAlign w:val="center"/>
                </w:tcPr>
                <w:p>
                  <w:pPr>
                    <w:contextualSpacing/>
                    <w:jc w:val="center"/>
                    <w:rPr>
                      <w:szCs w:val="21"/>
                    </w:rPr>
                  </w:pPr>
                  <w:r>
                    <w:rPr>
                      <w:rFonts w:hint="eastAsia"/>
                      <w:szCs w:val="21"/>
                    </w:rPr>
                    <w:t>70</w:t>
                  </w:r>
                </w:p>
              </w:tc>
              <w:tc>
                <w:tcPr>
                  <w:tcW w:w="942" w:type="dxa"/>
                  <w:vAlign w:val="center"/>
                </w:tcPr>
                <w:p>
                  <w:pPr>
                    <w:contextualSpacing/>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continue"/>
                  <w:vAlign w:val="center"/>
                </w:tcPr>
                <w:p>
                  <w:pPr>
                    <w:ind w:firstLine="420" w:firstLineChars="200"/>
                    <w:contextualSpacing/>
                    <w:jc w:val="center"/>
                    <w:rPr>
                      <w:bCs/>
                      <w:szCs w:val="21"/>
                    </w:rPr>
                  </w:pPr>
                </w:p>
              </w:tc>
              <w:tc>
                <w:tcPr>
                  <w:tcW w:w="1186" w:type="dxa"/>
                  <w:vAlign w:val="center"/>
                </w:tcPr>
                <w:p>
                  <w:pPr>
                    <w:contextualSpacing/>
                    <w:jc w:val="center"/>
                    <w:rPr>
                      <w:bCs/>
                      <w:szCs w:val="21"/>
                    </w:rPr>
                  </w:pPr>
                  <w:r>
                    <w:rPr>
                      <w:rFonts w:hint="eastAsia"/>
                      <w:bCs/>
                      <w:szCs w:val="21"/>
                    </w:rPr>
                    <w:t>夜间</w:t>
                  </w:r>
                </w:p>
              </w:tc>
              <w:tc>
                <w:tcPr>
                  <w:tcW w:w="1335" w:type="dxa"/>
                  <w:vAlign w:val="center"/>
                </w:tcPr>
                <w:p>
                  <w:pPr>
                    <w:contextualSpacing/>
                    <w:jc w:val="center"/>
                    <w:rPr>
                      <w:szCs w:val="21"/>
                    </w:rPr>
                  </w:pPr>
                  <w:r>
                    <w:rPr>
                      <w:rFonts w:hint="eastAsia"/>
                      <w:szCs w:val="21"/>
                    </w:rPr>
                    <w:t>44.7</w:t>
                  </w:r>
                </w:p>
              </w:tc>
              <w:tc>
                <w:tcPr>
                  <w:tcW w:w="1777" w:type="dxa"/>
                  <w:vAlign w:val="center"/>
                </w:tcPr>
                <w:p>
                  <w:pPr>
                    <w:contextualSpacing/>
                    <w:jc w:val="center"/>
                    <w:rPr>
                      <w:szCs w:val="21"/>
                    </w:rPr>
                  </w:pPr>
                  <w:r>
                    <w:rPr>
                      <w:rFonts w:hint="eastAsia"/>
                      <w:szCs w:val="21"/>
                    </w:rPr>
                    <w:t>44.4</w:t>
                  </w:r>
                </w:p>
              </w:tc>
              <w:tc>
                <w:tcPr>
                  <w:tcW w:w="1036" w:type="dxa"/>
                  <w:vAlign w:val="center"/>
                </w:tcPr>
                <w:p>
                  <w:pPr>
                    <w:contextualSpacing/>
                    <w:jc w:val="center"/>
                    <w:rPr>
                      <w:szCs w:val="21"/>
                    </w:rPr>
                  </w:pPr>
                  <w:r>
                    <w:rPr>
                      <w:rFonts w:hint="eastAsia"/>
                      <w:szCs w:val="21"/>
                    </w:rPr>
                    <w:t>55</w:t>
                  </w:r>
                </w:p>
              </w:tc>
              <w:tc>
                <w:tcPr>
                  <w:tcW w:w="942" w:type="dxa"/>
                  <w:vAlign w:val="center"/>
                </w:tcPr>
                <w:p>
                  <w:pPr>
                    <w:contextualSpacing/>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restart"/>
                  <w:vAlign w:val="center"/>
                </w:tcPr>
                <w:p>
                  <w:pPr>
                    <w:contextualSpacing/>
                    <w:jc w:val="center"/>
                    <w:rPr>
                      <w:bCs/>
                      <w:szCs w:val="21"/>
                    </w:rPr>
                  </w:pPr>
                  <w:r>
                    <w:rPr>
                      <w:bCs/>
                      <w:szCs w:val="21"/>
                    </w:rPr>
                    <w:t>4#</w:t>
                  </w:r>
                  <w:r>
                    <w:rPr>
                      <w:rFonts w:hint="eastAsia"/>
                      <w:bCs/>
                      <w:szCs w:val="21"/>
                    </w:rPr>
                    <w:t>（</w:t>
                  </w:r>
                  <w:r>
                    <w:rPr>
                      <w:rFonts w:hint="eastAsia"/>
                    </w:rPr>
                    <w:t>太昌镇政府</w:t>
                  </w:r>
                  <w:r>
                    <w:rPr>
                      <w:rFonts w:hint="eastAsia"/>
                      <w:bCs/>
                      <w:szCs w:val="21"/>
                    </w:rPr>
                    <w:t>）</w:t>
                  </w:r>
                </w:p>
              </w:tc>
              <w:tc>
                <w:tcPr>
                  <w:tcW w:w="1186" w:type="dxa"/>
                  <w:vAlign w:val="center"/>
                </w:tcPr>
                <w:p>
                  <w:pPr>
                    <w:contextualSpacing/>
                    <w:jc w:val="center"/>
                    <w:rPr>
                      <w:bCs/>
                      <w:szCs w:val="21"/>
                    </w:rPr>
                  </w:pPr>
                  <w:r>
                    <w:rPr>
                      <w:rFonts w:hint="eastAsia"/>
                      <w:bCs/>
                      <w:szCs w:val="21"/>
                    </w:rPr>
                    <w:t>昼间</w:t>
                  </w:r>
                </w:p>
              </w:tc>
              <w:tc>
                <w:tcPr>
                  <w:tcW w:w="1335" w:type="dxa"/>
                  <w:vAlign w:val="center"/>
                </w:tcPr>
                <w:p>
                  <w:pPr>
                    <w:contextualSpacing/>
                    <w:jc w:val="center"/>
                    <w:rPr>
                      <w:szCs w:val="21"/>
                    </w:rPr>
                  </w:pPr>
                  <w:r>
                    <w:rPr>
                      <w:rFonts w:hint="eastAsia"/>
                      <w:szCs w:val="21"/>
                    </w:rPr>
                    <w:t>50.3</w:t>
                  </w:r>
                </w:p>
              </w:tc>
              <w:tc>
                <w:tcPr>
                  <w:tcW w:w="1777" w:type="dxa"/>
                  <w:vAlign w:val="center"/>
                </w:tcPr>
                <w:p>
                  <w:pPr>
                    <w:contextualSpacing/>
                    <w:jc w:val="center"/>
                    <w:rPr>
                      <w:szCs w:val="21"/>
                    </w:rPr>
                  </w:pPr>
                  <w:r>
                    <w:rPr>
                      <w:rFonts w:hint="eastAsia"/>
                      <w:szCs w:val="21"/>
                    </w:rPr>
                    <w:t>52.9</w:t>
                  </w:r>
                </w:p>
              </w:tc>
              <w:tc>
                <w:tcPr>
                  <w:tcW w:w="1036" w:type="dxa"/>
                  <w:vAlign w:val="center"/>
                </w:tcPr>
                <w:p>
                  <w:pPr>
                    <w:contextualSpacing/>
                    <w:jc w:val="center"/>
                    <w:rPr>
                      <w:szCs w:val="21"/>
                    </w:rPr>
                  </w:pPr>
                  <w:r>
                    <w:rPr>
                      <w:rFonts w:hint="eastAsia"/>
                      <w:szCs w:val="21"/>
                    </w:rPr>
                    <w:t>70</w:t>
                  </w:r>
                </w:p>
              </w:tc>
              <w:tc>
                <w:tcPr>
                  <w:tcW w:w="942" w:type="dxa"/>
                  <w:vAlign w:val="center"/>
                </w:tcPr>
                <w:p>
                  <w:pPr>
                    <w:contextualSpacing/>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continue"/>
                  <w:vAlign w:val="center"/>
                </w:tcPr>
                <w:p>
                  <w:pPr>
                    <w:ind w:firstLine="420" w:firstLineChars="200"/>
                    <w:contextualSpacing/>
                    <w:jc w:val="center"/>
                    <w:rPr>
                      <w:bCs/>
                      <w:szCs w:val="21"/>
                    </w:rPr>
                  </w:pPr>
                </w:p>
              </w:tc>
              <w:tc>
                <w:tcPr>
                  <w:tcW w:w="1186" w:type="dxa"/>
                  <w:vAlign w:val="center"/>
                </w:tcPr>
                <w:p>
                  <w:pPr>
                    <w:contextualSpacing/>
                    <w:jc w:val="center"/>
                    <w:rPr>
                      <w:bCs/>
                      <w:szCs w:val="21"/>
                    </w:rPr>
                  </w:pPr>
                  <w:r>
                    <w:rPr>
                      <w:rFonts w:hint="eastAsia"/>
                      <w:bCs/>
                      <w:szCs w:val="21"/>
                    </w:rPr>
                    <w:t>夜间</w:t>
                  </w:r>
                </w:p>
              </w:tc>
              <w:tc>
                <w:tcPr>
                  <w:tcW w:w="1335" w:type="dxa"/>
                  <w:vAlign w:val="center"/>
                </w:tcPr>
                <w:p>
                  <w:pPr>
                    <w:contextualSpacing/>
                    <w:jc w:val="center"/>
                    <w:rPr>
                      <w:szCs w:val="21"/>
                    </w:rPr>
                  </w:pPr>
                  <w:r>
                    <w:rPr>
                      <w:rFonts w:hint="eastAsia"/>
                      <w:szCs w:val="21"/>
                    </w:rPr>
                    <w:t>43.3</w:t>
                  </w:r>
                </w:p>
              </w:tc>
              <w:tc>
                <w:tcPr>
                  <w:tcW w:w="1777" w:type="dxa"/>
                  <w:vAlign w:val="center"/>
                </w:tcPr>
                <w:p>
                  <w:pPr>
                    <w:contextualSpacing/>
                    <w:jc w:val="center"/>
                    <w:rPr>
                      <w:szCs w:val="21"/>
                    </w:rPr>
                  </w:pPr>
                  <w:r>
                    <w:rPr>
                      <w:rFonts w:hint="eastAsia"/>
                      <w:szCs w:val="21"/>
                    </w:rPr>
                    <w:t>42.6</w:t>
                  </w:r>
                </w:p>
              </w:tc>
              <w:tc>
                <w:tcPr>
                  <w:tcW w:w="1036" w:type="dxa"/>
                  <w:vAlign w:val="center"/>
                </w:tcPr>
                <w:p>
                  <w:pPr>
                    <w:contextualSpacing/>
                    <w:jc w:val="center"/>
                    <w:rPr>
                      <w:szCs w:val="21"/>
                    </w:rPr>
                  </w:pPr>
                  <w:r>
                    <w:rPr>
                      <w:rFonts w:hint="eastAsia"/>
                      <w:szCs w:val="21"/>
                    </w:rPr>
                    <w:t>55</w:t>
                  </w:r>
                </w:p>
              </w:tc>
              <w:tc>
                <w:tcPr>
                  <w:tcW w:w="942" w:type="dxa"/>
                  <w:vAlign w:val="center"/>
                </w:tcPr>
                <w:p>
                  <w:pPr>
                    <w:contextualSpacing/>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restart"/>
                  <w:vAlign w:val="center"/>
                </w:tcPr>
                <w:p>
                  <w:pPr>
                    <w:contextualSpacing/>
                    <w:jc w:val="center"/>
                    <w:rPr>
                      <w:bCs/>
                      <w:szCs w:val="21"/>
                    </w:rPr>
                  </w:pPr>
                  <w:r>
                    <w:rPr>
                      <w:rFonts w:hint="eastAsia"/>
                      <w:bCs/>
                      <w:szCs w:val="21"/>
                    </w:rPr>
                    <w:t>5#（</w:t>
                  </w:r>
                  <w:r>
                    <w:rPr>
                      <w:rFonts w:hint="eastAsia"/>
                    </w:rPr>
                    <w:t>韩家庄居民</w:t>
                  </w:r>
                  <w:r>
                    <w:rPr>
                      <w:rFonts w:hint="eastAsia"/>
                      <w:bCs/>
                      <w:szCs w:val="21"/>
                    </w:rPr>
                    <w:t>）</w:t>
                  </w:r>
                </w:p>
              </w:tc>
              <w:tc>
                <w:tcPr>
                  <w:tcW w:w="1186" w:type="dxa"/>
                  <w:vAlign w:val="center"/>
                </w:tcPr>
                <w:p>
                  <w:pPr>
                    <w:contextualSpacing/>
                    <w:jc w:val="center"/>
                    <w:rPr>
                      <w:bCs/>
                      <w:szCs w:val="21"/>
                    </w:rPr>
                  </w:pPr>
                  <w:r>
                    <w:rPr>
                      <w:rFonts w:hint="eastAsia"/>
                      <w:bCs/>
                      <w:szCs w:val="21"/>
                    </w:rPr>
                    <w:t>昼间</w:t>
                  </w:r>
                </w:p>
              </w:tc>
              <w:tc>
                <w:tcPr>
                  <w:tcW w:w="1335" w:type="dxa"/>
                  <w:vAlign w:val="center"/>
                </w:tcPr>
                <w:p>
                  <w:pPr>
                    <w:contextualSpacing/>
                    <w:jc w:val="center"/>
                    <w:rPr>
                      <w:szCs w:val="21"/>
                    </w:rPr>
                  </w:pPr>
                  <w:r>
                    <w:rPr>
                      <w:rFonts w:hint="eastAsia"/>
                      <w:szCs w:val="21"/>
                    </w:rPr>
                    <w:t>54.5</w:t>
                  </w:r>
                </w:p>
              </w:tc>
              <w:tc>
                <w:tcPr>
                  <w:tcW w:w="1777" w:type="dxa"/>
                  <w:vAlign w:val="center"/>
                </w:tcPr>
                <w:p>
                  <w:pPr>
                    <w:contextualSpacing/>
                    <w:jc w:val="center"/>
                    <w:rPr>
                      <w:szCs w:val="21"/>
                    </w:rPr>
                  </w:pPr>
                  <w:r>
                    <w:rPr>
                      <w:rFonts w:hint="eastAsia"/>
                      <w:szCs w:val="21"/>
                    </w:rPr>
                    <w:t>54.4</w:t>
                  </w:r>
                </w:p>
              </w:tc>
              <w:tc>
                <w:tcPr>
                  <w:tcW w:w="1036" w:type="dxa"/>
                  <w:vAlign w:val="center"/>
                </w:tcPr>
                <w:p>
                  <w:pPr>
                    <w:contextualSpacing/>
                    <w:jc w:val="center"/>
                    <w:rPr>
                      <w:szCs w:val="21"/>
                    </w:rPr>
                  </w:pPr>
                  <w:r>
                    <w:rPr>
                      <w:rFonts w:hint="eastAsia"/>
                      <w:szCs w:val="21"/>
                    </w:rPr>
                    <w:t>70</w:t>
                  </w:r>
                </w:p>
              </w:tc>
              <w:tc>
                <w:tcPr>
                  <w:tcW w:w="942" w:type="dxa"/>
                  <w:vAlign w:val="center"/>
                </w:tcPr>
                <w:p>
                  <w:pPr>
                    <w:contextualSpacing/>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625" w:type="dxa"/>
                  <w:vMerge w:val="continue"/>
                  <w:vAlign w:val="center"/>
                </w:tcPr>
                <w:p>
                  <w:pPr>
                    <w:ind w:firstLine="420" w:firstLineChars="200"/>
                    <w:contextualSpacing/>
                    <w:jc w:val="center"/>
                    <w:rPr>
                      <w:bCs/>
                      <w:szCs w:val="21"/>
                    </w:rPr>
                  </w:pPr>
                </w:p>
              </w:tc>
              <w:tc>
                <w:tcPr>
                  <w:tcW w:w="1186" w:type="dxa"/>
                  <w:vAlign w:val="center"/>
                </w:tcPr>
                <w:p>
                  <w:pPr>
                    <w:contextualSpacing/>
                    <w:jc w:val="center"/>
                    <w:rPr>
                      <w:bCs/>
                      <w:szCs w:val="21"/>
                    </w:rPr>
                  </w:pPr>
                  <w:r>
                    <w:rPr>
                      <w:rFonts w:hint="eastAsia"/>
                      <w:bCs/>
                      <w:szCs w:val="21"/>
                    </w:rPr>
                    <w:t>夜间</w:t>
                  </w:r>
                </w:p>
              </w:tc>
              <w:tc>
                <w:tcPr>
                  <w:tcW w:w="1335" w:type="dxa"/>
                  <w:vAlign w:val="center"/>
                </w:tcPr>
                <w:p>
                  <w:pPr>
                    <w:contextualSpacing/>
                    <w:jc w:val="center"/>
                    <w:rPr>
                      <w:szCs w:val="21"/>
                    </w:rPr>
                  </w:pPr>
                  <w:r>
                    <w:rPr>
                      <w:rFonts w:hint="eastAsia"/>
                      <w:szCs w:val="21"/>
                    </w:rPr>
                    <w:t>44.5</w:t>
                  </w:r>
                </w:p>
              </w:tc>
              <w:tc>
                <w:tcPr>
                  <w:tcW w:w="1777" w:type="dxa"/>
                  <w:vAlign w:val="center"/>
                </w:tcPr>
                <w:p>
                  <w:pPr>
                    <w:contextualSpacing/>
                    <w:jc w:val="center"/>
                    <w:rPr>
                      <w:szCs w:val="21"/>
                    </w:rPr>
                  </w:pPr>
                  <w:r>
                    <w:rPr>
                      <w:rFonts w:hint="eastAsia"/>
                      <w:szCs w:val="21"/>
                    </w:rPr>
                    <w:t>44.7</w:t>
                  </w:r>
                </w:p>
              </w:tc>
              <w:tc>
                <w:tcPr>
                  <w:tcW w:w="1036" w:type="dxa"/>
                  <w:vAlign w:val="center"/>
                </w:tcPr>
                <w:p>
                  <w:pPr>
                    <w:contextualSpacing/>
                    <w:jc w:val="center"/>
                    <w:rPr>
                      <w:szCs w:val="21"/>
                    </w:rPr>
                  </w:pPr>
                  <w:r>
                    <w:rPr>
                      <w:rFonts w:hint="eastAsia"/>
                      <w:szCs w:val="21"/>
                    </w:rPr>
                    <w:t>55</w:t>
                  </w:r>
                </w:p>
              </w:tc>
              <w:tc>
                <w:tcPr>
                  <w:tcW w:w="942" w:type="dxa"/>
                  <w:vAlign w:val="center"/>
                </w:tcPr>
                <w:p>
                  <w:pPr>
                    <w:contextualSpacing/>
                    <w:jc w:val="center"/>
                    <w:rPr>
                      <w:szCs w:val="21"/>
                    </w:rPr>
                  </w:pPr>
                </w:p>
              </w:tc>
            </w:tr>
          </w:tbl>
          <w:p>
            <w:pPr>
              <w:autoSpaceDE w:val="0"/>
              <w:autoSpaceDN w:val="0"/>
              <w:adjustRightInd w:val="0"/>
              <w:spacing w:line="360" w:lineRule="auto"/>
              <w:ind w:right="-23" w:firstLine="480" w:firstLineChars="200"/>
              <w:jc w:val="left"/>
              <w:rPr>
                <w:sz w:val="24"/>
              </w:rPr>
            </w:pPr>
            <w:r>
              <w:rPr>
                <w:rFonts w:hint="eastAsia"/>
                <w:sz w:val="24"/>
              </w:rPr>
              <w:t>由表61可知，3#、4#、5#监测点位昼间噪声为54.5~50.0</w:t>
            </w:r>
            <w:r>
              <w:rPr>
                <w:bCs/>
                <w:sz w:val="24"/>
              </w:rPr>
              <w:t>dB(A)</w:t>
            </w:r>
            <w:r>
              <w:rPr>
                <w:rFonts w:hint="eastAsia"/>
                <w:bCs/>
                <w:sz w:val="24"/>
              </w:rPr>
              <w:t>，夜间</w:t>
            </w:r>
            <w:r>
              <w:rPr>
                <w:rFonts w:hint="eastAsia"/>
                <w:sz w:val="24"/>
              </w:rPr>
              <w:t>噪声为42.6~44.7</w:t>
            </w:r>
            <w:r>
              <w:rPr>
                <w:bCs/>
                <w:sz w:val="24"/>
              </w:rPr>
              <w:t>dB(A)</w:t>
            </w:r>
            <w:r>
              <w:rPr>
                <w:rFonts w:hint="eastAsia"/>
                <w:bCs/>
                <w:sz w:val="24"/>
              </w:rPr>
              <w:t>，均满足《声环境质量标准》（</w:t>
            </w:r>
            <w:r>
              <w:rPr>
                <w:bCs/>
                <w:sz w:val="24"/>
              </w:rPr>
              <w:t>GB3096-2008</w:t>
            </w:r>
            <w:r>
              <w:rPr>
                <w:rFonts w:hint="eastAsia"/>
                <w:bCs/>
                <w:sz w:val="24"/>
              </w:rPr>
              <w:t>）4a类标准限值。因此，太昌镇街道主干道车辆噪声对环境的影响较小。</w:t>
            </w:r>
          </w:p>
          <w:p>
            <w:pPr>
              <w:autoSpaceDE w:val="0"/>
              <w:autoSpaceDN w:val="0"/>
              <w:adjustRightInd w:val="0"/>
              <w:spacing w:line="360" w:lineRule="auto"/>
              <w:ind w:right="-23" w:firstLine="480" w:firstLineChars="200"/>
              <w:jc w:val="left"/>
              <w:rPr>
                <w:sz w:val="24"/>
              </w:rPr>
            </w:pPr>
            <w:r>
              <w:rPr>
                <w:rFonts w:hint="eastAsia"/>
                <w:sz w:val="24"/>
              </w:rPr>
              <w:t>项目污水站主要噪声来源于提升泵房和其他机械设备，根据类比噪声源强90～100dB(A)，项目设备安装设置于地下，经隔声、减震、消声等措施后噪声源可降低45 dB(A)，生产区距离南厂界1.8</w:t>
            </w:r>
            <w:r>
              <w:rPr>
                <w:sz w:val="24"/>
              </w:rPr>
              <w:t>m</w:t>
            </w:r>
            <w:r>
              <w:rPr>
                <w:rFonts w:hint="eastAsia"/>
                <w:sz w:val="24"/>
              </w:rPr>
              <w:t>，距离北厂界2.0</w:t>
            </w:r>
            <w:r>
              <w:rPr>
                <w:sz w:val="24"/>
              </w:rPr>
              <w:t>m</w:t>
            </w:r>
            <w:r>
              <w:rPr>
                <w:rFonts w:hint="eastAsia"/>
                <w:sz w:val="24"/>
              </w:rPr>
              <w:t>，距离西厂界最近2.3</w:t>
            </w:r>
            <w:r>
              <w:rPr>
                <w:sz w:val="24"/>
              </w:rPr>
              <w:t>m</w:t>
            </w:r>
            <w:r>
              <w:rPr>
                <w:rFonts w:hint="eastAsia"/>
                <w:sz w:val="24"/>
              </w:rPr>
              <w:t>，距离东厂界2.0</w:t>
            </w:r>
            <w:r>
              <w:rPr>
                <w:sz w:val="24"/>
              </w:rPr>
              <w:t>m</w:t>
            </w:r>
            <w:r>
              <w:rPr>
                <w:rFonts w:hint="eastAsia"/>
                <w:sz w:val="24"/>
              </w:rPr>
              <w:t>。</w:t>
            </w:r>
          </w:p>
          <w:p>
            <w:pPr>
              <w:spacing w:line="360" w:lineRule="auto"/>
              <w:ind w:firstLine="480" w:firstLineChars="200"/>
              <w:jc w:val="left"/>
              <w:rPr>
                <w:sz w:val="24"/>
              </w:rPr>
            </w:pPr>
            <w:r>
              <w:rPr>
                <w:rFonts w:hint="eastAsia"/>
                <w:sz w:val="24"/>
              </w:rPr>
              <w:t>根据声环境评价导则（HJ2.4-2009）的规定，选取预测模式，应用过程中将根据具体情况作必要简化，计算过程如下：</w:t>
            </w:r>
          </w:p>
          <w:p>
            <w:pPr>
              <w:spacing w:line="360" w:lineRule="auto"/>
              <w:ind w:firstLine="482" w:firstLineChars="200"/>
              <w:jc w:val="left"/>
              <w:rPr>
                <w:rFonts w:ascii="宋体"/>
                <w:sz w:val="24"/>
              </w:rPr>
            </w:pPr>
            <w:r>
              <w:rPr>
                <w:rFonts w:hint="eastAsia" w:ascii="宋体" w:hAnsi="宋体"/>
                <w:b/>
                <w:sz w:val="24"/>
              </w:rPr>
              <w:t>（</w:t>
            </w:r>
            <w:r>
              <w:rPr>
                <w:rFonts w:ascii="宋体" w:hAnsi="宋体"/>
                <w:b/>
                <w:sz w:val="24"/>
              </w:rPr>
              <w:t>1</w:t>
            </w:r>
            <w:r>
              <w:rPr>
                <w:rFonts w:hint="eastAsia" w:ascii="宋体" w:hAnsi="宋体"/>
                <w:b/>
                <w:sz w:val="24"/>
              </w:rPr>
              <w:t>）</w:t>
            </w:r>
            <w:r>
              <w:rPr>
                <w:rFonts w:hint="eastAsia" w:ascii="宋体" w:hAnsi="宋体"/>
                <w:sz w:val="24"/>
              </w:rPr>
              <w:t>预测模型</w:t>
            </w:r>
          </w:p>
          <w:p>
            <w:pPr>
              <w:spacing w:line="360" w:lineRule="auto"/>
              <w:ind w:firstLine="480" w:firstLineChars="200"/>
              <w:jc w:val="left"/>
              <w:rPr>
                <w:rFonts w:ascii="宋体"/>
                <w:sz w:val="24"/>
              </w:rPr>
            </w:pPr>
            <w:r>
              <w:rPr>
                <w:rFonts w:hint="eastAsia" w:ascii="宋体" w:hAnsi="宋体"/>
                <w:sz w:val="24"/>
              </w:rPr>
              <w:t>根据机械设备噪声源强，采用距离衰减模式分析该项目对声环境的影响。本预测采用点声源衰减模式，仅考虑距离衰减值、场界墙壁、植物屏障等因素，其噪声预测公式为：</w:t>
            </w:r>
          </w:p>
          <w:p>
            <w:pPr>
              <w:tabs>
                <w:tab w:val="left" w:pos="1665"/>
                <w:tab w:val="center" w:pos="4730"/>
              </w:tabs>
              <w:spacing w:line="360" w:lineRule="auto"/>
              <w:ind w:firstLine="480" w:firstLineChars="200"/>
              <w:jc w:val="left"/>
              <w:rPr>
                <w:sz w:val="24"/>
              </w:rPr>
            </w:pPr>
            <w:r>
              <w:rPr>
                <w:sz w:val="24"/>
              </w:rPr>
              <w:tab/>
            </w:r>
            <w:r>
              <w:rPr>
                <w:sz w:val="24"/>
              </w:rPr>
              <w:tab/>
            </w:r>
            <w:r>
              <w:rPr>
                <w:sz w:val="24"/>
              </w:rPr>
              <w:t>L</w:t>
            </w:r>
            <w:r>
              <w:rPr>
                <w:sz w:val="24"/>
                <w:vertAlign w:val="subscript"/>
              </w:rPr>
              <w:t>A</w:t>
            </w:r>
            <w:r>
              <w:rPr>
                <w:sz w:val="24"/>
              </w:rPr>
              <w:t>(r)= L</w:t>
            </w:r>
            <w:r>
              <w:rPr>
                <w:sz w:val="24"/>
                <w:vertAlign w:val="subscript"/>
              </w:rPr>
              <w:t>A</w:t>
            </w:r>
            <w:r>
              <w:rPr>
                <w:sz w:val="24"/>
              </w:rPr>
              <w:t>(r</w:t>
            </w:r>
            <w:r>
              <w:rPr>
                <w:sz w:val="24"/>
                <w:vertAlign w:val="subscript"/>
              </w:rPr>
              <w:t>0</w:t>
            </w:r>
            <w:r>
              <w:rPr>
                <w:sz w:val="24"/>
              </w:rPr>
              <w:t>)-20lg</w:t>
            </w:r>
            <w:r>
              <w:rPr>
                <w:rFonts w:hint="eastAsia" w:hAnsi="宋体"/>
                <w:sz w:val="24"/>
              </w:rPr>
              <w:t>（</w:t>
            </w:r>
            <w:r>
              <w:rPr>
                <w:sz w:val="24"/>
              </w:rPr>
              <w:t>r/r</w:t>
            </w:r>
            <w:r>
              <w:rPr>
                <w:sz w:val="24"/>
                <w:vertAlign w:val="subscript"/>
              </w:rPr>
              <w:t>0</w:t>
            </w:r>
            <w:r>
              <w:rPr>
                <w:rFonts w:hint="eastAsia" w:hAnsi="宋体"/>
                <w:sz w:val="24"/>
              </w:rPr>
              <w:t>）</w:t>
            </w:r>
            <w:r>
              <w:rPr>
                <w:sz w:val="24"/>
              </w:rPr>
              <w:t>-TL</w:t>
            </w:r>
          </w:p>
          <w:p>
            <w:pPr>
              <w:spacing w:line="360" w:lineRule="auto"/>
              <w:ind w:firstLine="480" w:firstLineChars="200"/>
              <w:rPr>
                <w:sz w:val="24"/>
              </w:rPr>
            </w:pPr>
            <w:r>
              <w:rPr>
                <w:rFonts w:hint="eastAsia" w:hAnsi="宋体"/>
                <w:sz w:val="24"/>
              </w:rPr>
              <w:t>式中：</w:t>
            </w:r>
            <w:r>
              <w:rPr>
                <w:sz w:val="24"/>
              </w:rPr>
              <w:t>L</w:t>
            </w:r>
            <w:r>
              <w:rPr>
                <w:sz w:val="24"/>
                <w:vertAlign w:val="subscript"/>
              </w:rPr>
              <w:t>A</w:t>
            </w:r>
            <w:r>
              <w:rPr>
                <w:sz w:val="24"/>
              </w:rPr>
              <w:t>(r)——</w:t>
            </w:r>
            <w:r>
              <w:rPr>
                <w:rFonts w:hint="eastAsia" w:hAnsi="宋体"/>
                <w:sz w:val="24"/>
              </w:rPr>
              <w:t>距离声源</w:t>
            </w:r>
            <w:r>
              <w:rPr>
                <w:sz w:val="24"/>
              </w:rPr>
              <w:t>r</w:t>
            </w:r>
            <w:r>
              <w:rPr>
                <w:rFonts w:hint="eastAsia" w:hAnsi="宋体"/>
                <w:sz w:val="24"/>
              </w:rPr>
              <w:t>处的</w:t>
            </w:r>
            <w:r>
              <w:rPr>
                <w:sz w:val="24"/>
              </w:rPr>
              <w:t>A</w:t>
            </w:r>
            <w:r>
              <w:rPr>
                <w:rFonts w:hint="eastAsia" w:hAnsi="宋体"/>
                <w:sz w:val="24"/>
              </w:rPr>
              <w:t>声级，</w:t>
            </w:r>
            <w:r>
              <w:rPr>
                <w:sz w:val="24"/>
              </w:rPr>
              <w:t>dB</w:t>
            </w:r>
            <w:r>
              <w:rPr>
                <w:rFonts w:hint="eastAsia" w:hAnsi="宋体"/>
                <w:sz w:val="24"/>
              </w:rPr>
              <w:t>（</w:t>
            </w:r>
            <w:r>
              <w:rPr>
                <w:sz w:val="24"/>
              </w:rPr>
              <w:t>A</w:t>
            </w:r>
            <w:r>
              <w:rPr>
                <w:rFonts w:hint="eastAsia" w:hAnsi="宋体"/>
                <w:sz w:val="24"/>
              </w:rPr>
              <w:t>）；</w:t>
            </w:r>
          </w:p>
          <w:p>
            <w:pPr>
              <w:spacing w:line="360" w:lineRule="auto"/>
              <w:ind w:firstLine="1200" w:firstLineChars="500"/>
              <w:rPr>
                <w:sz w:val="24"/>
              </w:rPr>
            </w:pPr>
            <w:r>
              <w:rPr>
                <w:sz w:val="24"/>
              </w:rPr>
              <w:t>L</w:t>
            </w:r>
            <w:r>
              <w:rPr>
                <w:sz w:val="24"/>
                <w:vertAlign w:val="subscript"/>
              </w:rPr>
              <w:t>A</w:t>
            </w:r>
            <w:r>
              <w:rPr>
                <w:sz w:val="24"/>
              </w:rPr>
              <w:t>(r</w:t>
            </w:r>
            <w:r>
              <w:rPr>
                <w:sz w:val="24"/>
                <w:vertAlign w:val="subscript"/>
              </w:rPr>
              <w:t>0</w:t>
            </w:r>
            <w:r>
              <w:rPr>
                <w:sz w:val="24"/>
              </w:rPr>
              <w:t>)——</w:t>
            </w:r>
            <w:r>
              <w:rPr>
                <w:rFonts w:hint="eastAsia" w:hAnsi="宋体"/>
                <w:sz w:val="24"/>
              </w:rPr>
              <w:t>距离声源中心</w:t>
            </w:r>
            <w:r>
              <w:rPr>
                <w:sz w:val="24"/>
              </w:rPr>
              <w:t>r</w:t>
            </w:r>
            <w:r>
              <w:rPr>
                <w:sz w:val="24"/>
                <w:vertAlign w:val="subscript"/>
              </w:rPr>
              <w:t>0</w:t>
            </w:r>
            <w:r>
              <w:rPr>
                <w:rFonts w:hint="eastAsia" w:hAnsi="宋体"/>
                <w:sz w:val="24"/>
              </w:rPr>
              <w:t>处的</w:t>
            </w:r>
            <w:r>
              <w:rPr>
                <w:sz w:val="24"/>
              </w:rPr>
              <w:t>A</w:t>
            </w:r>
            <w:r>
              <w:rPr>
                <w:rFonts w:hint="eastAsia" w:hAnsi="宋体"/>
                <w:sz w:val="24"/>
              </w:rPr>
              <w:t>声级，</w:t>
            </w:r>
            <w:r>
              <w:rPr>
                <w:sz w:val="24"/>
              </w:rPr>
              <w:t>dB</w:t>
            </w:r>
            <w:r>
              <w:rPr>
                <w:rFonts w:hint="eastAsia" w:hAnsi="宋体"/>
                <w:sz w:val="24"/>
              </w:rPr>
              <w:t>（</w:t>
            </w:r>
            <w:r>
              <w:rPr>
                <w:sz w:val="24"/>
              </w:rPr>
              <w:t>A</w:t>
            </w:r>
            <w:r>
              <w:rPr>
                <w:rFonts w:hint="eastAsia" w:hAnsi="宋体"/>
                <w:sz w:val="24"/>
              </w:rPr>
              <w:t>）；</w:t>
            </w:r>
          </w:p>
          <w:p>
            <w:pPr>
              <w:spacing w:line="360" w:lineRule="auto"/>
              <w:ind w:firstLine="1200" w:firstLineChars="500"/>
              <w:rPr>
                <w:sz w:val="24"/>
              </w:rPr>
            </w:pPr>
            <w:r>
              <w:rPr>
                <w:sz w:val="24"/>
              </w:rPr>
              <w:t>r</w:t>
            </w:r>
            <w:r>
              <w:rPr>
                <w:rFonts w:hint="eastAsia" w:hAnsi="宋体"/>
                <w:sz w:val="24"/>
              </w:rPr>
              <w:t>、</w:t>
            </w:r>
            <w:r>
              <w:rPr>
                <w:sz w:val="24"/>
              </w:rPr>
              <w:t>r</w:t>
            </w:r>
            <w:r>
              <w:rPr>
                <w:sz w:val="24"/>
                <w:vertAlign w:val="subscript"/>
              </w:rPr>
              <w:t>0</w:t>
            </w:r>
            <w:r>
              <w:rPr>
                <w:sz w:val="24"/>
              </w:rPr>
              <w:t>——</w:t>
            </w:r>
            <w:r>
              <w:rPr>
                <w:rFonts w:hint="eastAsia" w:hAnsi="宋体"/>
                <w:sz w:val="24"/>
              </w:rPr>
              <w:t>距声源的距离，</w:t>
            </w:r>
            <w:r>
              <w:rPr>
                <w:sz w:val="24"/>
              </w:rPr>
              <w:t>m</w:t>
            </w:r>
            <w:r>
              <w:rPr>
                <w:rFonts w:hint="eastAsia" w:hAnsi="宋体"/>
                <w:sz w:val="24"/>
              </w:rPr>
              <w:t>；</w:t>
            </w:r>
          </w:p>
          <w:p>
            <w:pPr>
              <w:spacing w:line="360" w:lineRule="auto"/>
              <w:ind w:firstLine="1200" w:firstLineChars="500"/>
              <w:rPr>
                <w:sz w:val="24"/>
              </w:rPr>
            </w:pPr>
            <w:r>
              <w:rPr>
                <w:sz w:val="24"/>
              </w:rPr>
              <w:t>TL——</w:t>
            </w:r>
            <w:r>
              <w:rPr>
                <w:rFonts w:hint="eastAsia" w:hAnsi="宋体"/>
                <w:sz w:val="24"/>
              </w:rPr>
              <w:t>墙壁隔声量，</w:t>
            </w:r>
            <w:r>
              <w:rPr>
                <w:sz w:val="24"/>
              </w:rPr>
              <w:t>TL</w:t>
            </w:r>
            <w:r>
              <w:rPr>
                <w:rFonts w:hint="eastAsia" w:hAnsi="宋体"/>
                <w:sz w:val="24"/>
              </w:rPr>
              <w:t>取</w:t>
            </w:r>
            <w:r>
              <w:rPr>
                <w:sz w:val="24"/>
              </w:rPr>
              <w:t>15dB</w:t>
            </w:r>
            <w:r>
              <w:rPr>
                <w:rFonts w:hint="eastAsia" w:hAnsi="宋体"/>
                <w:sz w:val="24"/>
              </w:rPr>
              <w:t>（</w:t>
            </w:r>
            <w:r>
              <w:rPr>
                <w:sz w:val="24"/>
              </w:rPr>
              <w:t>A</w:t>
            </w:r>
            <w:r>
              <w:rPr>
                <w:rFonts w:hint="eastAsia" w:hAnsi="宋体"/>
                <w:sz w:val="24"/>
              </w:rPr>
              <w:t>）。</w:t>
            </w:r>
          </w:p>
          <w:p>
            <w:pPr>
              <w:spacing w:line="360" w:lineRule="auto"/>
              <w:ind w:firstLine="570"/>
              <w:rPr>
                <w:sz w:val="24"/>
              </w:rPr>
            </w:pPr>
            <w:r>
              <w:rPr>
                <w:rFonts w:hint="eastAsia" w:hAnsi="宋体"/>
                <w:sz w:val="24"/>
              </w:rPr>
              <w:t>由上式预测单个噪声源在评价点的贡献值，再将不同声源在该点的贡献值用对数法叠加，得出多个噪声源对该点噪声的贡献值，采用的模式如下：</w:t>
            </w:r>
          </w:p>
          <w:p>
            <w:pPr>
              <w:widowControl/>
              <w:spacing w:line="360" w:lineRule="auto"/>
              <w:jc w:val="center"/>
              <w:rPr>
                <w:kern w:val="0"/>
                <w:sz w:val="24"/>
              </w:rPr>
            </w:pPr>
            <w:r>
              <w:rPr>
                <w:sz w:val="24"/>
              </w:rPr>
              <w:t>L</w:t>
            </w:r>
            <w:r>
              <w:rPr>
                <w:sz w:val="24"/>
                <w:vertAlign w:val="subscript"/>
              </w:rPr>
              <w:t>P</w:t>
            </w:r>
            <w:r>
              <w:rPr>
                <w:sz w:val="24"/>
              </w:rPr>
              <w:t>=10lg∑10</w:t>
            </w:r>
            <w:r>
              <w:rPr>
                <w:sz w:val="24"/>
                <w:vertAlign w:val="superscript"/>
              </w:rPr>
              <w:t>0.1Lpi</w:t>
            </w:r>
          </w:p>
          <w:p>
            <w:pPr>
              <w:spacing w:line="360" w:lineRule="auto"/>
              <w:ind w:firstLine="480" w:firstLineChars="200"/>
              <w:rPr>
                <w:sz w:val="24"/>
              </w:rPr>
            </w:pPr>
            <w:r>
              <w:rPr>
                <w:rFonts w:hint="eastAsia"/>
                <w:sz w:val="24"/>
              </w:rPr>
              <w:t>式中：</w:t>
            </w:r>
            <w:r>
              <w:rPr>
                <w:sz w:val="24"/>
              </w:rPr>
              <w:t>L</w:t>
            </w:r>
            <w:r>
              <w:rPr>
                <w:sz w:val="24"/>
                <w:vertAlign w:val="subscript"/>
              </w:rPr>
              <w:t>P</w:t>
            </w:r>
            <w:r>
              <w:rPr>
                <w:sz w:val="24"/>
              </w:rPr>
              <w:t>——</w:t>
            </w:r>
            <w:r>
              <w:rPr>
                <w:rFonts w:hint="eastAsia" w:hAnsi="宋体"/>
                <w:sz w:val="24"/>
              </w:rPr>
              <w:t>某点噪声总叠加值，</w:t>
            </w:r>
            <w:r>
              <w:rPr>
                <w:sz w:val="24"/>
              </w:rPr>
              <w:t>dB</w:t>
            </w:r>
            <w:r>
              <w:rPr>
                <w:rFonts w:hint="eastAsia" w:hAnsi="宋体"/>
                <w:sz w:val="24"/>
              </w:rPr>
              <w:t>（</w:t>
            </w:r>
            <w:r>
              <w:rPr>
                <w:sz w:val="24"/>
              </w:rPr>
              <w:t>A</w:t>
            </w:r>
            <w:r>
              <w:rPr>
                <w:rFonts w:hint="eastAsia" w:hAnsi="宋体"/>
                <w:sz w:val="24"/>
              </w:rPr>
              <w:t>）；</w:t>
            </w:r>
          </w:p>
          <w:p>
            <w:pPr>
              <w:spacing w:line="360" w:lineRule="auto"/>
              <w:ind w:firstLine="1200" w:firstLineChars="500"/>
              <w:rPr>
                <w:sz w:val="24"/>
              </w:rPr>
            </w:pPr>
            <w:r>
              <w:rPr>
                <w:sz w:val="24"/>
              </w:rPr>
              <w:t>L</w:t>
            </w:r>
            <w:r>
              <w:rPr>
                <w:sz w:val="24"/>
                <w:vertAlign w:val="subscript"/>
              </w:rPr>
              <w:t>Pi</w:t>
            </w:r>
            <w:r>
              <w:rPr>
                <w:sz w:val="24"/>
              </w:rPr>
              <w:t>——</w:t>
            </w:r>
            <w:r>
              <w:rPr>
                <w:rFonts w:hint="eastAsia" w:hAnsi="宋体"/>
                <w:sz w:val="24"/>
              </w:rPr>
              <w:t>第</w:t>
            </w:r>
            <w:r>
              <w:rPr>
                <w:sz w:val="24"/>
              </w:rPr>
              <w:t>i</w:t>
            </w:r>
            <w:r>
              <w:rPr>
                <w:rFonts w:hint="eastAsia" w:hAnsi="宋体"/>
                <w:sz w:val="24"/>
              </w:rPr>
              <w:t>个声源的噪声值，</w:t>
            </w:r>
            <w:r>
              <w:rPr>
                <w:sz w:val="24"/>
              </w:rPr>
              <w:t>dB</w:t>
            </w:r>
            <w:r>
              <w:rPr>
                <w:rFonts w:hint="eastAsia" w:hAnsi="宋体"/>
                <w:sz w:val="24"/>
              </w:rPr>
              <w:t>（</w:t>
            </w:r>
            <w:r>
              <w:rPr>
                <w:sz w:val="24"/>
              </w:rPr>
              <w:t>A</w:t>
            </w:r>
            <w:r>
              <w:rPr>
                <w:rFonts w:hint="eastAsia" w:hAnsi="宋体"/>
                <w:sz w:val="24"/>
              </w:rPr>
              <w:t>）；</w:t>
            </w:r>
          </w:p>
          <w:p>
            <w:pPr>
              <w:spacing w:line="360" w:lineRule="auto"/>
              <w:ind w:firstLine="1200" w:firstLineChars="500"/>
              <w:rPr>
                <w:sz w:val="24"/>
              </w:rPr>
            </w:pPr>
            <w:r>
              <w:rPr>
                <w:sz w:val="24"/>
              </w:rPr>
              <w:t>n——</w:t>
            </w:r>
            <w:r>
              <w:rPr>
                <w:rFonts w:hint="eastAsia" w:hAnsi="宋体"/>
                <w:sz w:val="24"/>
              </w:rPr>
              <w:t>声源个数。</w:t>
            </w:r>
          </w:p>
          <w:p>
            <w:pPr>
              <w:tabs>
                <w:tab w:val="left" w:pos="2160"/>
              </w:tabs>
              <w:spacing w:line="360" w:lineRule="auto"/>
              <w:ind w:firstLine="570"/>
              <w:rPr>
                <w:sz w:val="24"/>
              </w:rPr>
            </w:pPr>
            <w:r>
              <w:rPr>
                <w:rFonts w:hint="eastAsia" w:hAnsi="宋体"/>
                <w:b/>
                <w:sz w:val="24"/>
              </w:rPr>
              <w:t>（</w:t>
            </w:r>
            <w:r>
              <w:rPr>
                <w:b/>
                <w:sz w:val="24"/>
              </w:rPr>
              <w:t>2</w:t>
            </w:r>
            <w:r>
              <w:rPr>
                <w:rFonts w:hint="eastAsia" w:hAnsi="宋体"/>
                <w:b/>
                <w:sz w:val="24"/>
              </w:rPr>
              <w:t>）</w:t>
            </w:r>
            <w:r>
              <w:rPr>
                <w:rFonts w:hint="eastAsia" w:hAnsi="宋体"/>
                <w:sz w:val="24"/>
              </w:rPr>
              <w:t>预测结果</w:t>
            </w:r>
          </w:p>
          <w:p>
            <w:pPr>
              <w:spacing w:line="360" w:lineRule="auto"/>
              <w:ind w:firstLine="480" w:firstLineChars="200"/>
              <w:jc w:val="left"/>
              <w:rPr>
                <w:rFonts w:hAnsi="宋体"/>
                <w:sz w:val="24"/>
              </w:rPr>
            </w:pPr>
            <w:r>
              <w:rPr>
                <w:rFonts w:hint="eastAsia" w:hAnsi="宋体"/>
                <w:sz w:val="24"/>
              </w:rPr>
              <w:t>按照《环境影响评价技术导则</w:t>
            </w:r>
            <w:r>
              <w:rPr>
                <w:sz w:val="24"/>
              </w:rPr>
              <w:t xml:space="preserve"> </w:t>
            </w:r>
            <w:r>
              <w:rPr>
                <w:rFonts w:hint="eastAsia" w:hAnsi="宋体"/>
                <w:sz w:val="24"/>
              </w:rPr>
              <w:t>声环境》（</w:t>
            </w:r>
            <w:r>
              <w:rPr>
                <w:sz w:val="24"/>
              </w:rPr>
              <w:t>HJ2.4-2009</w:t>
            </w:r>
            <w:r>
              <w:rPr>
                <w:rFonts w:hint="eastAsia" w:hAnsi="宋体"/>
                <w:sz w:val="24"/>
              </w:rPr>
              <w:t>），根据噪声预测结果和环境噪声评价标准，进行厂界噪声评价时，以工程噪声贡献值作为评价量；进行敏感目标噪声环境影响评价时，以敏感目标所受的噪声贡献值与背景噪声值叠加后的预测值作为评价量。</w:t>
            </w:r>
          </w:p>
          <w:p>
            <w:pPr>
              <w:spacing w:line="360" w:lineRule="auto"/>
              <w:ind w:firstLine="422" w:firstLineChars="200"/>
              <w:jc w:val="center"/>
              <w:rPr>
                <w:b/>
                <w:szCs w:val="21"/>
              </w:rPr>
            </w:pPr>
            <w:r>
              <w:rPr>
                <w:rFonts w:hint="eastAsia"/>
                <w:b/>
                <w:szCs w:val="21"/>
              </w:rPr>
              <w:t>表62   主要噪声源强一览表   单位：</w:t>
            </w:r>
            <w:r>
              <w:rPr>
                <w:b/>
                <w:szCs w:val="21"/>
              </w:rPr>
              <w:t>dB(A)</w:t>
            </w:r>
          </w:p>
          <w:tbl>
            <w:tblPr>
              <w:tblStyle w:val="35"/>
              <w:tblW w:w="890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709"/>
              <w:gridCol w:w="1355"/>
              <w:gridCol w:w="2158"/>
              <w:gridCol w:w="1260"/>
              <w:gridCol w:w="18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blHeader/>
                <w:jc w:val="center"/>
              </w:trPr>
              <w:tc>
                <w:tcPr>
                  <w:tcW w:w="1559" w:type="dxa"/>
                  <w:tcBorders>
                    <w:top w:val="single" w:color="auto" w:sz="12" w:space="0"/>
                    <w:left w:val="nil"/>
                    <w:bottom w:val="single" w:color="auto" w:sz="12" w:space="0"/>
                    <w:right w:val="single" w:color="auto" w:sz="2" w:space="0"/>
                  </w:tcBorders>
                  <w:vAlign w:val="center"/>
                </w:tcPr>
                <w:p>
                  <w:pPr>
                    <w:adjustRightInd w:val="0"/>
                    <w:snapToGrid w:val="0"/>
                    <w:jc w:val="center"/>
                    <w:rPr>
                      <w:b/>
                    </w:rPr>
                  </w:pPr>
                  <w:r>
                    <w:rPr>
                      <w:b/>
                    </w:rPr>
                    <w:t>设备</w:t>
                  </w:r>
                </w:p>
              </w:tc>
              <w:tc>
                <w:tcPr>
                  <w:tcW w:w="709" w:type="dxa"/>
                  <w:tcBorders>
                    <w:top w:val="single" w:color="auto" w:sz="12" w:space="0"/>
                    <w:bottom w:val="single" w:color="auto" w:sz="12" w:space="0"/>
                    <w:right w:val="single" w:color="auto" w:sz="2" w:space="0"/>
                  </w:tcBorders>
                  <w:vAlign w:val="center"/>
                </w:tcPr>
                <w:p>
                  <w:pPr>
                    <w:adjustRightInd w:val="0"/>
                    <w:snapToGrid w:val="0"/>
                    <w:jc w:val="center"/>
                    <w:rPr>
                      <w:b/>
                    </w:rPr>
                  </w:pPr>
                  <w:r>
                    <w:rPr>
                      <w:rFonts w:hint="eastAsia"/>
                      <w:b/>
                    </w:rPr>
                    <w:t>数量</w:t>
                  </w:r>
                </w:p>
              </w:tc>
              <w:tc>
                <w:tcPr>
                  <w:tcW w:w="1355" w:type="dxa"/>
                  <w:tcBorders>
                    <w:top w:val="single" w:color="auto" w:sz="12" w:space="0"/>
                    <w:bottom w:val="single" w:color="auto" w:sz="12" w:space="0"/>
                    <w:right w:val="single" w:color="auto" w:sz="2" w:space="0"/>
                  </w:tcBorders>
                  <w:vAlign w:val="center"/>
                </w:tcPr>
                <w:p>
                  <w:pPr>
                    <w:adjustRightInd w:val="0"/>
                    <w:snapToGrid w:val="0"/>
                    <w:jc w:val="center"/>
                    <w:rPr>
                      <w:b/>
                    </w:rPr>
                  </w:pPr>
                  <w:r>
                    <w:rPr>
                      <w:b/>
                    </w:rPr>
                    <w:t>噪声级</w:t>
                  </w:r>
                </w:p>
                <w:p>
                  <w:pPr>
                    <w:adjustRightInd w:val="0"/>
                    <w:snapToGrid w:val="0"/>
                    <w:jc w:val="center"/>
                    <w:rPr>
                      <w:b/>
                    </w:rPr>
                  </w:pPr>
                  <w:r>
                    <w:rPr>
                      <w:b/>
                    </w:rPr>
                    <w:t>dB（A）</w:t>
                  </w:r>
                </w:p>
              </w:tc>
              <w:tc>
                <w:tcPr>
                  <w:tcW w:w="2158" w:type="dxa"/>
                  <w:tcBorders>
                    <w:top w:val="single" w:color="auto" w:sz="12" w:space="0"/>
                    <w:left w:val="single" w:color="auto" w:sz="2" w:space="0"/>
                    <w:bottom w:val="single" w:color="auto" w:sz="12" w:space="0"/>
                    <w:right w:val="single" w:color="auto" w:sz="2" w:space="0"/>
                  </w:tcBorders>
                  <w:vAlign w:val="center"/>
                </w:tcPr>
                <w:p>
                  <w:pPr>
                    <w:adjustRightInd w:val="0"/>
                    <w:snapToGrid w:val="0"/>
                    <w:jc w:val="center"/>
                    <w:rPr>
                      <w:b/>
                      <w:szCs w:val="21"/>
                    </w:rPr>
                  </w:pPr>
                  <w:r>
                    <w:rPr>
                      <w:b/>
                      <w:szCs w:val="21"/>
                    </w:rPr>
                    <w:t>治理措施</w:t>
                  </w:r>
                </w:p>
              </w:tc>
              <w:tc>
                <w:tcPr>
                  <w:tcW w:w="1260" w:type="dxa"/>
                  <w:tcBorders>
                    <w:top w:val="single" w:color="auto" w:sz="12" w:space="0"/>
                    <w:left w:val="single" w:color="auto" w:sz="2" w:space="0"/>
                    <w:bottom w:val="single" w:color="auto" w:sz="12" w:space="0"/>
                  </w:tcBorders>
                  <w:vAlign w:val="center"/>
                </w:tcPr>
                <w:p>
                  <w:pPr>
                    <w:adjustRightInd w:val="0"/>
                    <w:snapToGrid w:val="0"/>
                    <w:ind w:left="-92" w:leftChars="-44" w:right="-90" w:rightChars="-43"/>
                    <w:jc w:val="center"/>
                    <w:rPr>
                      <w:b/>
                      <w:szCs w:val="21"/>
                    </w:rPr>
                  </w:pPr>
                  <w:r>
                    <w:rPr>
                      <w:b/>
                      <w:szCs w:val="21"/>
                    </w:rPr>
                    <w:t>降噪效果</w:t>
                  </w:r>
                </w:p>
                <w:p>
                  <w:pPr>
                    <w:adjustRightInd w:val="0"/>
                    <w:snapToGrid w:val="0"/>
                    <w:jc w:val="center"/>
                    <w:rPr>
                      <w:b/>
                      <w:szCs w:val="21"/>
                    </w:rPr>
                  </w:pPr>
                  <w:r>
                    <w:rPr>
                      <w:b/>
                      <w:szCs w:val="21"/>
                    </w:rPr>
                    <w:t>dB（A）</w:t>
                  </w:r>
                </w:p>
              </w:tc>
              <w:tc>
                <w:tcPr>
                  <w:tcW w:w="1860" w:type="dxa"/>
                  <w:tcBorders>
                    <w:top w:val="single" w:color="auto" w:sz="12" w:space="0"/>
                    <w:bottom w:val="single" w:color="auto" w:sz="12" w:space="0"/>
                    <w:right w:val="nil"/>
                  </w:tcBorders>
                  <w:vAlign w:val="center"/>
                </w:tcPr>
                <w:p>
                  <w:pPr>
                    <w:adjustRightInd w:val="0"/>
                    <w:snapToGrid w:val="0"/>
                    <w:jc w:val="center"/>
                    <w:rPr>
                      <w:b/>
                    </w:rPr>
                  </w:pPr>
                  <w:r>
                    <w:rPr>
                      <w:b/>
                    </w:rPr>
                    <w:t>治理后噪声</w:t>
                  </w:r>
                </w:p>
                <w:p>
                  <w:pPr>
                    <w:adjustRightInd w:val="0"/>
                    <w:snapToGrid w:val="0"/>
                    <w:jc w:val="center"/>
                    <w:rPr>
                      <w:b/>
                    </w:rPr>
                  </w:pPr>
                  <w:r>
                    <w:rPr>
                      <w:b/>
                      <w:szCs w:val="21"/>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559" w:type="dxa"/>
                  <w:tcBorders>
                    <w:left w:val="nil"/>
                    <w:right w:val="single" w:color="auto" w:sz="2" w:space="0"/>
                  </w:tcBorders>
                  <w:vAlign w:val="center"/>
                </w:tcPr>
                <w:p>
                  <w:pPr>
                    <w:adjustRightInd w:val="0"/>
                    <w:snapToGrid w:val="0"/>
                    <w:jc w:val="center"/>
                  </w:pPr>
                  <w:r>
                    <w:rPr>
                      <w:rFonts w:hint="eastAsia"/>
                    </w:rPr>
                    <w:t>提升</w:t>
                  </w:r>
                  <w:r>
                    <w:t>泵</w:t>
                  </w:r>
                </w:p>
              </w:tc>
              <w:tc>
                <w:tcPr>
                  <w:tcW w:w="709" w:type="dxa"/>
                  <w:tcBorders>
                    <w:right w:val="single" w:color="auto" w:sz="2" w:space="0"/>
                  </w:tcBorders>
                  <w:vAlign w:val="center"/>
                </w:tcPr>
                <w:p>
                  <w:pPr>
                    <w:adjustRightInd w:val="0"/>
                    <w:snapToGrid w:val="0"/>
                    <w:jc w:val="center"/>
                  </w:pPr>
                  <w:r>
                    <w:rPr>
                      <w:rFonts w:hint="eastAsia"/>
                    </w:rPr>
                    <w:t>2</w:t>
                  </w:r>
                </w:p>
              </w:tc>
              <w:tc>
                <w:tcPr>
                  <w:tcW w:w="1355" w:type="dxa"/>
                  <w:tcBorders>
                    <w:right w:val="single" w:color="auto" w:sz="2" w:space="0"/>
                  </w:tcBorders>
                  <w:vAlign w:val="center"/>
                </w:tcPr>
                <w:p>
                  <w:pPr>
                    <w:adjustRightInd w:val="0"/>
                    <w:snapToGrid w:val="0"/>
                    <w:jc w:val="center"/>
                  </w:pPr>
                  <w:r>
                    <w:t>95~10</w:t>
                  </w:r>
                  <w:r>
                    <w:rPr>
                      <w:rFonts w:hint="eastAsia"/>
                    </w:rPr>
                    <w:t>0</w:t>
                  </w:r>
                </w:p>
              </w:tc>
              <w:tc>
                <w:tcPr>
                  <w:tcW w:w="2158" w:type="dxa"/>
                  <w:tcBorders>
                    <w:left w:val="single" w:color="auto" w:sz="2" w:space="0"/>
                    <w:right w:val="single" w:color="auto" w:sz="2" w:space="0"/>
                  </w:tcBorders>
                  <w:vAlign w:val="center"/>
                </w:tcPr>
                <w:p>
                  <w:pPr>
                    <w:adjustRightInd w:val="0"/>
                    <w:snapToGrid w:val="0"/>
                    <w:jc w:val="center"/>
                    <w:rPr>
                      <w:szCs w:val="21"/>
                    </w:rPr>
                  </w:pPr>
                  <w:r>
                    <w:rPr>
                      <w:szCs w:val="21"/>
                    </w:rPr>
                    <w:t>减震、隔声</w:t>
                  </w:r>
                  <w:r>
                    <w:rPr>
                      <w:rFonts w:hint="eastAsia"/>
                      <w:szCs w:val="21"/>
                    </w:rPr>
                    <w:t>、消声</w:t>
                  </w:r>
                </w:p>
              </w:tc>
              <w:tc>
                <w:tcPr>
                  <w:tcW w:w="1260" w:type="dxa"/>
                  <w:tcBorders>
                    <w:left w:val="single" w:color="auto" w:sz="2" w:space="0"/>
                  </w:tcBorders>
                  <w:vAlign w:val="center"/>
                </w:tcPr>
                <w:p>
                  <w:pPr>
                    <w:adjustRightInd w:val="0"/>
                    <w:snapToGrid w:val="0"/>
                    <w:jc w:val="center"/>
                  </w:pPr>
                  <w:r>
                    <w:rPr>
                      <w:rFonts w:hint="eastAsia"/>
                    </w:rPr>
                    <w:t>45</w:t>
                  </w:r>
                </w:p>
              </w:tc>
              <w:tc>
                <w:tcPr>
                  <w:tcW w:w="1860" w:type="dxa"/>
                  <w:tcBorders>
                    <w:right w:val="nil"/>
                  </w:tcBorders>
                  <w:vAlign w:val="center"/>
                </w:tcPr>
                <w:p>
                  <w:pPr>
                    <w:jc w:val="center"/>
                  </w:pPr>
                  <w:r>
                    <w:rPr>
                      <w:rFonts w:hint="eastAsia"/>
                    </w:rPr>
                    <w:t>50</w:t>
                  </w:r>
                  <w:r>
                    <w:t>~</w:t>
                  </w:r>
                  <w:r>
                    <w:rPr>
                      <w:rFonts w:hint="eastAsia"/>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559" w:type="dxa"/>
                  <w:tcBorders>
                    <w:left w:val="nil"/>
                    <w:right w:val="single" w:color="auto" w:sz="2" w:space="0"/>
                  </w:tcBorders>
                  <w:vAlign w:val="center"/>
                </w:tcPr>
                <w:p>
                  <w:pPr>
                    <w:adjustRightInd w:val="0"/>
                    <w:snapToGrid w:val="0"/>
                    <w:jc w:val="center"/>
                  </w:pPr>
                  <w:r>
                    <w:rPr>
                      <w:rFonts w:hint="eastAsia"/>
                    </w:rPr>
                    <w:t>曝气机</w:t>
                  </w:r>
                </w:p>
              </w:tc>
              <w:tc>
                <w:tcPr>
                  <w:tcW w:w="709" w:type="dxa"/>
                  <w:tcBorders>
                    <w:right w:val="single" w:color="auto" w:sz="2" w:space="0"/>
                  </w:tcBorders>
                  <w:vAlign w:val="center"/>
                </w:tcPr>
                <w:p>
                  <w:pPr>
                    <w:adjustRightInd w:val="0"/>
                    <w:snapToGrid w:val="0"/>
                    <w:jc w:val="center"/>
                  </w:pPr>
                  <w:r>
                    <w:rPr>
                      <w:rFonts w:hint="eastAsia"/>
                    </w:rPr>
                    <w:t>1</w:t>
                  </w:r>
                </w:p>
              </w:tc>
              <w:tc>
                <w:tcPr>
                  <w:tcW w:w="1355" w:type="dxa"/>
                  <w:tcBorders>
                    <w:right w:val="single" w:color="auto" w:sz="2" w:space="0"/>
                  </w:tcBorders>
                  <w:vAlign w:val="center"/>
                </w:tcPr>
                <w:p>
                  <w:pPr>
                    <w:adjustRightInd w:val="0"/>
                    <w:snapToGrid w:val="0"/>
                    <w:jc w:val="center"/>
                  </w:pPr>
                  <w:r>
                    <w:rPr>
                      <w:rFonts w:hint="eastAsia"/>
                    </w:rPr>
                    <w:t>90</w:t>
                  </w:r>
                  <w:r>
                    <w:rPr>
                      <w:szCs w:val="18"/>
                    </w:rPr>
                    <w:t>~</w:t>
                  </w:r>
                  <w:r>
                    <w:rPr>
                      <w:rFonts w:hint="eastAsia"/>
                    </w:rPr>
                    <w:t>95</w:t>
                  </w:r>
                </w:p>
              </w:tc>
              <w:tc>
                <w:tcPr>
                  <w:tcW w:w="2158" w:type="dxa"/>
                  <w:tcBorders>
                    <w:left w:val="single" w:color="auto" w:sz="2" w:space="0"/>
                    <w:right w:val="single" w:color="auto" w:sz="2" w:space="0"/>
                  </w:tcBorders>
                  <w:vAlign w:val="center"/>
                </w:tcPr>
                <w:p>
                  <w:pPr>
                    <w:adjustRightInd w:val="0"/>
                    <w:snapToGrid w:val="0"/>
                    <w:jc w:val="center"/>
                    <w:rPr>
                      <w:szCs w:val="21"/>
                    </w:rPr>
                  </w:pPr>
                  <w:r>
                    <w:rPr>
                      <w:szCs w:val="21"/>
                    </w:rPr>
                    <w:t>减震、隔声</w:t>
                  </w:r>
                  <w:r>
                    <w:rPr>
                      <w:rFonts w:hint="eastAsia"/>
                      <w:szCs w:val="21"/>
                    </w:rPr>
                    <w:t>、消声</w:t>
                  </w:r>
                </w:p>
              </w:tc>
              <w:tc>
                <w:tcPr>
                  <w:tcW w:w="1260" w:type="dxa"/>
                  <w:tcBorders>
                    <w:left w:val="single" w:color="auto" w:sz="2" w:space="0"/>
                  </w:tcBorders>
                  <w:vAlign w:val="center"/>
                </w:tcPr>
                <w:p>
                  <w:pPr>
                    <w:jc w:val="center"/>
                  </w:pPr>
                  <w:r>
                    <w:rPr>
                      <w:rFonts w:hint="eastAsia"/>
                    </w:rPr>
                    <w:t>45</w:t>
                  </w:r>
                </w:p>
              </w:tc>
              <w:tc>
                <w:tcPr>
                  <w:tcW w:w="1860" w:type="dxa"/>
                  <w:tcBorders>
                    <w:right w:val="nil"/>
                  </w:tcBorders>
                  <w:vAlign w:val="center"/>
                </w:tcPr>
                <w:p>
                  <w:pPr>
                    <w:jc w:val="center"/>
                  </w:pPr>
                  <w:r>
                    <w:rPr>
                      <w:rFonts w:hint="eastAsia"/>
                    </w:rPr>
                    <w:t>45</w:t>
                  </w:r>
                  <w:r>
                    <w:t>~</w:t>
                  </w:r>
                  <w:r>
                    <w:rPr>
                      <w:rFonts w:hint="eastAsi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559" w:type="dxa"/>
                  <w:tcBorders>
                    <w:left w:val="nil"/>
                    <w:right w:val="single" w:color="auto" w:sz="2" w:space="0"/>
                  </w:tcBorders>
                  <w:vAlign w:val="center"/>
                </w:tcPr>
                <w:p>
                  <w:pPr>
                    <w:adjustRightInd w:val="0"/>
                    <w:snapToGrid w:val="0"/>
                    <w:jc w:val="center"/>
                  </w:pPr>
                  <w:r>
                    <w:rPr>
                      <w:rFonts w:hint="eastAsia"/>
                    </w:rPr>
                    <w:t>污泥泵</w:t>
                  </w:r>
                </w:p>
              </w:tc>
              <w:tc>
                <w:tcPr>
                  <w:tcW w:w="709" w:type="dxa"/>
                  <w:tcBorders>
                    <w:right w:val="single" w:color="auto" w:sz="2" w:space="0"/>
                  </w:tcBorders>
                  <w:vAlign w:val="center"/>
                </w:tcPr>
                <w:p>
                  <w:pPr>
                    <w:adjustRightInd w:val="0"/>
                    <w:snapToGrid w:val="0"/>
                    <w:jc w:val="center"/>
                  </w:pPr>
                  <w:r>
                    <w:rPr>
                      <w:rFonts w:hint="eastAsia"/>
                    </w:rPr>
                    <w:t>1</w:t>
                  </w:r>
                </w:p>
              </w:tc>
              <w:tc>
                <w:tcPr>
                  <w:tcW w:w="1355" w:type="dxa"/>
                  <w:tcBorders>
                    <w:right w:val="single" w:color="auto" w:sz="2" w:space="0"/>
                  </w:tcBorders>
                  <w:vAlign w:val="center"/>
                </w:tcPr>
                <w:p>
                  <w:pPr>
                    <w:adjustRightInd w:val="0"/>
                    <w:snapToGrid w:val="0"/>
                    <w:jc w:val="center"/>
                  </w:pPr>
                  <w:r>
                    <w:rPr>
                      <w:rFonts w:hint="eastAsia"/>
                    </w:rPr>
                    <w:t>90</w:t>
                  </w:r>
                  <w:r>
                    <w:t>~10</w:t>
                  </w:r>
                  <w:r>
                    <w:rPr>
                      <w:rFonts w:hint="eastAsia"/>
                    </w:rPr>
                    <w:t>0</w:t>
                  </w:r>
                </w:p>
              </w:tc>
              <w:tc>
                <w:tcPr>
                  <w:tcW w:w="2158" w:type="dxa"/>
                  <w:tcBorders>
                    <w:left w:val="single" w:color="auto" w:sz="2" w:space="0"/>
                    <w:right w:val="single" w:color="auto" w:sz="2" w:space="0"/>
                  </w:tcBorders>
                  <w:vAlign w:val="center"/>
                </w:tcPr>
                <w:p>
                  <w:pPr>
                    <w:adjustRightInd w:val="0"/>
                    <w:snapToGrid w:val="0"/>
                    <w:jc w:val="center"/>
                    <w:rPr>
                      <w:szCs w:val="21"/>
                    </w:rPr>
                  </w:pPr>
                  <w:r>
                    <w:rPr>
                      <w:szCs w:val="21"/>
                    </w:rPr>
                    <w:t>减震、隔声</w:t>
                  </w:r>
                  <w:r>
                    <w:rPr>
                      <w:rFonts w:hint="eastAsia"/>
                      <w:szCs w:val="21"/>
                    </w:rPr>
                    <w:t>、消声</w:t>
                  </w:r>
                </w:p>
              </w:tc>
              <w:tc>
                <w:tcPr>
                  <w:tcW w:w="1260" w:type="dxa"/>
                  <w:tcBorders>
                    <w:left w:val="single" w:color="auto" w:sz="2" w:space="0"/>
                  </w:tcBorders>
                  <w:vAlign w:val="center"/>
                </w:tcPr>
                <w:p>
                  <w:pPr>
                    <w:jc w:val="center"/>
                  </w:pPr>
                  <w:r>
                    <w:rPr>
                      <w:rFonts w:hint="eastAsia"/>
                    </w:rPr>
                    <w:t>45</w:t>
                  </w:r>
                </w:p>
              </w:tc>
              <w:tc>
                <w:tcPr>
                  <w:tcW w:w="1860" w:type="dxa"/>
                  <w:tcBorders>
                    <w:right w:val="nil"/>
                  </w:tcBorders>
                  <w:vAlign w:val="center"/>
                </w:tcPr>
                <w:p>
                  <w:pPr>
                    <w:jc w:val="center"/>
                  </w:pPr>
                  <w:r>
                    <w:rPr>
                      <w:rFonts w:hint="eastAsia"/>
                    </w:rPr>
                    <w:t>45</w:t>
                  </w:r>
                  <w:r>
                    <w:t>~</w:t>
                  </w:r>
                  <w:r>
                    <w:rPr>
                      <w:rFonts w:hint="eastAsia"/>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559" w:type="dxa"/>
                  <w:tcBorders>
                    <w:left w:val="nil"/>
                    <w:right w:val="single" w:color="auto" w:sz="2" w:space="0"/>
                  </w:tcBorders>
                  <w:vAlign w:val="center"/>
                </w:tcPr>
                <w:p>
                  <w:pPr>
                    <w:adjustRightInd w:val="0"/>
                    <w:snapToGrid w:val="0"/>
                    <w:jc w:val="center"/>
                  </w:pPr>
                  <w:r>
                    <w:rPr>
                      <w:rFonts w:hint="eastAsia"/>
                    </w:rPr>
                    <w:t>过滤器提升泵</w:t>
                  </w:r>
                </w:p>
              </w:tc>
              <w:tc>
                <w:tcPr>
                  <w:tcW w:w="709" w:type="dxa"/>
                  <w:tcBorders>
                    <w:right w:val="single" w:color="auto" w:sz="2" w:space="0"/>
                  </w:tcBorders>
                  <w:vAlign w:val="center"/>
                </w:tcPr>
                <w:p>
                  <w:pPr>
                    <w:adjustRightInd w:val="0"/>
                    <w:snapToGrid w:val="0"/>
                    <w:jc w:val="center"/>
                  </w:pPr>
                  <w:r>
                    <w:rPr>
                      <w:rFonts w:hint="eastAsia"/>
                    </w:rPr>
                    <w:t>2</w:t>
                  </w:r>
                </w:p>
              </w:tc>
              <w:tc>
                <w:tcPr>
                  <w:tcW w:w="1355" w:type="dxa"/>
                  <w:tcBorders>
                    <w:right w:val="single" w:color="auto" w:sz="2" w:space="0"/>
                  </w:tcBorders>
                  <w:vAlign w:val="center"/>
                </w:tcPr>
                <w:p>
                  <w:pPr>
                    <w:adjustRightInd w:val="0"/>
                    <w:snapToGrid w:val="0"/>
                    <w:jc w:val="center"/>
                  </w:pPr>
                  <w:r>
                    <w:t>95~10</w:t>
                  </w:r>
                  <w:r>
                    <w:rPr>
                      <w:rFonts w:hint="eastAsia"/>
                    </w:rPr>
                    <w:t>0</w:t>
                  </w:r>
                </w:p>
              </w:tc>
              <w:tc>
                <w:tcPr>
                  <w:tcW w:w="2158" w:type="dxa"/>
                  <w:tcBorders>
                    <w:left w:val="single" w:color="auto" w:sz="2" w:space="0"/>
                    <w:right w:val="single" w:color="auto" w:sz="2" w:space="0"/>
                  </w:tcBorders>
                  <w:vAlign w:val="center"/>
                </w:tcPr>
                <w:p>
                  <w:pPr>
                    <w:adjustRightInd w:val="0"/>
                    <w:snapToGrid w:val="0"/>
                    <w:jc w:val="center"/>
                    <w:rPr>
                      <w:szCs w:val="21"/>
                    </w:rPr>
                  </w:pPr>
                  <w:r>
                    <w:rPr>
                      <w:szCs w:val="21"/>
                    </w:rPr>
                    <w:t>减震、隔声</w:t>
                  </w:r>
                  <w:r>
                    <w:rPr>
                      <w:rFonts w:hint="eastAsia"/>
                      <w:szCs w:val="21"/>
                    </w:rPr>
                    <w:t>、消声</w:t>
                  </w:r>
                </w:p>
              </w:tc>
              <w:tc>
                <w:tcPr>
                  <w:tcW w:w="1260" w:type="dxa"/>
                  <w:tcBorders>
                    <w:left w:val="single" w:color="auto" w:sz="2" w:space="0"/>
                  </w:tcBorders>
                  <w:vAlign w:val="center"/>
                </w:tcPr>
                <w:p>
                  <w:pPr>
                    <w:jc w:val="center"/>
                  </w:pPr>
                  <w:r>
                    <w:rPr>
                      <w:rFonts w:hint="eastAsia"/>
                    </w:rPr>
                    <w:t>45</w:t>
                  </w:r>
                </w:p>
              </w:tc>
              <w:tc>
                <w:tcPr>
                  <w:tcW w:w="1860" w:type="dxa"/>
                  <w:tcBorders>
                    <w:right w:val="nil"/>
                  </w:tcBorders>
                  <w:vAlign w:val="center"/>
                </w:tcPr>
                <w:p>
                  <w:pPr>
                    <w:jc w:val="center"/>
                  </w:pPr>
                  <w:r>
                    <w:rPr>
                      <w:rFonts w:hint="eastAsia"/>
                    </w:rPr>
                    <w:t>50</w:t>
                  </w:r>
                  <w:r>
                    <w:t>~</w:t>
                  </w:r>
                  <w:r>
                    <w:rPr>
                      <w:rFonts w:hint="eastAsia"/>
                    </w:rPr>
                    <w:t>55</w:t>
                  </w:r>
                </w:p>
              </w:tc>
            </w:tr>
          </w:tbl>
          <w:p>
            <w:pPr>
              <w:pStyle w:val="17"/>
              <w:ind w:firstLine="1124" w:firstLineChars="533"/>
              <w:jc w:val="center"/>
              <w:rPr>
                <w:rFonts w:ascii="Times New Roman" w:hAnsi="Times New Roman"/>
                <w:b/>
                <w:kern w:val="2"/>
                <w:sz w:val="21"/>
                <w:szCs w:val="22"/>
              </w:rPr>
            </w:pPr>
            <w:r>
              <w:rPr>
                <w:rFonts w:hint="eastAsia" w:ascii="Times New Roman" w:hAnsi="Times New Roman"/>
                <w:b/>
                <w:bCs/>
                <w:kern w:val="2"/>
                <w:sz w:val="21"/>
                <w:szCs w:val="21"/>
              </w:rPr>
              <w:t>表63</w:t>
            </w:r>
            <w:r>
              <w:rPr>
                <w:rFonts w:ascii="Times New Roman" w:hAnsi="Times New Roman"/>
                <w:b/>
                <w:bCs/>
                <w:kern w:val="2"/>
                <w:sz w:val="21"/>
                <w:szCs w:val="21"/>
              </w:rPr>
              <w:t xml:space="preserve">      </w:t>
            </w:r>
            <w:r>
              <w:rPr>
                <w:rFonts w:hint="eastAsia" w:ascii="Times New Roman" w:hAnsi="Times New Roman"/>
                <w:b/>
                <w:bCs/>
                <w:kern w:val="2"/>
                <w:sz w:val="21"/>
                <w:szCs w:val="21"/>
              </w:rPr>
              <w:t>拟建址区域厂界噪声预测结果</w:t>
            </w:r>
            <w:r>
              <w:rPr>
                <w:rFonts w:ascii="Times New Roman" w:hAnsi="Times New Roman"/>
                <w:b/>
                <w:kern w:val="2"/>
                <w:sz w:val="21"/>
                <w:szCs w:val="22"/>
              </w:rPr>
              <w:t xml:space="preserve">       </w:t>
            </w:r>
            <w:r>
              <w:rPr>
                <w:rFonts w:hint="eastAsia" w:ascii="Times New Roman" w:hAnsi="Times New Roman"/>
                <w:bCs/>
                <w:kern w:val="2"/>
                <w:sz w:val="21"/>
                <w:szCs w:val="22"/>
              </w:rPr>
              <w:t>单位：</w:t>
            </w:r>
            <w:r>
              <w:rPr>
                <w:rFonts w:ascii="Times New Roman" w:hAnsi="Times New Roman"/>
                <w:bCs/>
                <w:kern w:val="2"/>
                <w:sz w:val="21"/>
                <w:szCs w:val="22"/>
              </w:rPr>
              <w:t>dB(A)</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69"/>
              <w:gridCol w:w="1417"/>
              <w:gridCol w:w="287"/>
              <w:gridCol w:w="988"/>
              <w:gridCol w:w="612"/>
              <w:gridCol w:w="167"/>
              <w:gridCol w:w="497"/>
              <w:gridCol w:w="310"/>
              <w:gridCol w:w="1109"/>
              <w:gridCol w:w="68"/>
              <w:gridCol w:w="11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4" w:hRule="exact"/>
              </w:trPr>
              <w:tc>
                <w:tcPr>
                  <w:tcW w:w="2269" w:type="dxa"/>
                  <w:vAlign w:val="center"/>
                </w:tcPr>
                <w:p>
                  <w:pPr>
                    <w:autoSpaceDE w:val="0"/>
                    <w:autoSpaceDN w:val="0"/>
                    <w:adjustRightInd w:val="0"/>
                    <w:snapToGrid w:val="0"/>
                    <w:jc w:val="center"/>
                    <w:rPr>
                      <w:b/>
                      <w:szCs w:val="21"/>
                    </w:rPr>
                  </w:pPr>
                  <w:r>
                    <w:rPr>
                      <w:rFonts w:hint="eastAsia"/>
                      <w:b/>
                      <w:szCs w:val="21"/>
                    </w:rPr>
                    <w:t>预测点</w:t>
                  </w:r>
                </w:p>
              </w:tc>
              <w:tc>
                <w:tcPr>
                  <w:tcW w:w="1417" w:type="dxa"/>
                  <w:vAlign w:val="center"/>
                </w:tcPr>
                <w:p>
                  <w:pPr>
                    <w:autoSpaceDE w:val="0"/>
                    <w:autoSpaceDN w:val="0"/>
                    <w:adjustRightInd w:val="0"/>
                    <w:snapToGrid w:val="0"/>
                    <w:jc w:val="center"/>
                    <w:rPr>
                      <w:b/>
                      <w:szCs w:val="21"/>
                    </w:rPr>
                  </w:pPr>
                  <w:r>
                    <w:rPr>
                      <w:rFonts w:hint="eastAsia"/>
                      <w:b/>
                      <w:szCs w:val="21"/>
                    </w:rPr>
                    <w:t>东厂界</w:t>
                  </w:r>
                </w:p>
              </w:tc>
              <w:tc>
                <w:tcPr>
                  <w:tcW w:w="1275" w:type="dxa"/>
                  <w:gridSpan w:val="2"/>
                  <w:vAlign w:val="center"/>
                </w:tcPr>
                <w:p>
                  <w:pPr>
                    <w:autoSpaceDE w:val="0"/>
                    <w:autoSpaceDN w:val="0"/>
                    <w:adjustRightInd w:val="0"/>
                    <w:snapToGrid w:val="0"/>
                    <w:jc w:val="center"/>
                    <w:rPr>
                      <w:b/>
                      <w:szCs w:val="21"/>
                    </w:rPr>
                  </w:pPr>
                  <w:r>
                    <w:rPr>
                      <w:rFonts w:hint="eastAsia"/>
                      <w:b/>
                      <w:szCs w:val="21"/>
                    </w:rPr>
                    <w:t>西厂界</w:t>
                  </w:r>
                </w:p>
              </w:tc>
              <w:tc>
                <w:tcPr>
                  <w:tcW w:w="1276" w:type="dxa"/>
                  <w:gridSpan w:val="3"/>
                  <w:vAlign w:val="center"/>
                </w:tcPr>
                <w:p>
                  <w:pPr>
                    <w:autoSpaceDE w:val="0"/>
                    <w:autoSpaceDN w:val="0"/>
                    <w:adjustRightInd w:val="0"/>
                    <w:snapToGrid w:val="0"/>
                    <w:jc w:val="center"/>
                    <w:rPr>
                      <w:b/>
                      <w:szCs w:val="21"/>
                    </w:rPr>
                  </w:pPr>
                  <w:r>
                    <w:rPr>
                      <w:rFonts w:hint="eastAsia"/>
                      <w:b/>
                      <w:szCs w:val="21"/>
                    </w:rPr>
                    <w:t>南厂界</w:t>
                  </w:r>
                </w:p>
              </w:tc>
              <w:tc>
                <w:tcPr>
                  <w:tcW w:w="1419" w:type="dxa"/>
                  <w:gridSpan w:val="2"/>
                  <w:vAlign w:val="center"/>
                </w:tcPr>
                <w:p>
                  <w:pPr>
                    <w:autoSpaceDE w:val="0"/>
                    <w:autoSpaceDN w:val="0"/>
                    <w:adjustRightInd w:val="0"/>
                    <w:snapToGrid w:val="0"/>
                    <w:jc w:val="center"/>
                    <w:rPr>
                      <w:b/>
                      <w:szCs w:val="21"/>
                    </w:rPr>
                  </w:pPr>
                  <w:r>
                    <w:rPr>
                      <w:rFonts w:hint="eastAsia"/>
                      <w:b/>
                      <w:szCs w:val="21"/>
                    </w:rPr>
                    <w:t>北厂界</w:t>
                  </w:r>
                </w:p>
              </w:tc>
              <w:tc>
                <w:tcPr>
                  <w:tcW w:w="1245" w:type="dxa"/>
                  <w:gridSpan w:val="2"/>
                  <w:vAlign w:val="center"/>
                </w:tcPr>
                <w:p>
                  <w:pPr>
                    <w:autoSpaceDE w:val="0"/>
                    <w:autoSpaceDN w:val="0"/>
                    <w:adjustRightInd w:val="0"/>
                    <w:snapToGrid w:val="0"/>
                    <w:jc w:val="center"/>
                    <w:rPr>
                      <w:b/>
                      <w:szCs w:val="21"/>
                    </w:rPr>
                  </w:pPr>
                  <w:r>
                    <w:rPr>
                      <w:rFonts w:hint="eastAsia"/>
                      <w:b/>
                      <w:szCs w:val="21"/>
                    </w:rPr>
                    <w:t>最近居民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4" w:hRule="exact"/>
              </w:trPr>
              <w:tc>
                <w:tcPr>
                  <w:tcW w:w="2269" w:type="dxa"/>
                  <w:vAlign w:val="center"/>
                </w:tcPr>
                <w:p>
                  <w:pPr>
                    <w:autoSpaceDE w:val="0"/>
                    <w:autoSpaceDN w:val="0"/>
                    <w:adjustRightInd w:val="0"/>
                    <w:snapToGrid w:val="0"/>
                    <w:jc w:val="center"/>
                    <w:rPr>
                      <w:szCs w:val="21"/>
                    </w:rPr>
                  </w:pPr>
                  <w:r>
                    <w:rPr>
                      <w:rFonts w:hint="eastAsia"/>
                      <w:szCs w:val="21"/>
                    </w:rPr>
                    <w:t>距离厂界距离（m）</w:t>
                  </w:r>
                </w:p>
              </w:tc>
              <w:tc>
                <w:tcPr>
                  <w:tcW w:w="1417" w:type="dxa"/>
                  <w:vAlign w:val="center"/>
                </w:tcPr>
                <w:p>
                  <w:pPr>
                    <w:autoSpaceDE w:val="0"/>
                    <w:autoSpaceDN w:val="0"/>
                    <w:adjustRightInd w:val="0"/>
                    <w:snapToGrid w:val="0"/>
                    <w:jc w:val="center"/>
                    <w:rPr>
                      <w:szCs w:val="21"/>
                    </w:rPr>
                  </w:pPr>
                  <w:r>
                    <w:rPr>
                      <w:rFonts w:hint="eastAsia"/>
                      <w:szCs w:val="21"/>
                    </w:rPr>
                    <w:t>2.0</w:t>
                  </w:r>
                </w:p>
              </w:tc>
              <w:tc>
                <w:tcPr>
                  <w:tcW w:w="1275" w:type="dxa"/>
                  <w:gridSpan w:val="2"/>
                  <w:vAlign w:val="center"/>
                </w:tcPr>
                <w:p>
                  <w:pPr>
                    <w:autoSpaceDE w:val="0"/>
                    <w:autoSpaceDN w:val="0"/>
                    <w:adjustRightInd w:val="0"/>
                    <w:snapToGrid w:val="0"/>
                    <w:jc w:val="center"/>
                    <w:rPr>
                      <w:szCs w:val="21"/>
                    </w:rPr>
                  </w:pPr>
                  <w:r>
                    <w:rPr>
                      <w:rFonts w:hint="eastAsia"/>
                      <w:szCs w:val="21"/>
                    </w:rPr>
                    <w:t>2.3</w:t>
                  </w:r>
                </w:p>
              </w:tc>
              <w:tc>
                <w:tcPr>
                  <w:tcW w:w="1276" w:type="dxa"/>
                  <w:gridSpan w:val="3"/>
                  <w:vAlign w:val="center"/>
                </w:tcPr>
                <w:p>
                  <w:pPr>
                    <w:autoSpaceDE w:val="0"/>
                    <w:autoSpaceDN w:val="0"/>
                    <w:adjustRightInd w:val="0"/>
                    <w:snapToGrid w:val="0"/>
                    <w:jc w:val="center"/>
                    <w:rPr>
                      <w:szCs w:val="21"/>
                    </w:rPr>
                  </w:pPr>
                  <w:r>
                    <w:rPr>
                      <w:rFonts w:hint="eastAsia"/>
                      <w:szCs w:val="21"/>
                    </w:rPr>
                    <w:t>1.8</w:t>
                  </w:r>
                </w:p>
              </w:tc>
              <w:tc>
                <w:tcPr>
                  <w:tcW w:w="1419" w:type="dxa"/>
                  <w:gridSpan w:val="2"/>
                  <w:vAlign w:val="center"/>
                </w:tcPr>
                <w:p>
                  <w:pPr>
                    <w:autoSpaceDE w:val="0"/>
                    <w:autoSpaceDN w:val="0"/>
                    <w:adjustRightInd w:val="0"/>
                    <w:snapToGrid w:val="0"/>
                    <w:jc w:val="center"/>
                    <w:rPr>
                      <w:szCs w:val="21"/>
                    </w:rPr>
                  </w:pPr>
                  <w:r>
                    <w:rPr>
                      <w:rFonts w:hint="eastAsia"/>
                      <w:szCs w:val="21"/>
                    </w:rPr>
                    <w:t>2.0</w:t>
                  </w:r>
                </w:p>
              </w:tc>
              <w:tc>
                <w:tcPr>
                  <w:tcW w:w="1245" w:type="dxa"/>
                  <w:gridSpan w:val="2"/>
                  <w:vAlign w:val="center"/>
                </w:tcPr>
                <w:p>
                  <w:pPr>
                    <w:autoSpaceDE w:val="0"/>
                    <w:autoSpaceDN w:val="0"/>
                    <w:adjustRightInd w:val="0"/>
                    <w:snapToGrid w:val="0"/>
                    <w:jc w:val="center"/>
                    <w:rPr>
                      <w:szCs w:val="21"/>
                    </w:rPr>
                  </w:pPr>
                  <w:r>
                    <w:rPr>
                      <w:rFonts w:hint="eastAsia"/>
                      <w:szCs w:val="21"/>
                    </w:rPr>
                    <w:t>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4" w:hRule="exact"/>
              </w:trPr>
              <w:tc>
                <w:tcPr>
                  <w:tcW w:w="2269" w:type="dxa"/>
                  <w:vAlign w:val="center"/>
                </w:tcPr>
                <w:p>
                  <w:pPr>
                    <w:autoSpaceDE w:val="0"/>
                    <w:autoSpaceDN w:val="0"/>
                    <w:adjustRightInd w:val="0"/>
                    <w:snapToGrid w:val="0"/>
                    <w:jc w:val="center"/>
                    <w:rPr>
                      <w:szCs w:val="21"/>
                    </w:rPr>
                  </w:pPr>
                  <w:r>
                    <w:rPr>
                      <w:rFonts w:hint="eastAsia"/>
                      <w:szCs w:val="21"/>
                    </w:rPr>
                    <w:t>贡献值</w:t>
                  </w:r>
                </w:p>
              </w:tc>
              <w:tc>
                <w:tcPr>
                  <w:tcW w:w="1417" w:type="dxa"/>
                  <w:vAlign w:val="center"/>
                </w:tcPr>
                <w:p>
                  <w:pPr>
                    <w:autoSpaceDE w:val="0"/>
                    <w:autoSpaceDN w:val="0"/>
                    <w:adjustRightInd w:val="0"/>
                    <w:snapToGrid w:val="0"/>
                    <w:jc w:val="center"/>
                    <w:rPr>
                      <w:szCs w:val="21"/>
                    </w:rPr>
                  </w:pPr>
                  <w:r>
                    <w:rPr>
                      <w:rFonts w:hint="eastAsia"/>
                      <w:szCs w:val="21"/>
                    </w:rPr>
                    <w:t>55.3</w:t>
                  </w:r>
                </w:p>
              </w:tc>
              <w:tc>
                <w:tcPr>
                  <w:tcW w:w="1275" w:type="dxa"/>
                  <w:gridSpan w:val="2"/>
                  <w:vAlign w:val="center"/>
                </w:tcPr>
                <w:p>
                  <w:pPr>
                    <w:autoSpaceDE w:val="0"/>
                    <w:autoSpaceDN w:val="0"/>
                    <w:adjustRightInd w:val="0"/>
                    <w:snapToGrid w:val="0"/>
                    <w:jc w:val="center"/>
                    <w:rPr>
                      <w:szCs w:val="21"/>
                    </w:rPr>
                  </w:pPr>
                  <w:r>
                    <w:rPr>
                      <w:rFonts w:hint="eastAsia"/>
                      <w:szCs w:val="21"/>
                    </w:rPr>
                    <w:t>54.1</w:t>
                  </w:r>
                </w:p>
              </w:tc>
              <w:tc>
                <w:tcPr>
                  <w:tcW w:w="1276" w:type="dxa"/>
                  <w:gridSpan w:val="3"/>
                  <w:vAlign w:val="center"/>
                </w:tcPr>
                <w:p>
                  <w:pPr>
                    <w:autoSpaceDE w:val="0"/>
                    <w:autoSpaceDN w:val="0"/>
                    <w:adjustRightInd w:val="0"/>
                    <w:snapToGrid w:val="0"/>
                    <w:jc w:val="center"/>
                    <w:rPr>
                      <w:szCs w:val="21"/>
                    </w:rPr>
                  </w:pPr>
                  <w:r>
                    <w:rPr>
                      <w:rFonts w:hint="eastAsia"/>
                      <w:szCs w:val="21"/>
                    </w:rPr>
                    <w:t>56.2</w:t>
                  </w:r>
                </w:p>
              </w:tc>
              <w:tc>
                <w:tcPr>
                  <w:tcW w:w="1419" w:type="dxa"/>
                  <w:gridSpan w:val="2"/>
                  <w:vAlign w:val="center"/>
                </w:tcPr>
                <w:p>
                  <w:pPr>
                    <w:autoSpaceDE w:val="0"/>
                    <w:autoSpaceDN w:val="0"/>
                    <w:adjustRightInd w:val="0"/>
                    <w:snapToGrid w:val="0"/>
                    <w:jc w:val="center"/>
                    <w:rPr>
                      <w:szCs w:val="21"/>
                    </w:rPr>
                  </w:pPr>
                  <w:r>
                    <w:rPr>
                      <w:rFonts w:hint="eastAsia"/>
                      <w:szCs w:val="21"/>
                    </w:rPr>
                    <w:t>55.3</w:t>
                  </w:r>
                </w:p>
              </w:tc>
              <w:tc>
                <w:tcPr>
                  <w:tcW w:w="1245" w:type="dxa"/>
                  <w:gridSpan w:val="2"/>
                  <w:vAlign w:val="center"/>
                </w:tcPr>
                <w:p>
                  <w:pPr>
                    <w:autoSpaceDE w:val="0"/>
                    <w:autoSpaceDN w:val="0"/>
                    <w:adjustRightInd w:val="0"/>
                    <w:snapToGrid w:val="0"/>
                    <w:jc w:val="center"/>
                    <w:rPr>
                      <w:szCs w:val="21"/>
                    </w:rPr>
                  </w:pPr>
                  <w:r>
                    <w:rPr>
                      <w:rFonts w:hint="eastAsia"/>
                      <w:szCs w:val="21"/>
                    </w:rPr>
                    <w:t>26.8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4" w:hRule="exact"/>
              </w:trPr>
              <w:tc>
                <w:tcPr>
                  <w:tcW w:w="2269" w:type="dxa"/>
                  <w:vAlign w:val="center"/>
                </w:tcPr>
                <w:p>
                  <w:pPr>
                    <w:autoSpaceDE w:val="0"/>
                    <w:autoSpaceDN w:val="0"/>
                    <w:adjustRightInd w:val="0"/>
                    <w:snapToGrid w:val="0"/>
                    <w:jc w:val="center"/>
                    <w:rPr>
                      <w:szCs w:val="21"/>
                    </w:rPr>
                  </w:pPr>
                  <w:r>
                    <w:rPr>
                      <w:rFonts w:hint="eastAsia"/>
                      <w:szCs w:val="21"/>
                    </w:rPr>
                    <w:t>背景值</w:t>
                  </w:r>
                </w:p>
              </w:tc>
              <w:tc>
                <w:tcPr>
                  <w:tcW w:w="1417" w:type="dxa"/>
                  <w:vAlign w:val="center"/>
                </w:tcPr>
                <w:p>
                  <w:pPr>
                    <w:autoSpaceDE w:val="0"/>
                    <w:autoSpaceDN w:val="0"/>
                    <w:adjustRightInd w:val="0"/>
                    <w:snapToGrid w:val="0"/>
                    <w:jc w:val="center"/>
                    <w:rPr>
                      <w:szCs w:val="21"/>
                    </w:rPr>
                  </w:pPr>
                  <w:r>
                    <w:rPr>
                      <w:rFonts w:hint="eastAsia"/>
                      <w:szCs w:val="21"/>
                    </w:rPr>
                    <w:t>/</w:t>
                  </w:r>
                </w:p>
              </w:tc>
              <w:tc>
                <w:tcPr>
                  <w:tcW w:w="1275" w:type="dxa"/>
                  <w:gridSpan w:val="2"/>
                  <w:vAlign w:val="center"/>
                </w:tcPr>
                <w:p>
                  <w:pPr>
                    <w:autoSpaceDE w:val="0"/>
                    <w:autoSpaceDN w:val="0"/>
                    <w:adjustRightInd w:val="0"/>
                    <w:snapToGrid w:val="0"/>
                    <w:jc w:val="center"/>
                    <w:rPr>
                      <w:szCs w:val="21"/>
                    </w:rPr>
                  </w:pPr>
                  <w:r>
                    <w:rPr>
                      <w:rFonts w:hint="eastAsia"/>
                      <w:szCs w:val="21"/>
                    </w:rPr>
                    <w:t>/</w:t>
                  </w:r>
                </w:p>
              </w:tc>
              <w:tc>
                <w:tcPr>
                  <w:tcW w:w="1276" w:type="dxa"/>
                  <w:gridSpan w:val="3"/>
                  <w:vAlign w:val="center"/>
                </w:tcPr>
                <w:p>
                  <w:pPr>
                    <w:autoSpaceDE w:val="0"/>
                    <w:autoSpaceDN w:val="0"/>
                    <w:adjustRightInd w:val="0"/>
                    <w:snapToGrid w:val="0"/>
                    <w:jc w:val="center"/>
                    <w:rPr>
                      <w:szCs w:val="21"/>
                    </w:rPr>
                  </w:pPr>
                  <w:r>
                    <w:rPr>
                      <w:rFonts w:hint="eastAsia"/>
                      <w:szCs w:val="21"/>
                    </w:rPr>
                    <w:t>/</w:t>
                  </w:r>
                </w:p>
              </w:tc>
              <w:tc>
                <w:tcPr>
                  <w:tcW w:w="1419" w:type="dxa"/>
                  <w:gridSpan w:val="2"/>
                  <w:vAlign w:val="center"/>
                </w:tcPr>
                <w:p>
                  <w:pPr>
                    <w:autoSpaceDE w:val="0"/>
                    <w:autoSpaceDN w:val="0"/>
                    <w:adjustRightInd w:val="0"/>
                    <w:snapToGrid w:val="0"/>
                    <w:jc w:val="center"/>
                    <w:rPr>
                      <w:szCs w:val="21"/>
                    </w:rPr>
                  </w:pPr>
                  <w:r>
                    <w:rPr>
                      <w:rFonts w:hint="eastAsia"/>
                      <w:szCs w:val="21"/>
                    </w:rPr>
                    <w:t>/</w:t>
                  </w:r>
                </w:p>
              </w:tc>
              <w:tc>
                <w:tcPr>
                  <w:tcW w:w="1245" w:type="dxa"/>
                  <w:gridSpan w:val="2"/>
                  <w:vAlign w:val="center"/>
                </w:tcPr>
                <w:p>
                  <w:pPr>
                    <w:autoSpaceDE w:val="0"/>
                    <w:autoSpaceDN w:val="0"/>
                    <w:adjustRightInd w:val="0"/>
                    <w:snapToGrid w:val="0"/>
                    <w:jc w:val="center"/>
                    <w:rPr>
                      <w:szCs w:val="21"/>
                    </w:rPr>
                  </w:pPr>
                  <w:r>
                    <w:rPr>
                      <w:rFonts w:hint="eastAsia"/>
                      <w:szCs w:val="21"/>
                    </w:rPr>
                    <w:t>48.8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4" w:hRule="exact"/>
              </w:trPr>
              <w:tc>
                <w:tcPr>
                  <w:tcW w:w="2269" w:type="dxa"/>
                  <w:vAlign w:val="center"/>
                </w:tcPr>
                <w:p>
                  <w:pPr>
                    <w:autoSpaceDE w:val="0"/>
                    <w:autoSpaceDN w:val="0"/>
                    <w:adjustRightInd w:val="0"/>
                    <w:snapToGrid w:val="0"/>
                    <w:jc w:val="center"/>
                    <w:rPr>
                      <w:szCs w:val="21"/>
                    </w:rPr>
                  </w:pPr>
                  <w:r>
                    <w:rPr>
                      <w:rFonts w:hint="eastAsia"/>
                      <w:szCs w:val="21"/>
                    </w:rPr>
                    <w:t>预测值</w:t>
                  </w:r>
                </w:p>
              </w:tc>
              <w:tc>
                <w:tcPr>
                  <w:tcW w:w="1417" w:type="dxa"/>
                  <w:vAlign w:val="center"/>
                </w:tcPr>
                <w:p>
                  <w:pPr>
                    <w:autoSpaceDE w:val="0"/>
                    <w:autoSpaceDN w:val="0"/>
                    <w:adjustRightInd w:val="0"/>
                    <w:snapToGrid w:val="0"/>
                    <w:jc w:val="center"/>
                    <w:rPr>
                      <w:szCs w:val="21"/>
                    </w:rPr>
                  </w:pPr>
                  <w:r>
                    <w:rPr>
                      <w:rFonts w:hint="eastAsia"/>
                      <w:szCs w:val="21"/>
                    </w:rPr>
                    <w:t>/</w:t>
                  </w:r>
                </w:p>
              </w:tc>
              <w:tc>
                <w:tcPr>
                  <w:tcW w:w="1275" w:type="dxa"/>
                  <w:gridSpan w:val="2"/>
                  <w:vAlign w:val="center"/>
                </w:tcPr>
                <w:p>
                  <w:pPr>
                    <w:autoSpaceDE w:val="0"/>
                    <w:autoSpaceDN w:val="0"/>
                    <w:adjustRightInd w:val="0"/>
                    <w:snapToGrid w:val="0"/>
                    <w:jc w:val="center"/>
                    <w:rPr>
                      <w:szCs w:val="21"/>
                    </w:rPr>
                  </w:pPr>
                  <w:r>
                    <w:rPr>
                      <w:rFonts w:hint="eastAsia"/>
                      <w:szCs w:val="21"/>
                    </w:rPr>
                    <w:t>/</w:t>
                  </w:r>
                </w:p>
              </w:tc>
              <w:tc>
                <w:tcPr>
                  <w:tcW w:w="1276" w:type="dxa"/>
                  <w:gridSpan w:val="3"/>
                  <w:vAlign w:val="center"/>
                </w:tcPr>
                <w:p>
                  <w:pPr>
                    <w:autoSpaceDE w:val="0"/>
                    <w:autoSpaceDN w:val="0"/>
                    <w:adjustRightInd w:val="0"/>
                    <w:snapToGrid w:val="0"/>
                    <w:jc w:val="center"/>
                    <w:rPr>
                      <w:szCs w:val="21"/>
                    </w:rPr>
                  </w:pPr>
                  <w:r>
                    <w:rPr>
                      <w:rFonts w:hint="eastAsia"/>
                      <w:szCs w:val="21"/>
                    </w:rPr>
                    <w:t>/</w:t>
                  </w:r>
                </w:p>
              </w:tc>
              <w:tc>
                <w:tcPr>
                  <w:tcW w:w="1419" w:type="dxa"/>
                  <w:gridSpan w:val="2"/>
                  <w:vAlign w:val="center"/>
                </w:tcPr>
                <w:p>
                  <w:pPr>
                    <w:autoSpaceDE w:val="0"/>
                    <w:autoSpaceDN w:val="0"/>
                    <w:adjustRightInd w:val="0"/>
                    <w:snapToGrid w:val="0"/>
                    <w:jc w:val="center"/>
                    <w:rPr>
                      <w:szCs w:val="21"/>
                    </w:rPr>
                  </w:pPr>
                  <w:r>
                    <w:rPr>
                      <w:rFonts w:hint="eastAsia"/>
                      <w:szCs w:val="21"/>
                    </w:rPr>
                    <w:t>/</w:t>
                  </w:r>
                </w:p>
              </w:tc>
              <w:tc>
                <w:tcPr>
                  <w:tcW w:w="1245" w:type="dxa"/>
                  <w:gridSpan w:val="2"/>
                  <w:vAlign w:val="center"/>
                </w:tcPr>
                <w:p>
                  <w:pPr>
                    <w:autoSpaceDE w:val="0"/>
                    <w:autoSpaceDN w:val="0"/>
                    <w:adjustRightInd w:val="0"/>
                    <w:snapToGrid w:val="0"/>
                    <w:jc w:val="center"/>
                    <w:rPr>
                      <w:szCs w:val="21"/>
                    </w:rPr>
                  </w:pPr>
                  <w:r>
                    <w:rPr>
                      <w:rFonts w:hint="eastAsia"/>
                      <w:szCs w:val="21"/>
                    </w:rPr>
                    <w:t>48.8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4" w:hRule="exact"/>
              </w:trPr>
              <w:tc>
                <w:tcPr>
                  <w:tcW w:w="2269" w:type="dxa"/>
                  <w:vAlign w:val="center"/>
                </w:tcPr>
                <w:p>
                  <w:pPr>
                    <w:autoSpaceDE w:val="0"/>
                    <w:autoSpaceDN w:val="0"/>
                    <w:adjustRightInd w:val="0"/>
                    <w:snapToGrid w:val="0"/>
                    <w:jc w:val="center"/>
                    <w:rPr>
                      <w:szCs w:val="21"/>
                    </w:rPr>
                  </w:pPr>
                  <w:r>
                    <w:rPr>
                      <w:rFonts w:hint="eastAsia"/>
                      <w:szCs w:val="21"/>
                    </w:rPr>
                    <w:t>标准值</w:t>
                  </w:r>
                </w:p>
              </w:tc>
              <w:tc>
                <w:tcPr>
                  <w:tcW w:w="3471" w:type="dxa"/>
                  <w:gridSpan w:val="5"/>
                  <w:vAlign w:val="center"/>
                </w:tcPr>
                <w:p>
                  <w:pPr>
                    <w:autoSpaceDE w:val="0"/>
                    <w:autoSpaceDN w:val="0"/>
                    <w:adjustRightInd w:val="0"/>
                    <w:snapToGrid w:val="0"/>
                    <w:jc w:val="center"/>
                    <w:rPr>
                      <w:szCs w:val="21"/>
                    </w:rPr>
                  </w:pPr>
                  <w:r>
                    <w:rPr>
                      <w:rFonts w:hint="eastAsia"/>
                      <w:szCs w:val="21"/>
                    </w:rPr>
                    <w:t>昼间 60</w:t>
                  </w:r>
                  <w:r>
                    <w:rPr>
                      <w:bCs/>
                      <w:szCs w:val="22"/>
                    </w:rPr>
                    <w:t xml:space="preserve"> </w:t>
                  </w:r>
                  <w:r>
                    <w:rPr>
                      <w:bCs/>
                      <w:szCs w:val="21"/>
                    </w:rPr>
                    <w:t>dB(A)</w:t>
                  </w:r>
                </w:p>
              </w:tc>
              <w:tc>
                <w:tcPr>
                  <w:tcW w:w="3161" w:type="dxa"/>
                  <w:gridSpan w:val="5"/>
                  <w:vAlign w:val="center"/>
                </w:tcPr>
                <w:p>
                  <w:pPr>
                    <w:autoSpaceDE w:val="0"/>
                    <w:autoSpaceDN w:val="0"/>
                    <w:adjustRightInd w:val="0"/>
                    <w:snapToGrid w:val="0"/>
                    <w:jc w:val="center"/>
                    <w:rPr>
                      <w:szCs w:val="21"/>
                    </w:rPr>
                  </w:pPr>
                  <w:r>
                    <w:rPr>
                      <w:rFonts w:hint="eastAsia"/>
                      <w:szCs w:val="21"/>
                    </w:rPr>
                    <w:t>夜间 50</w:t>
                  </w:r>
                  <w:r>
                    <w:rPr>
                      <w:bCs/>
                      <w:szCs w:val="22"/>
                    </w:rPr>
                    <w:t xml:space="preserve"> 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4" w:hRule="exact"/>
              </w:trPr>
              <w:tc>
                <w:tcPr>
                  <w:tcW w:w="2269" w:type="dxa"/>
                  <w:vAlign w:val="center"/>
                </w:tcPr>
                <w:p>
                  <w:pPr>
                    <w:autoSpaceDE w:val="0"/>
                    <w:autoSpaceDN w:val="0"/>
                    <w:adjustRightInd w:val="0"/>
                    <w:snapToGrid w:val="0"/>
                    <w:jc w:val="center"/>
                    <w:rPr>
                      <w:szCs w:val="21"/>
                    </w:rPr>
                  </w:pPr>
                  <w:r>
                    <w:rPr>
                      <w:rFonts w:hint="eastAsia"/>
                      <w:szCs w:val="21"/>
                    </w:rPr>
                    <w:t>达标情况</w:t>
                  </w:r>
                </w:p>
              </w:tc>
              <w:tc>
                <w:tcPr>
                  <w:tcW w:w="1704" w:type="dxa"/>
                  <w:gridSpan w:val="2"/>
                  <w:vAlign w:val="center"/>
                </w:tcPr>
                <w:p>
                  <w:pPr>
                    <w:autoSpaceDE w:val="0"/>
                    <w:autoSpaceDN w:val="0"/>
                    <w:adjustRightInd w:val="0"/>
                    <w:snapToGrid w:val="0"/>
                    <w:jc w:val="center"/>
                    <w:rPr>
                      <w:szCs w:val="21"/>
                    </w:rPr>
                  </w:pPr>
                  <w:r>
                    <w:rPr>
                      <w:rFonts w:hint="eastAsia"/>
                      <w:szCs w:val="21"/>
                    </w:rPr>
                    <w:t>达标</w:t>
                  </w:r>
                </w:p>
              </w:tc>
              <w:tc>
                <w:tcPr>
                  <w:tcW w:w="1600" w:type="dxa"/>
                  <w:gridSpan w:val="2"/>
                  <w:vAlign w:val="center"/>
                </w:tcPr>
                <w:p>
                  <w:pPr>
                    <w:autoSpaceDE w:val="0"/>
                    <w:autoSpaceDN w:val="0"/>
                    <w:adjustRightInd w:val="0"/>
                    <w:snapToGrid w:val="0"/>
                    <w:jc w:val="center"/>
                    <w:rPr>
                      <w:szCs w:val="21"/>
                    </w:rPr>
                  </w:pPr>
                  <w:r>
                    <w:rPr>
                      <w:rFonts w:hint="eastAsia"/>
                      <w:szCs w:val="21"/>
                    </w:rPr>
                    <w:t>达标</w:t>
                  </w:r>
                </w:p>
              </w:tc>
              <w:tc>
                <w:tcPr>
                  <w:tcW w:w="974" w:type="dxa"/>
                  <w:gridSpan w:val="3"/>
                  <w:vAlign w:val="center"/>
                </w:tcPr>
                <w:p>
                  <w:pPr>
                    <w:autoSpaceDE w:val="0"/>
                    <w:autoSpaceDN w:val="0"/>
                    <w:adjustRightInd w:val="0"/>
                    <w:snapToGrid w:val="0"/>
                    <w:jc w:val="center"/>
                    <w:rPr>
                      <w:szCs w:val="21"/>
                    </w:rPr>
                  </w:pPr>
                  <w:r>
                    <w:rPr>
                      <w:rFonts w:hint="eastAsia"/>
                      <w:szCs w:val="21"/>
                    </w:rPr>
                    <w:t>达标</w:t>
                  </w:r>
                </w:p>
              </w:tc>
              <w:tc>
                <w:tcPr>
                  <w:tcW w:w="1177" w:type="dxa"/>
                  <w:gridSpan w:val="2"/>
                  <w:vAlign w:val="center"/>
                </w:tcPr>
                <w:p>
                  <w:pPr>
                    <w:autoSpaceDE w:val="0"/>
                    <w:autoSpaceDN w:val="0"/>
                    <w:adjustRightInd w:val="0"/>
                    <w:snapToGrid w:val="0"/>
                    <w:jc w:val="center"/>
                    <w:rPr>
                      <w:szCs w:val="21"/>
                    </w:rPr>
                  </w:pPr>
                  <w:r>
                    <w:rPr>
                      <w:rFonts w:hint="eastAsia"/>
                      <w:szCs w:val="21"/>
                    </w:rPr>
                    <w:t>达标</w:t>
                  </w:r>
                </w:p>
              </w:tc>
              <w:tc>
                <w:tcPr>
                  <w:tcW w:w="1177" w:type="dxa"/>
                  <w:vAlign w:val="center"/>
                </w:tcPr>
                <w:p>
                  <w:pPr>
                    <w:autoSpaceDE w:val="0"/>
                    <w:autoSpaceDN w:val="0"/>
                    <w:adjustRightInd w:val="0"/>
                    <w:snapToGrid w:val="0"/>
                    <w:jc w:val="center"/>
                    <w:rPr>
                      <w:szCs w:val="21"/>
                    </w:rPr>
                  </w:pPr>
                  <w:r>
                    <w:rPr>
                      <w:rFonts w:hint="eastAsia"/>
                      <w:szCs w:val="21"/>
                    </w:rPr>
                    <w:t>达标</w:t>
                  </w:r>
                </w:p>
              </w:tc>
            </w:tr>
          </w:tbl>
          <w:p>
            <w:pPr>
              <w:spacing w:line="360" w:lineRule="auto"/>
              <w:ind w:firstLine="480" w:firstLineChars="200"/>
              <w:rPr>
                <w:rFonts w:hAnsi="宋体"/>
                <w:sz w:val="24"/>
              </w:rPr>
            </w:pPr>
            <w:r>
              <w:rPr>
                <w:rFonts w:hint="eastAsia" w:hAnsi="宋体"/>
                <w:sz w:val="24"/>
              </w:rPr>
              <w:t>由表63预测结果可知，项目污水处理站运行后，采取基础减震、隔声、消声等措施后，项目最近厂界（南厂界）噪声贡献值为56.2</w:t>
            </w:r>
            <w:r>
              <w:rPr>
                <w:rFonts w:hAnsi="宋体"/>
                <w:sz w:val="24"/>
              </w:rPr>
              <w:t>dB</w:t>
            </w:r>
            <w:r>
              <w:rPr>
                <w:rFonts w:hint="eastAsia" w:hAnsi="宋体"/>
                <w:sz w:val="24"/>
              </w:rPr>
              <w:t>(</w:t>
            </w:r>
            <w:r>
              <w:rPr>
                <w:rFonts w:hAnsi="宋体"/>
                <w:sz w:val="24"/>
              </w:rPr>
              <w:t>A</w:t>
            </w:r>
            <w:r>
              <w:rPr>
                <w:rFonts w:hint="eastAsia" w:hAnsi="宋体"/>
                <w:sz w:val="24"/>
              </w:rPr>
              <w:t>)，项目南侧为农田，项目噪声贡献值可满足《工业企业厂界环境噪声排放标准》（</w:t>
            </w:r>
            <w:r>
              <w:rPr>
                <w:sz w:val="24"/>
              </w:rPr>
              <w:t>GB12348-2008</w:t>
            </w:r>
            <w:r>
              <w:rPr>
                <w:rFonts w:hint="eastAsia"/>
                <w:sz w:val="24"/>
              </w:rPr>
              <w:t>）2</w:t>
            </w:r>
            <w:r>
              <w:rPr>
                <w:rFonts w:hint="eastAsia" w:hAnsi="宋体"/>
                <w:sz w:val="24"/>
              </w:rPr>
              <w:t>类标准要求。东北侧最近居民贡献值叠加背景值后满足《声环境质量标准》</w:t>
            </w:r>
            <w:r>
              <w:rPr>
                <w:rFonts w:hint="eastAsia"/>
                <w:sz w:val="24"/>
                <w:szCs w:val="24"/>
              </w:rPr>
              <w:t>（</w:t>
            </w:r>
            <w:r>
              <w:rPr>
                <w:sz w:val="24"/>
                <w:szCs w:val="24"/>
              </w:rPr>
              <w:t>GB3096-2008</w:t>
            </w:r>
            <w:r>
              <w:rPr>
                <w:rFonts w:hint="eastAsia"/>
                <w:sz w:val="24"/>
                <w:szCs w:val="24"/>
              </w:rPr>
              <w:t>）2类标准要求。</w:t>
            </w:r>
            <w:r>
              <w:rPr>
                <w:rFonts w:hint="eastAsia" w:hAnsi="宋体"/>
                <w:sz w:val="24"/>
              </w:rPr>
              <w:t>因此，项目建成采取措施后噪声对周围环境影响较小。</w:t>
            </w:r>
          </w:p>
          <w:p>
            <w:pPr>
              <w:spacing w:line="360" w:lineRule="auto"/>
              <w:ind w:firstLine="528" w:firstLineChars="200"/>
              <w:rPr>
                <w:rFonts w:ascii="宋体"/>
                <w:spacing w:val="12"/>
                <w:sz w:val="24"/>
              </w:rPr>
            </w:pPr>
            <w:r>
              <w:rPr>
                <w:rFonts w:hint="eastAsia" w:hAnsi="宋体"/>
                <w:spacing w:val="12"/>
                <w:sz w:val="24"/>
              </w:rPr>
              <w:t>项目建设区域目前没有乔、灌木绿化，均为农田，环评建议建设单位根据实际建设情况可在项目区周围及西侧村路沿边增加绿化，</w:t>
            </w:r>
            <w:r>
              <w:rPr>
                <w:rFonts w:hint="eastAsia" w:ascii="宋体" w:hAnsi="宋体"/>
                <w:spacing w:val="12"/>
                <w:sz w:val="24"/>
              </w:rPr>
              <w:t>绿化可削减噪声、废气对周边环境的影响。</w:t>
            </w:r>
          </w:p>
          <w:p>
            <w:pPr>
              <w:spacing w:line="360" w:lineRule="auto"/>
              <w:ind w:firstLine="482" w:firstLineChars="200"/>
              <w:rPr>
                <w:b/>
                <w:sz w:val="24"/>
              </w:rPr>
            </w:pPr>
            <w:bookmarkStart w:id="35" w:name="_Toc253413122"/>
            <w:bookmarkStart w:id="36" w:name="_Toc226289494"/>
            <w:r>
              <w:rPr>
                <w:b/>
                <w:sz w:val="24"/>
              </w:rPr>
              <w:t>4</w:t>
            </w:r>
            <w:r>
              <w:rPr>
                <w:rFonts w:hint="eastAsia"/>
                <w:b/>
                <w:sz w:val="24"/>
              </w:rPr>
              <w:t>、固体废物</w:t>
            </w:r>
            <w:bookmarkEnd w:id="35"/>
            <w:bookmarkEnd w:id="36"/>
            <w:r>
              <w:rPr>
                <w:rFonts w:hint="eastAsia"/>
                <w:b/>
                <w:sz w:val="24"/>
              </w:rPr>
              <w:t>影响分析</w:t>
            </w:r>
          </w:p>
          <w:p>
            <w:pPr>
              <w:adjustRightInd w:val="0"/>
              <w:snapToGrid w:val="0"/>
              <w:spacing w:line="360" w:lineRule="auto"/>
              <w:ind w:firstLine="480" w:firstLineChars="200"/>
              <w:rPr>
                <w:sz w:val="24"/>
              </w:rPr>
            </w:pPr>
            <w:r>
              <w:rPr>
                <w:rFonts w:hint="eastAsia"/>
                <w:sz w:val="24"/>
              </w:rPr>
              <w:t>拟建项目营运后，固体废弃物主要有污水站污水处理产生的格栅渣、剩余污泥和废滤料，公路上</w:t>
            </w:r>
            <w:r>
              <w:rPr>
                <w:rFonts w:hint="eastAsia"/>
                <w:bCs/>
                <w:sz w:val="24"/>
              </w:rPr>
              <w:t>行人与乘客随意抛洒的生活垃圾、落叶等；广场娱乐活动产生的生活垃圾；雨污水管网淤泥。</w:t>
            </w:r>
          </w:p>
          <w:p>
            <w:pPr>
              <w:adjustRightInd w:val="0"/>
              <w:snapToGrid w:val="0"/>
              <w:spacing w:line="360" w:lineRule="auto"/>
              <w:ind w:firstLine="480" w:firstLineChars="200"/>
              <w:rPr>
                <w:sz w:val="24"/>
              </w:rPr>
            </w:pPr>
            <w:r>
              <w:rPr>
                <w:rFonts w:hint="eastAsia"/>
                <w:sz w:val="24"/>
              </w:rPr>
              <w:t>①</w:t>
            </w:r>
            <w:r>
              <w:rPr>
                <w:sz w:val="24"/>
              </w:rPr>
              <w:t xml:space="preserve"> </w:t>
            </w:r>
            <w:r>
              <w:rPr>
                <w:rFonts w:hint="eastAsia"/>
                <w:sz w:val="24"/>
              </w:rPr>
              <w:t>污水站</w:t>
            </w:r>
          </w:p>
          <w:p>
            <w:pPr>
              <w:adjustRightInd w:val="0"/>
              <w:snapToGrid w:val="0"/>
              <w:spacing w:line="360" w:lineRule="auto"/>
              <w:ind w:firstLine="480" w:firstLineChars="200"/>
              <w:rPr>
                <w:sz w:val="24"/>
              </w:rPr>
            </w:pPr>
            <w:r>
              <w:rPr>
                <w:sz w:val="24"/>
              </w:rPr>
              <w:t>格栅的拦截物，主要是塑料、木块等飘浮物质，拟建项目</w:t>
            </w:r>
            <w:r>
              <w:rPr>
                <w:rFonts w:hint="eastAsia"/>
                <w:sz w:val="24"/>
              </w:rPr>
              <w:t>污水站</w:t>
            </w:r>
            <w:r>
              <w:rPr>
                <w:sz w:val="24"/>
              </w:rPr>
              <w:t>栅渣量约为</w:t>
            </w:r>
            <w:r>
              <w:rPr>
                <w:rFonts w:hint="eastAsia"/>
                <w:sz w:val="24"/>
              </w:rPr>
              <w:t>10kg</w:t>
            </w:r>
            <w:r>
              <w:rPr>
                <w:sz w:val="24"/>
              </w:rPr>
              <w:t>/d</w:t>
            </w:r>
            <w:r>
              <w:rPr>
                <w:rFonts w:hint="eastAsia"/>
                <w:sz w:val="24"/>
              </w:rPr>
              <w:t>（3.65</w:t>
            </w:r>
            <w:r>
              <w:rPr>
                <w:sz w:val="24"/>
              </w:rPr>
              <w:t>t/a</w:t>
            </w:r>
            <w:r>
              <w:rPr>
                <w:rFonts w:hint="eastAsia"/>
                <w:sz w:val="24"/>
              </w:rPr>
              <w:t>），定期外运至宁县和盛镇生活垃圾填埋场卫生填埋。</w:t>
            </w:r>
          </w:p>
          <w:p>
            <w:pPr>
              <w:autoSpaceDE w:val="0"/>
              <w:autoSpaceDN w:val="0"/>
              <w:adjustRightInd w:val="0"/>
              <w:spacing w:before="15" w:line="360" w:lineRule="auto"/>
              <w:ind w:right="68" w:firstLine="480" w:firstLineChars="200"/>
              <w:rPr>
                <w:bCs/>
                <w:sz w:val="24"/>
              </w:rPr>
            </w:pPr>
            <w:r>
              <w:rPr>
                <w:rFonts w:hint="eastAsia"/>
                <w:sz w:val="24"/>
              </w:rPr>
              <w:t>根据《城镇污水处理站污泥处置混合填埋用泥质（GB/T 23485-2009）》要求，用于卫生填埋的污泥含水率必须小于60%。本项目含水率80%污泥产量0.06t/d（21.9t/a），</w:t>
            </w:r>
            <w:r>
              <w:rPr>
                <w:rFonts w:hint="eastAsia"/>
                <w:bCs/>
                <w:sz w:val="24"/>
              </w:rPr>
              <w:t>近期交由有资质单位处理，远期建设深度处理，至含水率低于60%送</w:t>
            </w:r>
            <w:r>
              <w:rPr>
                <w:rFonts w:hint="eastAsia"/>
                <w:sz w:val="24"/>
              </w:rPr>
              <w:t>宁县和盛镇生活垃圾填埋场</w:t>
            </w:r>
            <w:r>
              <w:rPr>
                <w:rFonts w:hint="eastAsia"/>
                <w:bCs/>
                <w:sz w:val="24"/>
              </w:rPr>
              <w:t>卫生填埋。</w:t>
            </w:r>
          </w:p>
          <w:p>
            <w:pPr>
              <w:autoSpaceDE w:val="0"/>
              <w:autoSpaceDN w:val="0"/>
              <w:adjustRightInd w:val="0"/>
              <w:spacing w:before="15" w:line="360" w:lineRule="auto"/>
              <w:ind w:right="68" w:firstLine="480" w:firstLineChars="200"/>
              <w:rPr>
                <w:rFonts w:hAnsi="宋体"/>
                <w:sz w:val="24"/>
                <w:szCs w:val="24"/>
              </w:rPr>
            </w:pPr>
            <w:r>
              <w:rPr>
                <w:rFonts w:hint="eastAsia"/>
                <w:sz w:val="24"/>
              </w:rPr>
              <w:t>项目每五年更换一次滤料，更换总量为0.25t，项目属于生活污水处理，更换产生的废滤料不属于危险废物，拉运至宁县和盛镇生活垃圾填埋场卫生填埋。</w:t>
            </w:r>
          </w:p>
          <w:p>
            <w:pPr>
              <w:adjustRightInd w:val="0"/>
              <w:snapToGrid w:val="0"/>
              <w:spacing w:line="360" w:lineRule="auto"/>
              <w:ind w:firstLine="480" w:firstLineChars="200"/>
              <w:rPr>
                <w:sz w:val="24"/>
              </w:rPr>
            </w:pPr>
            <w:r>
              <w:rPr>
                <w:rFonts w:hint="eastAsia"/>
                <w:sz w:val="24"/>
              </w:rPr>
              <w:t>②道路工程</w:t>
            </w:r>
          </w:p>
          <w:p>
            <w:pPr>
              <w:adjustRightInd w:val="0"/>
              <w:snapToGrid w:val="0"/>
              <w:spacing w:line="360" w:lineRule="auto"/>
              <w:ind w:firstLine="480" w:firstLineChars="200"/>
              <w:rPr>
                <w:sz w:val="24"/>
              </w:rPr>
            </w:pPr>
            <w:r>
              <w:rPr>
                <w:rFonts w:hint="eastAsia"/>
                <w:sz w:val="24"/>
              </w:rPr>
              <w:t>项目公路为太昌镇街道主干道，街道路面生活垃圾清理</w:t>
            </w:r>
            <w:r>
              <w:rPr>
                <w:sz w:val="24"/>
              </w:rPr>
              <w:t>集中收集送至政府指定的生活垃圾填埋场处置，另外公路养护和维修过程中也将产生一定数量的筑路废料</w:t>
            </w:r>
            <w:r>
              <w:rPr>
                <w:rFonts w:hint="eastAsia"/>
                <w:sz w:val="24"/>
              </w:rPr>
              <w:t>，</w:t>
            </w:r>
            <w:r>
              <w:rPr>
                <w:sz w:val="24"/>
              </w:rPr>
              <w:t>用于修建乡村道路等进行综合利用，</w:t>
            </w:r>
          </w:p>
          <w:p>
            <w:pPr>
              <w:adjustRightInd w:val="0"/>
              <w:snapToGrid w:val="0"/>
              <w:spacing w:line="360" w:lineRule="auto"/>
              <w:ind w:firstLine="480" w:firstLineChars="200"/>
              <w:rPr>
                <w:bCs/>
                <w:sz w:val="24"/>
              </w:rPr>
            </w:pPr>
            <w:r>
              <w:rPr>
                <w:rFonts w:hint="eastAsia"/>
                <w:bCs/>
                <w:sz w:val="24"/>
              </w:rPr>
              <w:t>③广场工程</w:t>
            </w:r>
          </w:p>
          <w:p>
            <w:pPr>
              <w:adjustRightInd w:val="0"/>
              <w:snapToGrid w:val="0"/>
              <w:spacing w:line="360" w:lineRule="auto"/>
              <w:ind w:firstLine="480" w:firstLineChars="200"/>
              <w:rPr>
                <w:bCs/>
                <w:sz w:val="24"/>
              </w:rPr>
            </w:pPr>
            <w:r>
              <w:rPr>
                <w:rFonts w:hint="eastAsia"/>
                <w:bCs/>
                <w:sz w:val="24"/>
              </w:rPr>
              <w:t>广场娱乐活动产生的生活垃圾由环卫部门雇佣附近居民统一清理集中收集后，运至</w:t>
            </w:r>
            <w:r>
              <w:rPr>
                <w:sz w:val="24"/>
              </w:rPr>
              <w:t>政府指定的生活垃圾填埋场处置</w:t>
            </w:r>
            <w:r>
              <w:rPr>
                <w:rFonts w:hint="eastAsia"/>
                <w:sz w:val="24"/>
              </w:rPr>
              <w:t>。</w:t>
            </w:r>
          </w:p>
          <w:p>
            <w:pPr>
              <w:adjustRightInd w:val="0"/>
              <w:snapToGrid w:val="0"/>
              <w:spacing w:line="360" w:lineRule="auto"/>
              <w:ind w:firstLine="480" w:firstLineChars="200"/>
              <w:rPr>
                <w:bCs/>
                <w:sz w:val="24"/>
              </w:rPr>
            </w:pPr>
            <w:r>
              <w:rPr>
                <w:rFonts w:hint="eastAsia"/>
                <w:bCs/>
                <w:sz w:val="24"/>
              </w:rPr>
              <w:t>④雨污水管网</w:t>
            </w:r>
          </w:p>
          <w:p>
            <w:pPr>
              <w:autoSpaceDE w:val="0"/>
              <w:autoSpaceDN w:val="0"/>
              <w:adjustRightInd w:val="0"/>
              <w:spacing w:before="15" w:line="360" w:lineRule="auto"/>
              <w:ind w:right="68" w:firstLine="480" w:firstLineChars="200"/>
              <w:rPr>
                <w:bCs/>
                <w:sz w:val="24"/>
              </w:rPr>
            </w:pPr>
            <w:r>
              <w:rPr>
                <w:rFonts w:hint="eastAsia"/>
                <w:bCs/>
                <w:sz w:val="24"/>
              </w:rPr>
              <w:t>项目雨污排水管网中产生的淤泥，每年由建设单位清理，和污水站污泥一起处理。</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综上所述，本项目固体废物均得到妥善处置，不会对周围环境造成明显不良影响。</w:t>
            </w:r>
          </w:p>
          <w:p>
            <w:pPr>
              <w:autoSpaceDE w:val="0"/>
              <w:autoSpaceDN w:val="0"/>
              <w:adjustRightInd w:val="0"/>
              <w:spacing w:before="15" w:line="360" w:lineRule="auto"/>
              <w:ind w:right="68" w:firstLine="482" w:firstLineChars="200"/>
              <w:rPr>
                <w:rFonts w:hAnsi="宋体"/>
                <w:b/>
                <w:sz w:val="24"/>
                <w:szCs w:val="24"/>
              </w:rPr>
            </w:pPr>
            <w:r>
              <w:rPr>
                <w:rFonts w:hint="eastAsia" w:hAnsi="宋体"/>
                <w:b/>
                <w:sz w:val="24"/>
                <w:szCs w:val="24"/>
              </w:rPr>
              <w:t>5、地下水环境影响分析</w:t>
            </w:r>
          </w:p>
          <w:p>
            <w:pPr>
              <w:autoSpaceDE w:val="0"/>
              <w:autoSpaceDN w:val="0"/>
              <w:adjustRightInd w:val="0"/>
              <w:spacing w:before="15" w:line="360" w:lineRule="auto"/>
              <w:ind w:right="68" w:firstLine="480" w:firstLineChars="200"/>
              <w:rPr>
                <w:rFonts w:hAnsi="宋体"/>
                <w:sz w:val="24"/>
                <w:szCs w:val="24"/>
              </w:rPr>
            </w:pPr>
            <w:r>
              <w:rPr>
                <w:rFonts w:hint="eastAsia" w:hAnsi="宋体"/>
                <w:sz w:val="24"/>
                <w:szCs w:val="24"/>
              </w:rPr>
              <w:t>1）水文地质现状</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陇东盆地是鄂尔多斯盆地中一个完整的地下水系统，即白垩系盆地含水系统。 在综合考虑沉积环境、岩性结构、岩相古地理、水文地质条件及水文地质特征的基础上， 白垩系盆地含水层系可划分为2个含水岩系、 4个含水岩组及7个含水层位。本项目选址位于白垩系地下水系统区域，白垩系盆地为多层结构含水层系统，上部不连续地分布有第四系黄土层潜水。部分地段因新近泥岩的存在，阻断了黄土层地下水与下伏白垩系地下水的水力联系。在白垩系含水岩系中，由于在环河组顶部和底部分布区域性隔水层，使得白垩系罗汉洞、环河和洛河含水岩组在空间上构成了相对独立的含水体，并呈现出多层结构的特点。同一含水岩组的岩性、岩性及富水性、渗透性、水化学等水文地质特征基本相近，而不同含水岩组间存在较大差异。根据这种特点，将该含水岩系在垂直上划分为第四系黄土层含水岩组、白垩系罗汉洞组、环河组和洛河组四个不同含水层位，它们在空间上呈多层上下叠置关系，横向上呈向斜构造形态详见表</w:t>
            </w:r>
            <w:r>
              <w:rPr>
                <w:rFonts w:hint="eastAsia" w:hAnsi="宋体"/>
                <w:sz w:val="24"/>
                <w:szCs w:val="24"/>
              </w:rPr>
              <w:t>64</w:t>
            </w:r>
            <w:r>
              <w:rPr>
                <w:rFonts w:hAnsi="宋体"/>
                <w:sz w:val="24"/>
                <w:szCs w:val="24"/>
              </w:rPr>
              <w:t>和</w:t>
            </w:r>
            <w:r>
              <w:rPr>
                <w:sz w:val="24"/>
                <w:szCs w:val="24"/>
              </w:rPr>
              <w:t>图11。</w:t>
            </w:r>
          </w:p>
          <w:p>
            <w:pPr>
              <w:jc w:val="center"/>
              <w:rPr>
                <w:rFonts w:eastAsia="黑体"/>
                <w:b/>
                <w:bCs/>
                <w:szCs w:val="21"/>
              </w:rPr>
            </w:pPr>
            <w:r>
              <w:rPr>
                <w:rFonts w:eastAsia="黑体"/>
                <w:b/>
                <w:bCs/>
                <w:szCs w:val="21"/>
              </w:rPr>
              <w:t>表</w:t>
            </w:r>
            <w:r>
              <w:rPr>
                <w:rFonts w:hint="eastAsia" w:eastAsia="黑体"/>
                <w:b/>
                <w:bCs/>
                <w:szCs w:val="21"/>
              </w:rPr>
              <w:t>64</w:t>
            </w:r>
            <w:r>
              <w:rPr>
                <w:rFonts w:eastAsia="黑体"/>
                <w:b/>
                <w:bCs/>
                <w:szCs w:val="21"/>
              </w:rPr>
              <w:t xml:space="preserve">     地下水系统划分表</w:t>
            </w:r>
          </w:p>
          <w:tbl>
            <w:tblPr>
              <w:tblStyle w:val="35"/>
              <w:tblW w:w="890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64"/>
              <w:gridCol w:w="1951"/>
              <w:gridCol w:w="2880"/>
              <w:gridCol w:w="26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34" w:hRule="atLeast"/>
                <w:jc w:val="center"/>
              </w:trPr>
              <w:tc>
                <w:tcPr>
                  <w:tcW w:w="3415" w:type="dxa"/>
                  <w:gridSpan w:val="2"/>
                  <w:vAlign w:val="center"/>
                </w:tcPr>
                <w:p>
                  <w:pPr>
                    <w:jc w:val="center"/>
                    <w:rPr>
                      <w:b/>
                      <w:szCs w:val="21"/>
                    </w:rPr>
                  </w:pPr>
                  <w:r>
                    <w:rPr>
                      <w:b/>
                      <w:szCs w:val="21"/>
                    </w:rPr>
                    <w:t>含水层系统</w:t>
                  </w:r>
                </w:p>
              </w:tc>
              <w:tc>
                <w:tcPr>
                  <w:tcW w:w="2880" w:type="dxa"/>
                  <w:vMerge w:val="restart"/>
                  <w:vAlign w:val="center"/>
                </w:tcPr>
                <w:p>
                  <w:pPr>
                    <w:jc w:val="center"/>
                    <w:rPr>
                      <w:b/>
                      <w:szCs w:val="21"/>
                    </w:rPr>
                  </w:pPr>
                  <w:r>
                    <w:rPr>
                      <w:b/>
                      <w:szCs w:val="21"/>
                    </w:rPr>
                    <w:t>水流系统</w:t>
                  </w:r>
                </w:p>
              </w:tc>
              <w:tc>
                <w:tcPr>
                  <w:tcW w:w="2606" w:type="dxa"/>
                  <w:vMerge w:val="restart"/>
                  <w:vAlign w:val="center"/>
                </w:tcPr>
                <w:p>
                  <w:pPr>
                    <w:jc w:val="center"/>
                    <w:rPr>
                      <w:b/>
                      <w:szCs w:val="21"/>
                    </w:rPr>
                  </w:pPr>
                  <w:r>
                    <w:rPr>
                      <w:b/>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464" w:type="dxa"/>
                  <w:vAlign w:val="center"/>
                </w:tcPr>
                <w:p>
                  <w:pPr>
                    <w:jc w:val="center"/>
                    <w:rPr>
                      <w:szCs w:val="21"/>
                    </w:rPr>
                  </w:pPr>
                  <w:r>
                    <w:rPr>
                      <w:szCs w:val="21"/>
                    </w:rPr>
                    <w:t>系统</w:t>
                  </w:r>
                </w:p>
              </w:tc>
              <w:tc>
                <w:tcPr>
                  <w:tcW w:w="1951" w:type="dxa"/>
                  <w:vAlign w:val="center"/>
                </w:tcPr>
                <w:p>
                  <w:pPr>
                    <w:jc w:val="center"/>
                    <w:rPr>
                      <w:szCs w:val="21"/>
                    </w:rPr>
                  </w:pPr>
                  <w:r>
                    <w:rPr>
                      <w:szCs w:val="21"/>
                    </w:rPr>
                    <w:t>亚系统</w:t>
                  </w:r>
                </w:p>
              </w:tc>
              <w:tc>
                <w:tcPr>
                  <w:tcW w:w="2880" w:type="dxa"/>
                  <w:vMerge w:val="continue"/>
                  <w:vAlign w:val="center"/>
                </w:tcPr>
                <w:p>
                  <w:pPr>
                    <w:jc w:val="center"/>
                    <w:rPr>
                      <w:szCs w:val="21"/>
                    </w:rPr>
                  </w:pPr>
                </w:p>
              </w:tc>
              <w:tc>
                <w:tcPr>
                  <w:tcW w:w="2606"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77" w:hRule="atLeast"/>
                <w:jc w:val="center"/>
              </w:trPr>
              <w:tc>
                <w:tcPr>
                  <w:tcW w:w="1464" w:type="dxa"/>
                  <w:vMerge w:val="restart"/>
                  <w:vAlign w:val="center"/>
                </w:tcPr>
                <w:p>
                  <w:pPr>
                    <w:jc w:val="center"/>
                    <w:rPr>
                      <w:szCs w:val="21"/>
                    </w:rPr>
                  </w:pPr>
                  <w:r>
                    <w:rPr>
                      <w:szCs w:val="21"/>
                    </w:rPr>
                    <w:t>白垩系碎屑岩裂隙孔隙含水层系统（</w:t>
                  </w:r>
                  <w:r>
                    <w:rPr>
                      <w:rFonts w:hint="eastAsia" w:ascii="宋体" w:hAnsi="宋体" w:cs="宋体"/>
                      <w:szCs w:val="21"/>
                    </w:rPr>
                    <w:t>Ⅱ</w:t>
                  </w:r>
                  <w:r>
                    <w:rPr>
                      <w:szCs w:val="21"/>
                    </w:rPr>
                    <w:t>）</w:t>
                  </w:r>
                </w:p>
              </w:tc>
              <w:tc>
                <w:tcPr>
                  <w:tcW w:w="1951" w:type="dxa"/>
                  <w:vAlign w:val="center"/>
                </w:tcPr>
                <w:p>
                  <w:pPr>
                    <w:jc w:val="center"/>
                    <w:rPr>
                      <w:szCs w:val="21"/>
                    </w:rPr>
                  </w:pPr>
                  <w:r>
                    <w:rPr>
                      <w:szCs w:val="21"/>
                    </w:rPr>
                    <w:t>北部沙漠高原单一结构含水层亚系统</w:t>
                  </w:r>
                </w:p>
              </w:tc>
              <w:tc>
                <w:tcPr>
                  <w:tcW w:w="2880" w:type="dxa"/>
                  <w:vAlign w:val="center"/>
                </w:tcPr>
                <w:p>
                  <w:pPr>
                    <w:jc w:val="center"/>
                    <w:rPr>
                      <w:szCs w:val="21"/>
                    </w:rPr>
                  </w:pPr>
                  <w:r>
                    <w:rPr>
                      <w:szCs w:val="21"/>
                    </w:rPr>
                    <w:t>乌兰木伦河-无定河水流系统（</w:t>
                  </w:r>
                  <w:r>
                    <w:rPr>
                      <w:rFonts w:hint="eastAsia" w:ascii="宋体" w:hAnsi="宋体" w:cs="宋体"/>
                      <w:szCs w:val="21"/>
                    </w:rPr>
                    <w:t>Ⅱ</w:t>
                  </w:r>
                  <w:r>
                    <w:rPr>
                      <w:szCs w:val="21"/>
                    </w:rPr>
                    <w:t>1）</w:t>
                  </w:r>
                </w:p>
              </w:tc>
              <w:tc>
                <w:tcPr>
                  <w:tcW w:w="2606" w:type="dxa"/>
                  <w:vAlign w:val="center"/>
                </w:tcPr>
                <w:p>
                  <w:pPr>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1464" w:type="dxa"/>
                  <w:vMerge w:val="continue"/>
                  <w:vAlign w:val="center"/>
                </w:tcPr>
                <w:p>
                  <w:pPr>
                    <w:jc w:val="center"/>
                    <w:rPr>
                      <w:szCs w:val="21"/>
                    </w:rPr>
                  </w:pPr>
                </w:p>
              </w:tc>
              <w:tc>
                <w:tcPr>
                  <w:tcW w:w="1951" w:type="dxa"/>
                  <w:vMerge w:val="restart"/>
                  <w:vAlign w:val="center"/>
                </w:tcPr>
                <w:p>
                  <w:pPr>
                    <w:jc w:val="center"/>
                    <w:rPr>
                      <w:szCs w:val="21"/>
                    </w:rPr>
                  </w:pPr>
                  <w:r>
                    <w:rPr>
                      <w:szCs w:val="21"/>
                    </w:rPr>
                    <w:t>南部黄土高原多层结构含水层亚系统</w:t>
                  </w:r>
                </w:p>
              </w:tc>
              <w:tc>
                <w:tcPr>
                  <w:tcW w:w="2880" w:type="dxa"/>
                  <w:vAlign w:val="center"/>
                </w:tcPr>
                <w:p>
                  <w:pPr>
                    <w:jc w:val="center"/>
                    <w:rPr>
                      <w:szCs w:val="21"/>
                    </w:rPr>
                  </w:pPr>
                  <w:r>
                    <w:rPr>
                      <w:szCs w:val="21"/>
                    </w:rPr>
                    <w:t>洛河-延河水流系统</w:t>
                  </w:r>
                </w:p>
                <w:p>
                  <w:pPr>
                    <w:jc w:val="center"/>
                    <w:rPr>
                      <w:szCs w:val="21"/>
                    </w:rPr>
                  </w:pPr>
                  <w:r>
                    <w:rPr>
                      <w:szCs w:val="21"/>
                    </w:rPr>
                    <w:t>（</w:t>
                  </w:r>
                  <w:r>
                    <w:rPr>
                      <w:rFonts w:hint="eastAsia" w:ascii="宋体" w:hAnsi="宋体" w:cs="宋体"/>
                      <w:szCs w:val="21"/>
                    </w:rPr>
                    <w:t>Ⅱ</w:t>
                  </w:r>
                  <w:r>
                    <w:rPr>
                      <w:szCs w:val="21"/>
                    </w:rPr>
                    <w:t>4）</w:t>
                  </w:r>
                </w:p>
              </w:tc>
              <w:tc>
                <w:tcPr>
                  <w:tcW w:w="2606" w:type="dxa"/>
                  <w:vAlign w:val="center"/>
                </w:tcPr>
                <w:p>
                  <w:pPr>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2" w:hRule="atLeast"/>
                <w:jc w:val="center"/>
              </w:trPr>
              <w:tc>
                <w:tcPr>
                  <w:tcW w:w="1464" w:type="dxa"/>
                  <w:vMerge w:val="continue"/>
                  <w:vAlign w:val="center"/>
                </w:tcPr>
                <w:p>
                  <w:pPr>
                    <w:jc w:val="center"/>
                    <w:rPr>
                      <w:szCs w:val="21"/>
                    </w:rPr>
                  </w:pPr>
                </w:p>
              </w:tc>
              <w:tc>
                <w:tcPr>
                  <w:tcW w:w="1951" w:type="dxa"/>
                  <w:vMerge w:val="continue"/>
                  <w:vAlign w:val="center"/>
                </w:tcPr>
                <w:p>
                  <w:pPr>
                    <w:jc w:val="center"/>
                    <w:rPr>
                      <w:szCs w:val="21"/>
                    </w:rPr>
                  </w:pPr>
                </w:p>
              </w:tc>
              <w:tc>
                <w:tcPr>
                  <w:tcW w:w="2880" w:type="dxa"/>
                  <w:vAlign w:val="center"/>
                </w:tcPr>
                <w:p>
                  <w:pPr>
                    <w:jc w:val="center"/>
                    <w:rPr>
                      <w:szCs w:val="21"/>
                    </w:rPr>
                  </w:pPr>
                  <w:r>
                    <w:rPr>
                      <w:szCs w:val="21"/>
                    </w:rPr>
                    <w:t>泾河-马莲河水流系统（</w:t>
                  </w:r>
                  <w:r>
                    <w:rPr>
                      <w:rFonts w:hint="eastAsia" w:ascii="宋体" w:hAnsi="宋体" w:cs="宋体"/>
                      <w:szCs w:val="21"/>
                    </w:rPr>
                    <w:t>Ⅱ</w:t>
                  </w:r>
                  <w:r>
                    <w:rPr>
                      <w:szCs w:val="21"/>
                    </w:rPr>
                    <w:t>5）</w:t>
                  </w:r>
                </w:p>
              </w:tc>
              <w:tc>
                <w:tcPr>
                  <w:tcW w:w="2606" w:type="dxa"/>
                  <w:vAlign w:val="center"/>
                </w:tcPr>
                <w:p>
                  <w:pPr>
                    <w:jc w:val="center"/>
                    <w:rPr>
                      <w:szCs w:val="21"/>
                    </w:rPr>
                  </w:pPr>
                  <w:r>
                    <w:rPr>
                      <w:szCs w:val="21"/>
                    </w:rPr>
                    <w:t>本项目选址位于此系统内</w:t>
                  </w:r>
                </w:p>
              </w:tc>
            </w:tr>
          </w:tbl>
          <w:p>
            <w:pPr>
              <w:autoSpaceDE w:val="0"/>
              <w:autoSpaceDN w:val="0"/>
              <w:adjustRightInd w:val="0"/>
              <w:spacing w:before="15" w:line="360" w:lineRule="auto"/>
              <w:ind w:right="68"/>
              <w:rPr>
                <w:rFonts w:hAnsi="宋体"/>
                <w:sz w:val="24"/>
                <w:szCs w:val="24"/>
              </w:rPr>
            </w:pPr>
            <w:r>
              <w:rPr>
                <w:rFonts w:hAnsi="宋体"/>
                <w:sz w:val="24"/>
                <w:szCs w:val="24"/>
              </w:rPr>
              <w:pict>
                <v:shape id="_x0000_s1788" o:spid="_x0000_s1788" o:spt="202" type="#_x0000_t202" style="position:absolute;left:0pt;margin-left:162.8pt;margin-top:195pt;height:16.35pt;width:24.2pt;z-index:251681792;mso-width-relative:page;mso-height-relative:page;" fillcolor="#FFFFFF [3212]" filled="t" stroked="f" coordsize="21600,21600">
                  <v:path/>
                  <v:fill on="t" focussize="0,0"/>
                  <v:stroke on="f" joinstyle="miter"/>
                  <v:imagedata o:title=""/>
                  <o:lock v:ext="edit"/>
                  <v:textbox>
                    <w:txbxContent>
                      <w:p>
                        <w:pPr>
                          <w:rPr>
                            <w:sz w:val="18"/>
                            <w:szCs w:val="18"/>
                          </w:rPr>
                        </w:pPr>
                        <w:r>
                          <w:rPr>
                            <w:rFonts w:hint="eastAsia"/>
                            <w:sz w:val="18"/>
                            <w:szCs w:val="18"/>
                          </w:rPr>
                          <w:t>11</w:t>
                        </w:r>
                      </w:p>
                    </w:txbxContent>
                  </v:textbox>
                </v:shape>
              </w:pict>
            </w:r>
            <w:r>
              <w:rPr>
                <w:rFonts w:hint="eastAsia" w:hAnsi="宋体"/>
                <w:sz w:val="24"/>
                <w:szCs w:val="24"/>
              </w:rPr>
              <w:drawing>
                <wp:inline distT="0" distB="0" distL="0" distR="0">
                  <wp:extent cx="5419090" cy="2985770"/>
                  <wp:effectExtent l="19050" t="0" r="0" b="0"/>
                  <wp:docPr id="5" name="图片 49" descr="QQ截图2017032615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9" descr="QQ截图20170326150705"/>
                          <pic:cNvPicPr>
                            <a:picLocks noChangeAspect="1" noChangeArrowheads="1"/>
                          </pic:cNvPicPr>
                        </pic:nvPicPr>
                        <pic:blipFill>
                          <a:blip r:embed="rId31" cstate="print"/>
                          <a:srcRect/>
                          <a:stretch>
                            <a:fillRect/>
                          </a:stretch>
                        </pic:blipFill>
                        <pic:spPr>
                          <a:xfrm>
                            <a:off x="0" y="0"/>
                            <a:ext cx="5418848" cy="2985460"/>
                          </a:xfrm>
                          <a:prstGeom prst="rect">
                            <a:avLst/>
                          </a:prstGeom>
                          <a:noFill/>
                          <a:ln w="9525" cmpd="sng">
                            <a:noFill/>
                            <a:miter lim="800000"/>
                            <a:headEnd/>
                            <a:tailEnd/>
                          </a:ln>
                        </pic:spPr>
                      </pic:pic>
                    </a:graphicData>
                  </a:graphic>
                </wp:inline>
              </w:drawing>
            </w:r>
          </w:p>
          <w:p>
            <w:pPr>
              <w:autoSpaceDE w:val="0"/>
              <w:autoSpaceDN w:val="0"/>
              <w:adjustRightInd w:val="0"/>
              <w:spacing w:before="15" w:line="360" w:lineRule="auto"/>
              <w:ind w:right="68" w:firstLine="480" w:firstLineChars="200"/>
              <w:rPr>
                <w:rFonts w:hAnsi="宋体"/>
                <w:b/>
                <w:sz w:val="24"/>
                <w:szCs w:val="24"/>
              </w:rPr>
            </w:pPr>
            <w:r>
              <w:rPr>
                <w:rFonts w:hint="eastAsia" w:hAnsi="宋体"/>
                <w:bCs/>
                <w:sz w:val="24"/>
                <w:szCs w:val="24"/>
              </w:rPr>
              <w:t>2）</w:t>
            </w:r>
            <w:r>
              <w:rPr>
                <w:rFonts w:hAnsi="宋体"/>
                <w:b/>
                <w:sz w:val="24"/>
                <w:szCs w:val="24"/>
              </w:rPr>
              <w:t>地下水的补径排特征</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（1）补给方式</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大气降水和地表水的渗入为区内潜水的主要补给来源。承压水以接受潜水的渗入补给为主。</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（2）径流特点</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区内地下水径流方向和径流强度等随地面坡度和含水层岩性不同而异。黄土梁峁区第四系潜水流向主要受地形控制，沿黄土垂直节理及大孔隙向两侧冲沟径流；涧地潜水径流方向与地表地势一致；洛河组裂隙孔隙潜水流向则主要受制于河水，在平直河段一般向河流下游偏移，而河曲地带，则截弯取直流向下游，总体由</w:t>
            </w:r>
            <w:r>
              <w:rPr>
                <w:rFonts w:hint="eastAsia" w:hAnsi="宋体"/>
                <w:sz w:val="24"/>
                <w:szCs w:val="24"/>
              </w:rPr>
              <w:t>东北</w:t>
            </w:r>
            <w:r>
              <w:rPr>
                <w:rFonts w:hAnsi="宋体"/>
                <w:sz w:val="24"/>
                <w:szCs w:val="24"/>
              </w:rPr>
              <w:t>向</w:t>
            </w:r>
            <w:r>
              <w:rPr>
                <w:rFonts w:hint="eastAsia" w:hAnsi="宋体"/>
                <w:sz w:val="24"/>
                <w:szCs w:val="24"/>
              </w:rPr>
              <w:t>西南</w:t>
            </w:r>
            <w:r>
              <w:rPr>
                <w:rFonts w:hAnsi="宋体"/>
                <w:sz w:val="24"/>
                <w:szCs w:val="24"/>
              </w:rPr>
              <w:t>流动</w:t>
            </w:r>
            <w:r>
              <w:rPr>
                <w:rFonts w:hint="eastAsia" w:hAnsi="宋体"/>
                <w:sz w:val="24"/>
                <w:szCs w:val="24"/>
              </w:rPr>
              <w:t>，详见附图14</w:t>
            </w:r>
            <w:r>
              <w:rPr>
                <w:rFonts w:hAnsi="宋体"/>
                <w:sz w:val="24"/>
                <w:szCs w:val="24"/>
              </w:rPr>
              <w:t>。</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（3）排泄特点</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泉水排泄与人工开采排泄是区内潜水的主要排泄方式。地下径流排泄、顶托补给排泄及人工开采排泄是区内承压水主要排泄方式。</w:t>
            </w:r>
          </w:p>
          <w:p>
            <w:pPr>
              <w:autoSpaceDE w:val="0"/>
              <w:autoSpaceDN w:val="0"/>
              <w:adjustRightInd w:val="0"/>
              <w:spacing w:before="15" w:line="360" w:lineRule="auto"/>
              <w:ind w:right="68" w:firstLine="480" w:firstLineChars="200"/>
              <w:rPr>
                <w:rFonts w:hAnsi="宋体"/>
                <w:b/>
                <w:bCs/>
                <w:sz w:val="24"/>
                <w:szCs w:val="24"/>
              </w:rPr>
            </w:pPr>
            <w:r>
              <w:rPr>
                <w:rFonts w:hint="eastAsia" w:hAnsi="宋体"/>
                <w:bCs/>
                <w:sz w:val="24"/>
                <w:szCs w:val="24"/>
              </w:rPr>
              <w:t>3）</w:t>
            </w:r>
            <w:r>
              <w:rPr>
                <w:rFonts w:hAnsi="宋体"/>
                <w:b/>
                <w:bCs/>
                <w:sz w:val="24"/>
                <w:szCs w:val="24"/>
              </w:rPr>
              <w:t>本项目区域地下水动态</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本项目所在区地下水资源十分贫乏，受地貌的影响分布紊乱，按其埋藏条件和含水层性质分为第四系松散层潜水，下白垩碎屑岩风化带潜水及承压水</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（1）第四系地下水</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①黄土潜水</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黄土潜水主要由大气降水入渗补给，因此其动态变化受大气降水影响，年内水位呈单峰单谷形态，低水位期出现在3～4月份，高水位期出现在 8～9月份；高水位期一般滞后雨季1～2个月，水位年变幅小于1m。年际间呈周期变化。</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②河谷潜水</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河谷潜水动态变化除受降水影响外，还受河流的影响，特点是变幅较小，多年间呈周期变化。</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（2）白垩系地下水动态</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白垩系地下水由于多呈半封闭状态，动态特征表现为：盆地边缘含水层出露区，地下水动态多呈波动型，水位年变化幅度在0.5～1.0m，其它地区，水头（水位）呈稳定型，水位年变幅在0.2～0.5m之间。</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（3）侏罗系地下水动态</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侏罗系风化裂隙带潜水与河谷区第四系潜水联系紧密，地下水动态与之基本相同。</w:t>
            </w:r>
          </w:p>
          <w:p>
            <w:pPr>
              <w:autoSpaceDE w:val="0"/>
              <w:autoSpaceDN w:val="0"/>
              <w:adjustRightInd w:val="0"/>
              <w:spacing w:before="15" w:line="360" w:lineRule="auto"/>
              <w:ind w:right="68" w:firstLine="482" w:firstLineChars="200"/>
              <w:rPr>
                <w:rFonts w:hAnsi="宋体"/>
                <w:b/>
                <w:sz w:val="24"/>
                <w:szCs w:val="24"/>
              </w:rPr>
            </w:pPr>
            <w:r>
              <w:rPr>
                <w:rFonts w:hint="eastAsia" w:hAnsi="宋体"/>
                <w:b/>
                <w:sz w:val="24"/>
                <w:szCs w:val="24"/>
              </w:rPr>
              <w:t>4）地下水环境质量现状</w:t>
            </w:r>
          </w:p>
          <w:p>
            <w:pPr>
              <w:autoSpaceDE w:val="0"/>
              <w:autoSpaceDN w:val="0"/>
              <w:adjustRightInd w:val="0"/>
              <w:spacing w:before="15" w:line="360" w:lineRule="auto"/>
              <w:ind w:right="68" w:firstLine="480" w:firstLineChars="200"/>
              <w:rPr>
                <w:rFonts w:hAnsi="宋体"/>
                <w:sz w:val="24"/>
                <w:szCs w:val="24"/>
              </w:rPr>
            </w:pPr>
            <w:r>
              <w:rPr>
                <w:rFonts w:hint="eastAsia" w:hAnsi="宋体"/>
                <w:sz w:val="24"/>
                <w:szCs w:val="24"/>
              </w:rPr>
              <w:t>根据对项目区域在用的两处水井进行现状监测，由监测结果可知，项目所在区域地下水环境质量良好。</w:t>
            </w:r>
          </w:p>
          <w:p>
            <w:pPr>
              <w:autoSpaceDE w:val="0"/>
              <w:autoSpaceDN w:val="0"/>
              <w:adjustRightInd w:val="0"/>
              <w:spacing w:before="15" w:line="360" w:lineRule="auto"/>
              <w:ind w:right="68" w:firstLine="482" w:firstLineChars="200"/>
              <w:rPr>
                <w:rFonts w:hAnsi="宋体"/>
                <w:b/>
                <w:sz w:val="24"/>
                <w:szCs w:val="24"/>
              </w:rPr>
            </w:pPr>
            <w:r>
              <w:rPr>
                <w:rFonts w:hint="eastAsia" w:hAnsi="宋体"/>
                <w:b/>
                <w:bCs/>
                <w:sz w:val="24"/>
                <w:szCs w:val="24"/>
              </w:rPr>
              <w:t>5）</w:t>
            </w:r>
            <w:r>
              <w:rPr>
                <w:rFonts w:hAnsi="宋体"/>
                <w:b/>
                <w:sz w:val="24"/>
                <w:szCs w:val="24"/>
              </w:rPr>
              <w:t>地下水环境影响分析</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根据《环境影响评价技术导则  地下水环境》（HJ610-2016）中9.4.2条：“已依据GB16889、GB18597、GB18598、GB18599、GB/T50934设计地下水污染防渗措施的建设项目，可不进行正常状况情景下的预测”。本项目已对</w:t>
            </w:r>
            <w:r>
              <w:rPr>
                <w:rFonts w:hint="eastAsia" w:hAnsi="宋体"/>
                <w:sz w:val="24"/>
                <w:szCs w:val="24"/>
              </w:rPr>
              <w:t>污水站</w:t>
            </w:r>
            <w:r>
              <w:rPr>
                <w:rFonts w:hAnsi="宋体"/>
                <w:sz w:val="24"/>
                <w:szCs w:val="24"/>
              </w:rPr>
              <w:t>场地地下水污染防治进行分区，将</w:t>
            </w:r>
            <w:r>
              <w:rPr>
                <w:rFonts w:hint="eastAsia" w:hAnsi="宋体"/>
                <w:sz w:val="24"/>
                <w:szCs w:val="24"/>
              </w:rPr>
              <w:t>生产区、事故罐</w:t>
            </w:r>
            <w:r>
              <w:rPr>
                <w:rFonts w:hAnsi="宋体"/>
                <w:sz w:val="24"/>
                <w:szCs w:val="24"/>
              </w:rPr>
              <w:t>作为重点防渗区，参照《危险废物填埋污染控制标准》（GB18598-2001，2013年修改单）中第6.5.2、6.5.3条规定进行防渗处理；将</w:t>
            </w:r>
            <w:r>
              <w:rPr>
                <w:rFonts w:hint="eastAsia" w:hAnsi="宋体"/>
                <w:sz w:val="24"/>
                <w:szCs w:val="24"/>
              </w:rPr>
              <w:t>设备间</w:t>
            </w:r>
            <w:r>
              <w:rPr>
                <w:rFonts w:hAnsi="宋体"/>
                <w:sz w:val="24"/>
                <w:szCs w:val="24"/>
              </w:rPr>
              <w:t>作为</w:t>
            </w:r>
            <w:r>
              <w:rPr>
                <w:rFonts w:hint="eastAsia" w:hAnsi="宋体"/>
                <w:sz w:val="24"/>
                <w:szCs w:val="24"/>
              </w:rPr>
              <w:t>简单</w:t>
            </w:r>
            <w:r>
              <w:rPr>
                <w:rFonts w:hAnsi="宋体"/>
                <w:sz w:val="24"/>
                <w:szCs w:val="24"/>
              </w:rPr>
              <w:t>防渗区，进行一般地面硬化。因此本次评价对正常状况地下水环境影响进行定性分析。</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（1）地下水污染途径分析</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经分析，本项目可能对地下水产生污染的途径相对单一，主要可概括为废水通过包气带下渗进入含水层，对区域地下水环境造成不良影响。本项目运行期间，若出现污水处理设施故障、污水输送管网破裂、污水处理建构筑物破裂、厂区防渗措施不到位等情况，都有可能导致污染物出现渗漏、渗入地下。</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废水污染物对地下水的污染途径主要取决于上覆地层岩性、包气带防污性能、含水层的埋藏分布等因素。未经处理的化学品或废水在非正常情况下泄漏，其有害物质下渗，可通过包气带进入含水层导致对地下水的污染。因此，包气带的垂直渗漏是地下水的主要污染途径。包气带的防污性能大小与包气带厚度、岩性结构、弱渗透性地层的渗透性能及厚度有关。另外，不同地层对污染物有一定的吸附净化能力，具备一定的防护作用。</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（2）正常状况地下水影响分析</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本项目运营后尾水经处理达标后外排至</w:t>
            </w:r>
            <w:r>
              <w:rPr>
                <w:rFonts w:hint="eastAsia" w:hAnsi="宋体"/>
                <w:sz w:val="24"/>
                <w:szCs w:val="24"/>
              </w:rPr>
              <w:t>老虎沟</w:t>
            </w:r>
            <w:r>
              <w:rPr>
                <w:rFonts w:hAnsi="宋体"/>
                <w:sz w:val="24"/>
                <w:szCs w:val="24"/>
              </w:rPr>
              <w:t>，外排水水质满足《城镇污水处理厂污染物排放标准》（GB18918-2002）一级A标准，不会对地下水环境产生较大的影响。</w:t>
            </w:r>
            <w:r>
              <w:rPr>
                <w:rFonts w:hint="eastAsia" w:hAnsi="宋体"/>
                <w:sz w:val="24"/>
                <w:szCs w:val="24"/>
              </w:rPr>
              <w:t>太昌镇地下水流场总体为东北—西南，太昌镇街道饮用水井主要为太昌供水站水井（两口）及街道咀子水塔水井，饮用水源地为太昌供水站取水口为中心，半径为</w:t>
            </w:r>
            <w:r>
              <w:rPr>
                <w:rFonts w:hint="eastAsia" w:hAnsi="宋体"/>
                <w:bCs/>
                <w:sz w:val="24"/>
                <w:szCs w:val="24"/>
              </w:rPr>
              <w:t>450m圆的外切多边形区域，均位于本项目污水站地下水上游区域，因此，项目污水站对太昌镇饮用水源地及饮用水井影响较小。</w:t>
            </w:r>
            <w:r>
              <w:rPr>
                <w:rFonts w:hAnsi="宋体"/>
                <w:sz w:val="24"/>
                <w:szCs w:val="24"/>
              </w:rPr>
              <w:t>同时，本项目在建设过程中，采取了分区防渗措施，对各污水处理建构筑物</w:t>
            </w:r>
            <w:r>
              <w:rPr>
                <w:rFonts w:hint="eastAsia" w:hAnsi="宋体"/>
                <w:sz w:val="24"/>
                <w:szCs w:val="24"/>
              </w:rPr>
              <w:t>及污水管网</w:t>
            </w:r>
            <w:r>
              <w:rPr>
                <w:rFonts w:hAnsi="宋体"/>
                <w:sz w:val="24"/>
                <w:szCs w:val="24"/>
              </w:rPr>
              <w:t>进行了防渗处理，可防止污水下渗对地下水环境的影响。</w:t>
            </w:r>
          </w:p>
          <w:p>
            <w:pPr>
              <w:autoSpaceDE w:val="0"/>
              <w:autoSpaceDN w:val="0"/>
              <w:adjustRightInd w:val="0"/>
              <w:spacing w:before="15" w:line="360" w:lineRule="auto"/>
              <w:ind w:right="68" w:firstLine="480" w:firstLineChars="200"/>
              <w:rPr>
                <w:rFonts w:hAnsi="宋体"/>
                <w:sz w:val="24"/>
                <w:szCs w:val="24"/>
              </w:rPr>
            </w:pPr>
            <w:r>
              <w:rPr>
                <w:rFonts w:hAnsi="宋体"/>
                <w:sz w:val="24"/>
                <w:szCs w:val="24"/>
              </w:rPr>
              <w:t>本项目</w:t>
            </w:r>
            <w:r>
              <w:rPr>
                <w:rFonts w:hint="eastAsia" w:hAnsi="宋体"/>
                <w:sz w:val="24"/>
                <w:szCs w:val="24"/>
              </w:rPr>
              <w:t>设置储泥池</w:t>
            </w:r>
            <w:r>
              <w:rPr>
                <w:rFonts w:hAnsi="宋体"/>
                <w:sz w:val="24"/>
                <w:szCs w:val="24"/>
              </w:rPr>
              <w:t>，用于污泥临时暂存，按照重点防渗区要求进行防渗处理。污水处理过程中产生的污泥</w:t>
            </w:r>
            <w:r>
              <w:rPr>
                <w:rFonts w:hint="eastAsia" w:hAnsi="宋体"/>
                <w:bCs/>
                <w:sz w:val="24"/>
                <w:szCs w:val="24"/>
              </w:rPr>
              <w:t>近期交由有资质单位处理，远期建设深度处理，至含水率低于60%送</w:t>
            </w:r>
            <w:r>
              <w:rPr>
                <w:rFonts w:hint="eastAsia" w:hAnsi="宋体"/>
                <w:sz w:val="24"/>
                <w:szCs w:val="24"/>
              </w:rPr>
              <w:t>宁县和盛镇生活垃圾填埋场</w:t>
            </w:r>
            <w:r>
              <w:rPr>
                <w:rFonts w:hint="eastAsia" w:hAnsi="宋体"/>
                <w:bCs/>
                <w:sz w:val="24"/>
                <w:szCs w:val="24"/>
              </w:rPr>
              <w:t>卫生填埋，</w:t>
            </w:r>
            <w:r>
              <w:rPr>
                <w:rFonts w:hAnsi="宋体"/>
                <w:sz w:val="24"/>
                <w:szCs w:val="24"/>
              </w:rPr>
              <w:t>要求污泥日产日清，不得在厂内长时间堆存。因此不会产生淋溶液下渗污染地下水的情况。</w:t>
            </w:r>
          </w:p>
          <w:p>
            <w:pPr>
              <w:autoSpaceDE w:val="0"/>
              <w:autoSpaceDN w:val="0"/>
              <w:adjustRightInd w:val="0"/>
              <w:spacing w:before="15" w:line="360" w:lineRule="auto"/>
              <w:ind w:right="68" w:firstLine="480" w:firstLineChars="200"/>
              <w:rPr>
                <w:rFonts w:hAnsi="宋体"/>
                <w:sz w:val="24"/>
                <w:szCs w:val="24"/>
              </w:rPr>
            </w:pPr>
            <w:r>
              <w:rPr>
                <w:rFonts w:hint="eastAsia" w:hAnsi="宋体"/>
                <w:sz w:val="24"/>
                <w:szCs w:val="24"/>
              </w:rPr>
              <w:t>（2）污水处理设施发生“跑、冒、滴、漏”对地下水的影响</w:t>
            </w:r>
          </w:p>
          <w:p>
            <w:pPr>
              <w:autoSpaceDE w:val="0"/>
              <w:autoSpaceDN w:val="0"/>
              <w:adjustRightInd w:val="0"/>
              <w:spacing w:before="15" w:line="360" w:lineRule="auto"/>
              <w:ind w:right="68" w:firstLine="480" w:firstLineChars="200"/>
              <w:rPr>
                <w:rFonts w:hAnsi="宋体"/>
                <w:bCs/>
                <w:sz w:val="24"/>
                <w:szCs w:val="24"/>
              </w:rPr>
            </w:pPr>
            <w:r>
              <w:rPr>
                <w:rFonts w:hint="eastAsia" w:hAnsi="宋体"/>
                <w:sz w:val="24"/>
                <w:szCs w:val="24"/>
              </w:rPr>
              <w:t>项目的生产运行是一个长期的过程。在项目运行过程中，有可能发生“跑、冒、滴、漏”等无法进行全面控制的情况。上述情况一旦发生，污水将有可能渗入至地下水中，从而对地下水水质产生负面影响。</w:t>
            </w:r>
            <w:r>
              <w:rPr>
                <w:rFonts w:hint="eastAsia" w:hAnsi="宋体"/>
                <w:bCs/>
                <w:sz w:val="24"/>
                <w:szCs w:val="24"/>
              </w:rPr>
              <w:t>本项目评价区在地质构造上属鄂尔多斯台地，祁连褶皱系与西秦岭褶皱系的交界地段。项目区所需建工程建筑物基础为黄土塬面上部马兰黄土（Q32）层：土质结构疏松，土质均匀，主要以粉质颗粒为主，具有大孔隙、垂直节理，裂隙发育。该层在项目区境内厚度在12m左右，含水率W=10.9—19.30%；天然密1.36-1.55g/cm</w:t>
            </w:r>
            <w:r>
              <w:rPr>
                <w:rFonts w:hint="eastAsia" w:hAnsi="宋体"/>
                <w:bCs/>
                <w:sz w:val="24"/>
                <w:szCs w:val="24"/>
                <w:vertAlign w:val="superscript"/>
              </w:rPr>
              <w:t>3</w:t>
            </w:r>
            <w:r>
              <w:rPr>
                <w:rFonts w:hint="eastAsia" w:hAnsi="宋体"/>
                <w:bCs/>
                <w:sz w:val="24"/>
                <w:szCs w:val="24"/>
              </w:rPr>
              <w:t>，粘聚力C=19一24kPa，内摩擦角Φ&gt;26°—29°，塑性指数9.1一12.8，具有严重自重湿陷性。承载力为110—130kPa。地基经翻夯处理和3:7灰土处理可满足要求。</w:t>
            </w:r>
          </w:p>
          <w:p>
            <w:pPr>
              <w:autoSpaceDE w:val="0"/>
              <w:autoSpaceDN w:val="0"/>
              <w:adjustRightInd w:val="0"/>
              <w:spacing w:before="15" w:line="360" w:lineRule="auto"/>
              <w:ind w:right="68" w:firstLine="480" w:firstLineChars="200"/>
              <w:rPr>
                <w:rFonts w:hAnsi="宋体"/>
                <w:bCs/>
                <w:sz w:val="24"/>
                <w:szCs w:val="24"/>
              </w:rPr>
            </w:pPr>
            <w:r>
              <w:rPr>
                <w:rFonts w:hAnsi="宋体"/>
                <w:bCs/>
                <w:sz w:val="24"/>
                <w:szCs w:val="24"/>
              </w:rPr>
              <w:t>根据厂区可能泄漏污染物的性质和生产单元的构筑方式以及《建设项目环境影响评价技术导则—地下水环境》（HJ610-2016），将整个场区划分为重点防渗区、</w:t>
            </w:r>
            <w:r>
              <w:rPr>
                <w:rFonts w:hint="eastAsia" w:hAnsi="宋体"/>
                <w:bCs/>
                <w:sz w:val="24"/>
                <w:szCs w:val="24"/>
              </w:rPr>
              <w:t>简单</w:t>
            </w:r>
            <w:r>
              <w:rPr>
                <w:rFonts w:hAnsi="宋体"/>
                <w:bCs/>
                <w:sz w:val="24"/>
                <w:szCs w:val="24"/>
              </w:rPr>
              <w:t>防渗区。</w:t>
            </w:r>
          </w:p>
          <w:p>
            <w:pPr>
              <w:autoSpaceDE w:val="0"/>
              <w:autoSpaceDN w:val="0"/>
              <w:adjustRightInd w:val="0"/>
              <w:spacing w:before="15" w:line="360" w:lineRule="auto"/>
              <w:ind w:right="68" w:firstLine="480" w:firstLineChars="200"/>
              <w:rPr>
                <w:rFonts w:hAnsi="宋体"/>
                <w:bCs/>
                <w:sz w:val="24"/>
                <w:szCs w:val="24"/>
              </w:rPr>
            </w:pPr>
            <w:r>
              <w:rPr>
                <w:rFonts w:hAnsi="宋体"/>
                <w:bCs/>
                <w:sz w:val="24"/>
                <w:szCs w:val="24"/>
              </w:rPr>
              <w:fldChar w:fldCharType="begin"/>
            </w:r>
            <w:r>
              <w:rPr>
                <w:rFonts w:hAnsi="宋体"/>
                <w:bCs/>
                <w:sz w:val="24"/>
                <w:szCs w:val="24"/>
              </w:rPr>
              <w:instrText xml:space="preserve"> = 1 \* GB3 \* MERGEFORMAT </w:instrText>
            </w:r>
            <w:r>
              <w:rPr>
                <w:rFonts w:hAnsi="宋体"/>
                <w:bCs/>
                <w:sz w:val="24"/>
                <w:szCs w:val="24"/>
              </w:rPr>
              <w:fldChar w:fldCharType="separate"/>
            </w:r>
            <w:r>
              <w:rPr>
                <w:rFonts w:hint="eastAsia" w:hAnsi="宋体"/>
                <w:bCs/>
                <w:sz w:val="24"/>
                <w:szCs w:val="24"/>
              </w:rPr>
              <w:t>①</w:t>
            </w:r>
            <w:r>
              <w:rPr>
                <w:rFonts w:hAnsi="宋体"/>
                <w:bCs/>
                <w:sz w:val="24"/>
                <w:szCs w:val="24"/>
              </w:rPr>
              <w:fldChar w:fldCharType="end"/>
            </w:r>
            <w:r>
              <w:rPr>
                <w:rFonts w:hint="eastAsia" w:hAnsi="宋体"/>
                <w:bCs/>
                <w:sz w:val="24"/>
                <w:szCs w:val="24"/>
              </w:rPr>
              <w:t>简单</w:t>
            </w:r>
            <w:r>
              <w:rPr>
                <w:rFonts w:hAnsi="宋体"/>
                <w:bCs/>
                <w:sz w:val="24"/>
                <w:szCs w:val="24"/>
              </w:rPr>
              <w:t>防渗区</w:t>
            </w:r>
          </w:p>
          <w:p>
            <w:pPr>
              <w:autoSpaceDE w:val="0"/>
              <w:autoSpaceDN w:val="0"/>
              <w:adjustRightInd w:val="0"/>
              <w:spacing w:before="15" w:line="360" w:lineRule="auto"/>
              <w:ind w:right="68" w:firstLine="480" w:firstLineChars="200"/>
              <w:rPr>
                <w:rFonts w:hAnsi="宋体"/>
                <w:bCs/>
                <w:sz w:val="24"/>
                <w:szCs w:val="24"/>
              </w:rPr>
            </w:pPr>
            <w:r>
              <w:rPr>
                <w:rFonts w:hint="eastAsia" w:hAnsi="宋体"/>
                <w:bCs/>
                <w:sz w:val="24"/>
                <w:szCs w:val="24"/>
              </w:rPr>
              <w:t>简单防渗区指除重点防渗区以外的其它地区。采用非铺砌地坪或者普通混凝土地坪，地基按民用建筑要求处理即可，</w:t>
            </w:r>
            <w:r>
              <w:rPr>
                <w:rFonts w:hAnsi="宋体"/>
                <w:bCs/>
                <w:sz w:val="24"/>
                <w:szCs w:val="24"/>
              </w:rPr>
              <w:t>主要</w:t>
            </w:r>
            <w:r>
              <w:rPr>
                <w:rFonts w:hint="eastAsia" w:hAnsi="宋体"/>
                <w:bCs/>
                <w:sz w:val="24"/>
                <w:szCs w:val="24"/>
              </w:rPr>
              <w:t>有设备间</w:t>
            </w:r>
            <w:r>
              <w:rPr>
                <w:rFonts w:hAnsi="宋体"/>
                <w:bCs/>
                <w:sz w:val="24"/>
                <w:szCs w:val="24"/>
              </w:rPr>
              <w:t>。</w:t>
            </w:r>
          </w:p>
          <w:p>
            <w:pPr>
              <w:autoSpaceDE w:val="0"/>
              <w:autoSpaceDN w:val="0"/>
              <w:adjustRightInd w:val="0"/>
              <w:spacing w:before="15" w:line="360" w:lineRule="auto"/>
              <w:ind w:right="68" w:firstLine="480" w:firstLineChars="200"/>
              <w:rPr>
                <w:rFonts w:hAnsi="宋体"/>
                <w:bCs/>
                <w:sz w:val="24"/>
                <w:szCs w:val="24"/>
              </w:rPr>
            </w:pPr>
            <w:r>
              <w:rPr>
                <w:rFonts w:hAnsi="宋体"/>
                <w:bCs/>
                <w:sz w:val="24"/>
                <w:szCs w:val="24"/>
              </w:rPr>
              <w:t>②重点防渗区</w:t>
            </w:r>
          </w:p>
          <w:p>
            <w:pPr>
              <w:autoSpaceDE w:val="0"/>
              <w:autoSpaceDN w:val="0"/>
              <w:adjustRightInd w:val="0"/>
              <w:spacing w:before="15" w:line="360" w:lineRule="auto"/>
              <w:ind w:right="68" w:firstLine="480" w:firstLineChars="200"/>
              <w:rPr>
                <w:rFonts w:hAnsi="宋体"/>
                <w:bCs/>
                <w:sz w:val="24"/>
                <w:szCs w:val="24"/>
              </w:rPr>
            </w:pPr>
            <w:r>
              <w:rPr>
                <w:rFonts w:hAnsi="宋体"/>
                <w:bCs/>
                <w:sz w:val="24"/>
                <w:szCs w:val="24"/>
              </w:rPr>
              <w:t>重点防渗区指地下水污染风险比较高的区域，这个区域的污染物一旦泄漏不易被及时发现，容易对地下水环境产生持续性有机污染，包括是指位于地下或半地下的生产功能单元，发生物料泄漏后不容易被及时发现和处理的区域或部位。主要包括含污染介质的</w:t>
            </w:r>
            <w:r>
              <w:rPr>
                <w:rFonts w:hint="eastAsia" w:hAnsi="宋体"/>
                <w:bCs/>
                <w:sz w:val="24"/>
                <w:szCs w:val="24"/>
              </w:rPr>
              <w:t>生产区、事故罐、污水管道</w:t>
            </w:r>
            <w:r>
              <w:rPr>
                <w:rFonts w:hAnsi="宋体"/>
                <w:bCs/>
                <w:sz w:val="24"/>
                <w:szCs w:val="24"/>
              </w:rPr>
              <w:t>等。</w:t>
            </w:r>
          </w:p>
          <w:p>
            <w:pPr>
              <w:autoSpaceDE w:val="0"/>
              <w:autoSpaceDN w:val="0"/>
              <w:adjustRightInd w:val="0"/>
              <w:spacing w:before="15" w:line="360" w:lineRule="auto"/>
              <w:ind w:right="68" w:firstLine="480" w:firstLineChars="200"/>
              <w:rPr>
                <w:rFonts w:hAnsi="宋体"/>
                <w:bCs/>
                <w:sz w:val="24"/>
                <w:szCs w:val="24"/>
              </w:rPr>
            </w:pPr>
            <w:r>
              <w:rPr>
                <w:rFonts w:hAnsi="宋体"/>
                <w:bCs/>
                <w:sz w:val="24"/>
                <w:szCs w:val="24"/>
              </w:rPr>
              <w:t>天然材料防渗结构的天然材料防渗层饱和渗透系数≤1.0×10</w:t>
            </w:r>
            <w:r>
              <w:rPr>
                <w:rFonts w:hAnsi="宋体"/>
                <w:bCs/>
                <w:sz w:val="24"/>
                <w:szCs w:val="24"/>
                <w:vertAlign w:val="superscript"/>
              </w:rPr>
              <w:t>-7</w:t>
            </w:r>
            <w:r>
              <w:rPr>
                <w:rFonts w:hAnsi="宋体"/>
                <w:bCs/>
                <w:sz w:val="24"/>
                <w:szCs w:val="24"/>
              </w:rPr>
              <w:t>cm/s，厚度≥1.5m；刚性防渗结构应采用水泥基渗透结晶型抗渗混凝土（厚度≥150mm）+水泥基渗透结晶型防渗涂层（厚度≥0.8mm）的结构型式，防渗结构层的渗透系数≤1.0×10</w:t>
            </w:r>
            <w:r>
              <w:rPr>
                <w:rFonts w:hAnsi="宋体"/>
                <w:bCs/>
                <w:sz w:val="24"/>
                <w:szCs w:val="24"/>
                <w:vertAlign w:val="superscript"/>
              </w:rPr>
              <w:t>-10</w:t>
            </w:r>
            <w:r>
              <w:rPr>
                <w:rFonts w:hAnsi="宋体"/>
                <w:bCs/>
                <w:sz w:val="24"/>
                <w:szCs w:val="24"/>
              </w:rPr>
              <w:t>cm/s；复合防渗结构应采用土工膜（厚度≥1.5mm）+抗渗混凝土（厚度≥于100mm）的结构型式，抗渗混凝土的渗透系数≤1.0×10</w:t>
            </w:r>
            <w:r>
              <w:rPr>
                <w:rFonts w:hAnsi="宋体"/>
                <w:bCs/>
                <w:sz w:val="24"/>
                <w:szCs w:val="24"/>
                <w:vertAlign w:val="superscript"/>
              </w:rPr>
              <w:t>-</w:t>
            </w:r>
            <w:r>
              <w:rPr>
                <w:rFonts w:hint="eastAsia" w:hAnsi="宋体"/>
                <w:bCs/>
                <w:sz w:val="24"/>
                <w:szCs w:val="24"/>
                <w:vertAlign w:val="superscript"/>
              </w:rPr>
              <w:t>7</w:t>
            </w:r>
            <w:r>
              <w:rPr>
                <w:rFonts w:hAnsi="宋体"/>
                <w:bCs/>
                <w:sz w:val="24"/>
                <w:szCs w:val="24"/>
              </w:rPr>
              <w:t>cm/s</w:t>
            </w:r>
            <w:r>
              <w:rPr>
                <w:rFonts w:hint="eastAsia" w:hAnsi="宋体"/>
                <w:bCs/>
                <w:sz w:val="24"/>
                <w:szCs w:val="24"/>
              </w:rPr>
              <w:t>。</w:t>
            </w:r>
          </w:p>
          <w:p>
            <w:pPr>
              <w:autoSpaceDE w:val="0"/>
              <w:autoSpaceDN w:val="0"/>
              <w:adjustRightInd w:val="0"/>
              <w:spacing w:before="15" w:line="360" w:lineRule="auto"/>
              <w:ind w:right="68" w:firstLine="480" w:firstLineChars="200"/>
              <w:rPr>
                <w:rFonts w:hAnsi="宋体"/>
                <w:bCs/>
                <w:sz w:val="24"/>
                <w:szCs w:val="24"/>
              </w:rPr>
            </w:pPr>
            <w:r>
              <w:rPr>
                <w:rFonts w:hint="eastAsia" w:hAnsi="宋体"/>
                <w:bCs/>
                <w:sz w:val="24"/>
                <w:szCs w:val="24"/>
              </w:rPr>
              <w:t>根据《宁县太昌镇东风村易地扶贫搬迁附属工程初步设计》（陕西冠程工程勘察设计有限公司）提供设计图纸资料以及建设单位提供资料，污水站底部结构为“素土夯实+300厚3:7灰土+100厚C10素混凝土垫层+20厚混凝土找平层+冷粘结剂一道+4厚高聚物SBS改性沥青防水卷材两道+20厚1:3水泥砂浆找平层+钢筋混凝土自防水底板+20厚1:3水泥砂浆+2厚水泥基渗透结晶型防水涂料+20厚混合物水泥防水砂浆抹面”，</w:t>
            </w:r>
            <w:r>
              <w:rPr>
                <w:rFonts w:hAnsi="宋体"/>
                <w:bCs/>
                <w:sz w:val="24"/>
                <w:szCs w:val="24"/>
              </w:rPr>
              <w:t>抗渗混凝土的渗透系数≤1.0×10</w:t>
            </w:r>
            <w:r>
              <w:rPr>
                <w:rFonts w:hAnsi="宋体"/>
                <w:bCs/>
                <w:sz w:val="24"/>
                <w:szCs w:val="24"/>
                <w:vertAlign w:val="superscript"/>
              </w:rPr>
              <w:t>-</w:t>
            </w:r>
            <w:r>
              <w:rPr>
                <w:rFonts w:hint="eastAsia" w:hAnsi="宋体"/>
                <w:bCs/>
                <w:sz w:val="24"/>
                <w:szCs w:val="24"/>
                <w:vertAlign w:val="superscript"/>
              </w:rPr>
              <w:t>7</w:t>
            </w:r>
            <w:r>
              <w:rPr>
                <w:rFonts w:hAnsi="宋体"/>
                <w:bCs/>
                <w:sz w:val="24"/>
                <w:szCs w:val="24"/>
              </w:rPr>
              <w:t>cm/s</w:t>
            </w:r>
            <w:r>
              <w:rPr>
                <w:rFonts w:hint="eastAsia" w:hAnsi="宋体"/>
                <w:bCs/>
                <w:sz w:val="24"/>
                <w:szCs w:val="24"/>
              </w:rPr>
              <w:t>。</w:t>
            </w:r>
          </w:p>
          <w:p>
            <w:pPr>
              <w:autoSpaceDE w:val="0"/>
              <w:autoSpaceDN w:val="0"/>
              <w:adjustRightInd w:val="0"/>
              <w:spacing w:before="15" w:line="360" w:lineRule="auto"/>
              <w:ind w:right="68" w:firstLine="480" w:firstLineChars="200"/>
              <w:rPr>
                <w:rFonts w:hAnsi="宋体"/>
                <w:bCs/>
                <w:sz w:val="24"/>
                <w:szCs w:val="24"/>
              </w:rPr>
            </w:pPr>
            <w:r>
              <w:rPr>
                <w:rFonts w:hint="eastAsia" w:hAnsi="宋体"/>
                <w:bCs/>
                <w:sz w:val="24"/>
                <w:szCs w:val="24"/>
              </w:rPr>
              <w:t>污水站部分剖面图见图12。</w:t>
            </w:r>
          </w:p>
          <w:p>
            <w:pPr>
              <w:autoSpaceDE w:val="0"/>
              <w:autoSpaceDN w:val="0"/>
              <w:adjustRightInd w:val="0"/>
              <w:spacing w:before="15" w:line="360" w:lineRule="auto"/>
              <w:ind w:right="68"/>
              <w:rPr>
                <w:rFonts w:hAnsi="宋体"/>
                <w:bCs/>
                <w:sz w:val="24"/>
                <w:szCs w:val="24"/>
              </w:rPr>
            </w:pPr>
            <w:r>
              <w:rPr>
                <w:rFonts w:hint="eastAsia" w:hAnsi="宋体"/>
                <w:bCs/>
                <w:sz w:val="24"/>
                <w:szCs w:val="24"/>
              </w:rPr>
              <w:drawing>
                <wp:inline distT="0" distB="0" distL="0" distR="0">
                  <wp:extent cx="2717165" cy="2066925"/>
                  <wp:effectExtent l="19050" t="0" r="6824" b="0"/>
                  <wp:docPr id="2" name="图片 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6.jpg"/>
                          <pic:cNvPicPr>
                            <a:picLocks noChangeAspect="1"/>
                          </pic:cNvPicPr>
                        </pic:nvPicPr>
                        <pic:blipFill>
                          <a:blip r:embed="rId32"/>
                          <a:stretch>
                            <a:fillRect/>
                          </a:stretch>
                        </pic:blipFill>
                        <pic:spPr>
                          <a:xfrm>
                            <a:off x="0" y="0"/>
                            <a:ext cx="2717537" cy="2067234"/>
                          </a:xfrm>
                          <a:prstGeom prst="rect">
                            <a:avLst/>
                          </a:prstGeom>
                        </pic:spPr>
                      </pic:pic>
                    </a:graphicData>
                  </a:graphic>
                </wp:inline>
              </w:drawing>
            </w:r>
            <w:r>
              <w:rPr>
                <w:rFonts w:hint="eastAsia" w:hAnsi="宋体"/>
                <w:bCs/>
                <w:sz w:val="24"/>
                <w:szCs w:val="24"/>
              </w:rPr>
              <w:t xml:space="preserve"> </w:t>
            </w:r>
            <w:r>
              <w:rPr>
                <w:rFonts w:hint="eastAsia" w:hAnsi="宋体"/>
                <w:bCs/>
                <w:sz w:val="24"/>
                <w:szCs w:val="24"/>
              </w:rPr>
              <w:drawing>
                <wp:inline distT="0" distB="0" distL="0" distR="0">
                  <wp:extent cx="2755265" cy="2060575"/>
                  <wp:effectExtent l="19050" t="0" r="6761" b="0"/>
                  <wp:docPr id="12" name="图片 11"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26.jpg"/>
                          <pic:cNvPicPr>
                            <a:picLocks noChangeAspect="1"/>
                          </pic:cNvPicPr>
                        </pic:nvPicPr>
                        <pic:blipFill>
                          <a:blip r:embed="rId33"/>
                          <a:stretch>
                            <a:fillRect/>
                          </a:stretch>
                        </pic:blipFill>
                        <pic:spPr>
                          <a:xfrm>
                            <a:off x="0" y="0"/>
                            <a:ext cx="2757585" cy="2062379"/>
                          </a:xfrm>
                          <a:prstGeom prst="rect">
                            <a:avLst/>
                          </a:prstGeom>
                        </pic:spPr>
                      </pic:pic>
                    </a:graphicData>
                  </a:graphic>
                </wp:inline>
              </w:drawing>
            </w:r>
          </w:p>
          <w:p>
            <w:pPr>
              <w:autoSpaceDE w:val="0"/>
              <w:autoSpaceDN w:val="0"/>
              <w:adjustRightInd w:val="0"/>
              <w:spacing w:before="15" w:line="360" w:lineRule="auto"/>
              <w:ind w:right="68" w:firstLine="1265" w:firstLineChars="600"/>
              <w:rPr>
                <w:rFonts w:hAnsi="宋体"/>
                <w:b/>
                <w:bCs/>
                <w:szCs w:val="21"/>
              </w:rPr>
            </w:pPr>
            <w:r>
              <w:rPr>
                <w:rFonts w:hint="eastAsia" w:hAnsi="宋体"/>
                <w:b/>
                <w:bCs/>
                <w:szCs w:val="21"/>
              </w:rPr>
              <w:t>图12-1  A-A剖面图                        图12-2  B-B剖面图</w:t>
            </w:r>
          </w:p>
          <w:p>
            <w:pPr>
              <w:autoSpaceDE w:val="0"/>
              <w:autoSpaceDN w:val="0"/>
              <w:adjustRightInd w:val="0"/>
              <w:spacing w:before="15" w:line="360" w:lineRule="auto"/>
              <w:ind w:right="68" w:firstLine="480" w:firstLineChars="200"/>
              <w:jc w:val="center"/>
              <w:rPr>
                <w:rFonts w:hAnsi="宋体"/>
                <w:bCs/>
                <w:sz w:val="24"/>
                <w:szCs w:val="24"/>
              </w:rPr>
            </w:pPr>
            <w:r>
              <w:rPr>
                <w:rFonts w:hint="eastAsia" w:hAnsi="宋体"/>
                <w:bCs/>
                <w:sz w:val="24"/>
                <w:szCs w:val="24"/>
              </w:rPr>
              <w:drawing>
                <wp:inline distT="0" distB="0" distL="0" distR="0">
                  <wp:extent cx="3387725" cy="2490470"/>
                  <wp:effectExtent l="19050" t="0" r="3083" b="0"/>
                  <wp:docPr id="14" name="图片 13"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36.jpg"/>
                          <pic:cNvPicPr>
                            <a:picLocks noChangeAspect="1"/>
                          </pic:cNvPicPr>
                        </pic:nvPicPr>
                        <pic:blipFill>
                          <a:blip r:embed="rId34"/>
                          <a:stretch>
                            <a:fillRect/>
                          </a:stretch>
                        </pic:blipFill>
                        <pic:spPr>
                          <a:xfrm>
                            <a:off x="0" y="0"/>
                            <a:ext cx="3387570" cy="2490535"/>
                          </a:xfrm>
                          <a:prstGeom prst="rect">
                            <a:avLst/>
                          </a:prstGeom>
                        </pic:spPr>
                      </pic:pic>
                    </a:graphicData>
                  </a:graphic>
                </wp:inline>
              </w:drawing>
            </w:r>
          </w:p>
          <w:p>
            <w:pPr>
              <w:autoSpaceDE w:val="0"/>
              <w:autoSpaceDN w:val="0"/>
              <w:adjustRightInd w:val="0"/>
              <w:spacing w:before="15" w:line="360" w:lineRule="auto"/>
              <w:ind w:right="68" w:firstLine="422" w:firstLineChars="200"/>
              <w:jc w:val="center"/>
              <w:rPr>
                <w:rFonts w:hAnsi="宋体"/>
                <w:b/>
                <w:bCs/>
                <w:szCs w:val="21"/>
              </w:rPr>
            </w:pPr>
            <w:r>
              <w:rPr>
                <w:rFonts w:hint="eastAsia" w:hAnsi="宋体"/>
                <w:b/>
                <w:bCs/>
                <w:szCs w:val="21"/>
              </w:rPr>
              <w:t>图12-3  C-C剖面图</w:t>
            </w:r>
          </w:p>
          <w:p>
            <w:pPr>
              <w:autoSpaceDE w:val="0"/>
              <w:autoSpaceDN w:val="0"/>
              <w:adjustRightInd w:val="0"/>
              <w:spacing w:before="15" w:line="360" w:lineRule="auto"/>
              <w:ind w:right="68" w:firstLine="480" w:firstLineChars="200"/>
              <w:rPr>
                <w:rFonts w:hAnsi="宋体"/>
                <w:bCs/>
                <w:sz w:val="24"/>
                <w:szCs w:val="24"/>
              </w:rPr>
            </w:pPr>
            <w:r>
              <w:rPr>
                <w:rFonts w:hint="eastAsia" w:hAnsi="宋体"/>
                <w:bCs/>
                <w:sz w:val="24"/>
                <w:szCs w:val="24"/>
              </w:rPr>
              <w:t>污水站区</w:t>
            </w:r>
            <w:r>
              <w:rPr>
                <w:rFonts w:hAnsi="宋体"/>
                <w:bCs/>
                <w:sz w:val="24"/>
                <w:szCs w:val="24"/>
              </w:rPr>
              <w:t>污染防治区划分详见表</w:t>
            </w:r>
            <w:r>
              <w:rPr>
                <w:rFonts w:hint="eastAsia" w:hAnsi="宋体"/>
                <w:bCs/>
                <w:sz w:val="24"/>
                <w:szCs w:val="24"/>
              </w:rPr>
              <w:t>65，分区防渗图见附图13。</w:t>
            </w:r>
          </w:p>
          <w:p>
            <w:pPr>
              <w:autoSpaceDE w:val="0"/>
              <w:autoSpaceDN w:val="0"/>
              <w:adjustRightInd w:val="0"/>
              <w:spacing w:before="15" w:line="360" w:lineRule="auto"/>
              <w:ind w:right="68" w:firstLine="422" w:firstLineChars="200"/>
              <w:jc w:val="center"/>
              <w:rPr>
                <w:rFonts w:hAnsi="宋体"/>
                <w:b/>
                <w:bCs/>
                <w:szCs w:val="21"/>
              </w:rPr>
            </w:pPr>
            <w:r>
              <w:rPr>
                <w:rFonts w:hint="eastAsia" w:hAnsi="宋体"/>
                <w:b/>
                <w:bCs/>
                <w:szCs w:val="21"/>
              </w:rPr>
              <w:t>表65  本项目污染防治分区</w:t>
            </w:r>
          </w:p>
          <w:tbl>
            <w:tblPr>
              <w:tblStyle w:val="35"/>
              <w:tblW w:w="89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1"/>
              <w:gridCol w:w="1739"/>
              <w:gridCol w:w="1843"/>
              <w:gridCol w:w="1702"/>
              <w:gridCol w:w="29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71" w:type="dxa"/>
                  <w:vAlign w:val="center"/>
                </w:tcPr>
                <w:p>
                  <w:pPr>
                    <w:jc w:val="center"/>
                    <w:rPr>
                      <w:b/>
                      <w:szCs w:val="21"/>
                    </w:rPr>
                  </w:pPr>
                  <w:r>
                    <w:rPr>
                      <w:b/>
                      <w:szCs w:val="21"/>
                    </w:rPr>
                    <w:t>序号</w:t>
                  </w:r>
                </w:p>
              </w:tc>
              <w:tc>
                <w:tcPr>
                  <w:tcW w:w="1739" w:type="dxa"/>
                  <w:vAlign w:val="center"/>
                </w:tcPr>
                <w:p>
                  <w:pPr>
                    <w:jc w:val="center"/>
                    <w:rPr>
                      <w:b/>
                      <w:szCs w:val="21"/>
                    </w:rPr>
                  </w:pPr>
                  <w:r>
                    <w:rPr>
                      <w:b/>
                      <w:szCs w:val="21"/>
                    </w:rPr>
                    <w:t>名称</w:t>
                  </w:r>
                </w:p>
              </w:tc>
              <w:tc>
                <w:tcPr>
                  <w:tcW w:w="1843" w:type="dxa"/>
                  <w:vAlign w:val="center"/>
                </w:tcPr>
                <w:p>
                  <w:pPr>
                    <w:jc w:val="center"/>
                    <w:rPr>
                      <w:b/>
                      <w:szCs w:val="21"/>
                    </w:rPr>
                  </w:pPr>
                  <w:r>
                    <w:rPr>
                      <w:b/>
                      <w:szCs w:val="21"/>
                    </w:rPr>
                    <w:t>防渗区域及部位</w:t>
                  </w:r>
                </w:p>
              </w:tc>
              <w:tc>
                <w:tcPr>
                  <w:tcW w:w="1702" w:type="dxa"/>
                  <w:vAlign w:val="center"/>
                </w:tcPr>
                <w:p>
                  <w:pPr>
                    <w:jc w:val="center"/>
                    <w:rPr>
                      <w:b/>
                      <w:szCs w:val="21"/>
                    </w:rPr>
                  </w:pPr>
                  <w:r>
                    <w:rPr>
                      <w:b/>
                      <w:szCs w:val="21"/>
                    </w:rPr>
                    <w:t>防渗分区等级</w:t>
                  </w:r>
                </w:p>
              </w:tc>
              <w:tc>
                <w:tcPr>
                  <w:tcW w:w="2946" w:type="dxa"/>
                  <w:vAlign w:val="center"/>
                </w:tcPr>
                <w:p>
                  <w:pPr>
                    <w:jc w:val="center"/>
                    <w:rPr>
                      <w:b/>
                      <w:szCs w:val="21"/>
                    </w:rPr>
                  </w:pPr>
                  <w:r>
                    <w:rPr>
                      <w:b/>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59" w:hRule="atLeast"/>
              </w:trPr>
              <w:tc>
                <w:tcPr>
                  <w:tcW w:w="671" w:type="dxa"/>
                  <w:vAlign w:val="center"/>
                </w:tcPr>
                <w:p>
                  <w:pPr>
                    <w:jc w:val="center"/>
                    <w:rPr>
                      <w:szCs w:val="21"/>
                    </w:rPr>
                  </w:pPr>
                  <w:r>
                    <w:rPr>
                      <w:rFonts w:hint="eastAsia"/>
                      <w:szCs w:val="21"/>
                    </w:rPr>
                    <w:t>1</w:t>
                  </w:r>
                </w:p>
              </w:tc>
              <w:tc>
                <w:tcPr>
                  <w:tcW w:w="1739" w:type="dxa"/>
                  <w:vAlign w:val="center"/>
                </w:tcPr>
                <w:p>
                  <w:pPr>
                    <w:jc w:val="center"/>
                    <w:rPr>
                      <w:szCs w:val="21"/>
                    </w:rPr>
                  </w:pPr>
                  <w:r>
                    <w:rPr>
                      <w:rFonts w:hint="eastAsia"/>
                      <w:szCs w:val="21"/>
                    </w:rPr>
                    <w:t>生产区、事故池、污水管道</w:t>
                  </w:r>
                </w:p>
              </w:tc>
              <w:tc>
                <w:tcPr>
                  <w:tcW w:w="1843" w:type="dxa"/>
                  <w:vAlign w:val="center"/>
                </w:tcPr>
                <w:p>
                  <w:pPr>
                    <w:jc w:val="center"/>
                    <w:rPr>
                      <w:szCs w:val="21"/>
                    </w:rPr>
                  </w:pPr>
                  <w:r>
                    <w:rPr>
                      <w:rFonts w:hint="eastAsia"/>
                      <w:szCs w:val="21"/>
                    </w:rPr>
                    <w:t>底部及四壁</w:t>
                  </w:r>
                </w:p>
              </w:tc>
              <w:tc>
                <w:tcPr>
                  <w:tcW w:w="1702" w:type="dxa"/>
                  <w:vAlign w:val="center"/>
                </w:tcPr>
                <w:p>
                  <w:pPr>
                    <w:jc w:val="center"/>
                    <w:rPr>
                      <w:szCs w:val="21"/>
                    </w:rPr>
                  </w:pPr>
                  <w:r>
                    <w:rPr>
                      <w:rFonts w:hint="eastAsia" w:ascii="宋体" w:hAnsi="宋体" w:cs="宋体"/>
                      <w:szCs w:val="21"/>
                    </w:rPr>
                    <w:t>重点防渗区</w:t>
                  </w:r>
                </w:p>
              </w:tc>
              <w:tc>
                <w:tcPr>
                  <w:tcW w:w="2946" w:type="dxa"/>
                  <w:vAlign w:val="center"/>
                </w:tcPr>
                <w:p>
                  <w:pPr>
                    <w:rPr>
                      <w:szCs w:val="21"/>
                    </w:rPr>
                  </w:pPr>
                  <w:r>
                    <w:rPr>
                      <w:szCs w:val="21"/>
                    </w:rPr>
                    <w:t>渗透系数≤1.0×10</w:t>
                  </w:r>
                  <w:r>
                    <w:rPr>
                      <w:szCs w:val="21"/>
                      <w:vertAlign w:val="superscript"/>
                    </w:rPr>
                    <w:t>-</w:t>
                  </w:r>
                  <w:r>
                    <w:rPr>
                      <w:rFonts w:hint="eastAsia"/>
                      <w:szCs w:val="21"/>
                      <w:vertAlign w:val="superscript"/>
                    </w:rPr>
                    <w:t>7</w:t>
                  </w:r>
                  <w:r>
                    <w:rPr>
                      <w:szCs w:val="21"/>
                    </w:rPr>
                    <w:t>cm/s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671" w:type="dxa"/>
                  <w:vAlign w:val="center"/>
                </w:tcPr>
                <w:p>
                  <w:pPr>
                    <w:jc w:val="center"/>
                    <w:rPr>
                      <w:szCs w:val="21"/>
                    </w:rPr>
                  </w:pPr>
                  <w:r>
                    <w:rPr>
                      <w:rFonts w:hint="eastAsia"/>
                      <w:szCs w:val="21"/>
                    </w:rPr>
                    <w:t>2</w:t>
                  </w:r>
                </w:p>
              </w:tc>
              <w:tc>
                <w:tcPr>
                  <w:tcW w:w="1739" w:type="dxa"/>
                  <w:vAlign w:val="center"/>
                </w:tcPr>
                <w:p>
                  <w:pPr>
                    <w:jc w:val="center"/>
                    <w:rPr>
                      <w:szCs w:val="21"/>
                    </w:rPr>
                  </w:pPr>
                  <w:r>
                    <w:rPr>
                      <w:rFonts w:hint="eastAsia"/>
                      <w:szCs w:val="21"/>
                    </w:rPr>
                    <w:t>设备间、非重点防渗区的区域</w:t>
                  </w:r>
                  <w:r>
                    <w:rPr>
                      <w:szCs w:val="21"/>
                    </w:rPr>
                    <w:t>等</w:t>
                  </w:r>
                </w:p>
              </w:tc>
              <w:tc>
                <w:tcPr>
                  <w:tcW w:w="1843" w:type="dxa"/>
                  <w:vAlign w:val="center"/>
                </w:tcPr>
                <w:p>
                  <w:pPr>
                    <w:jc w:val="center"/>
                    <w:rPr>
                      <w:szCs w:val="21"/>
                    </w:rPr>
                  </w:pPr>
                  <w:r>
                    <w:rPr>
                      <w:rFonts w:hint="eastAsia"/>
                      <w:szCs w:val="21"/>
                    </w:rPr>
                    <w:t>地面</w:t>
                  </w:r>
                </w:p>
              </w:tc>
              <w:tc>
                <w:tcPr>
                  <w:tcW w:w="1702" w:type="dxa"/>
                  <w:vAlign w:val="center"/>
                </w:tcPr>
                <w:p>
                  <w:pPr>
                    <w:jc w:val="center"/>
                    <w:rPr>
                      <w:szCs w:val="21"/>
                    </w:rPr>
                  </w:pPr>
                  <w:r>
                    <w:rPr>
                      <w:rFonts w:hint="eastAsia"/>
                      <w:szCs w:val="21"/>
                    </w:rPr>
                    <w:t>简单防渗区</w:t>
                  </w:r>
                </w:p>
              </w:tc>
              <w:tc>
                <w:tcPr>
                  <w:tcW w:w="2946" w:type="dxa"/>
                  <w:vAlign w:val="center"/>
                </w:tcPr>
                <w:p>
                  <w:pPr>
                    <w:jc w:val="center"/>
                    <w:rPr>
                      <w:szCs w:val="21"/>
                    </w:rPr>
                  </w:pPr>
                  <w:r>
                    <w:rPr>
                      <w:szCs w:val="21"/>
                    </w:rPr>
                    <w:t>民用建筑要求处理</w:t>
                  </w:r>
                </w:p>
              </w:tc>
            </w:tr>
          </w:tbl>
          <w:p>
            <w:pPr>
              <w:autoSpaceDE w:val="0"/>
              <w:autoSpaceDN w:val="0"/>
              <w:adjustRightInd w:val="0"/>
              <w:spacing w:before="15" w:line="360" w:lineRule="auto"/>
              <w:ind w:right="68" w:firstLine="480" w:firstLineChars="200"/>
              <w:rPr>
                <w:rFonts w:hAnsi="宋体"/>
                <w:bCs/>
                <w:sz w:val="24"/>
                <w:szCs w:val="24"/>
              </w:rPr>
            </w:pPr>
            <w:r>
              <w:rPr>
                <w:rFonts w:hint="eastAsia" w:hAnsi="宋体"/>
                <w:sz w:val="24"/>
                <w:szCs w:val="24"/>
              </w:rPr>
              <w:t>综上所述</w:t>
            </w:r>
            <w:r>
              <w:rPr>
                <w:rFonts w:hAnsi="宋体"/>
                <w:sz w:val="24"/>
                <w:szCs w:val="24"/>
              </w:rPr>
              <w:t>，</w:t>
            </w:r>
            <w:r>
              <w:rPr>
                <w:rFonts w:hint="eastAsia" w:hAnsi="宋体"/>
                <w:sz w:val="24"/>
                <w:szCs w:val="24"/>
              </w:rPr>
              <w:t>采取以上分区防渗措施后，</w:t>
            </w:r>
            <w:r>
              <w:rPr>
                <w:rFonts w:hAnsi="宋体"/>
                <w:sz w:val="24"/>
                <w:szCs w:val="24"/>
              </w:rPr>
              <w:t>项目运营期废水对</w:t>
            </w:r>
            <w:r>
              <w:rPr>
                <w:rFonts w:hint="eastAsia" w:hAnsi="宋体"/>
                <w:sz w:val="24"/>
                <w:szCs w:val="24"/>
              </w:rPr>
              <w:t>地下水</w:t>
            </w:r>
            <w:r>
              <w:rPr>
                <w:rFonts w:hAnsi="宋体"/>
                <w:sz w:val="24"/>
                <w:szCs w:val="24"/>
              </w:rPr>
              <w:t>环境影响较小</w:t>
            </w:r>
            <w:r>
              <w:rPr>
                <w:rFonts w:hint="eastAsia" w:hAnsi="宋体"/>
                <w:sz w:val="24"/>
                <w:szCs w:val="24"/>
              </w:rPr>
              <w:t>。</w:t>
            </w:r>
          </w:p>
          <w:p>
            <w:pPr>
              <w:autoSpaceDE w:val="0"/>
              <w:autoSpaceDN w:val="0"/>
              <w:adjustRightInd w:val="0"/>
              <w:spacing w:before="15" w:line="360" w:lineRule="auto"/>
              <w:ind w:left="102" w:right="68" w:firstLine="482" w:firstLineChars="200"/>
              <w:rPr>
                <w:b/>
                <w:sz w:val="24"/>
              </w:rPr>
            </w:pPr>
            <w:r>
              <w:rPr>
                <w:rFonts w:hint="eastAsia"/>
                <w:b/>
                <w:sz w:val="24"/>
              </w:rPr>
              <w:t>6、环境风险分析</w:t>
            </w:r>
          </w:p>
          <w:p>
            <w:pPr>
              <w:autoSpaceDE w:val="0"/>
              <w:autoSpaceDN w:val="0"/>
              <w:adjustRightInd w:val="0"/>
              <w:spacing w:before="15" w:line="360" w:lineRule="auto"/>
              <w:ind w:left="102" w:right="68" w:firstLine="480" w:firstLineChars="200"/>
              <w:rPr>
                <w:sz w:val="24"/>
              </w:rPr>
            </w:pPr>
            <w:r>
              <w:rPr>
                <w:rFonts w:hint="eastAsia"/>
                <w:sz w:val="24"/>
              </w:rPr>
              <w:t>本项目主要的环境风险事故在于污水处理事故排放风险以及设施、管道渗漏、破裂的风险。</w:t>
            </w:r>
          </w:p>
          <w:p>
            <w:pPr>
              <w:autoSpaceDE w:val="0"/>
              <w:autoSpaceDN w:val="0"/>
              <w:adjustRightInd w:val="0"/>
              <w:spacing w:before="15" w:line="360" w:lineRule="auto"/>
              <w:ind w:left="102" w:right="68" w:firstLine="480" w:firstLineChars="200"/>
              <w:rPr>
                <w:sz w:val="24"/>
              </w:rPr>
            </w:pPr>
            <w:r>
              <w:rPr>
                <w:rFonts w:hint="eastAsia"/>
                <w:sz w:val="24"/>
              </w:rPr>
              <w:t>（1）污水事故排放风险</w:t>
            </w:r>
          </w:p>
          <w:p>
            <w:pPr>
              <w:autoSpaceDE w:val="0"/>
              <w:autoSpaceDN w:val="0"/>
              <w:adjustRightInd w:val="0"/>
              <w:spacing w:before="15" w:line="360" w:lineRule="auto"/>
              <w:ind w:left="102" w:right="68" w:firstLine="480" w:firstLineChars="200"/>
              <w:rPr>
                <w:sz w:val="24"/>
              </w:rPr>
            </w:pPr>
            <w:r>
              <w:rPr>
                <w:rFonts w:hint="eastAsia"/>
                <w:sz w:val="24"/>
              </w:rPr>
              <w:t>拟建项目污水处理设施发生故障时，污水未经处理排放，会对老虎沟水质造成影响。本项目污水设施出现事故后，污水直排入老虎沟，通过水环境“事故状态下影响预测”，短时间内污水排放，完全混合模式水质COD</w:t>
            </w:r>
            <w:r>
              <w:rPr>
                <w:rFonts w:hint="eastAsia"/>
                <w:sz w:val="24"/>
                <w:vertAlign w:val="subscript"/>
              </w:rPr>
              <w:t>cr</w:t>
            </w:r>
            <w:r>
              <w:rPr>
                <w:rFonts w:hint="eastAsia"/>
                <w:sz w:val="24"/>
              </w:rPr>
              <w:t>25.7mg/L、NH</w:t>
            </w:r>
            <w:r>
              <w:rPr>
                <w:rFonts w:hint="eastAsia"/>
                <w:sz w:val="24"/>
                <w:vertAlign w:val="subscript"/>
              </w:rPr>
              <w:t>3</w:t>
            </w:r>
            <w:r>
              <w:rPr>
                <w:rFonts w:hint="eastAsia"/>
                <w:sz w:val="24"/>
              </w:rPr>
              <w:t>-N 0.16mg/L，接近Ⅳ类水域水质标准要求，但长时间污水直排，终究会造成老虎沟水质恶化。因此要求在站区设置容积25m</w:t>
            </w:r>
            <w:r>
              <w:rPr>
                <w:rFonts w:hint="eastAsia"/>
                <w:sz w:val="24"/>
                <w:vertAlign w:val="superscript"/>
              </w:rPr>
              <w:t>3</w:t>
            </w:r>
            <w:r>
              <w:rPr>
                <w:rFonts w:hint="eastAsia"/>
                <w:sz w:val="24"/>
              </w:rPr>
              <w:t>的事故罐用于收集在事故状态下的废水，并且在发生事故的情况下，要求在尽可能短的时间内恢复污水处理设施正常运行。</w:t>
            </w:r>
          </w:p>
          <w:p>
            <w:pPr>
              <w:autoSpaceDE w:val="0"/>
              <w:autoSpaceDN w:val="0"/>
              <w:adjustRightInd w:val="0"/>
              <w:spacing w:before="15" w:line="360" w:lineRule="auto"/>
              <w:ind w:left="102" w:right="68" w:firstLine="480" w:firstLineChars="200"/>
              <w:rPr>
                <w:sz w:val="24"/>
              </w:rPr>
            </w:pPr>
            <w:r>
              <w:rPr>
                <w:rFonts w:hint="eastAsia"/>
                <w:sz w:val="24"/>
              </w:rPr>
              <w:t>风险应急措施：污水处理站发生事故时，由污水处理站值班人员立即向镇政府上报，由镇政府通知各排水单位立即停止排水，镇政府</w:t>
            </w:r>
            <w:r>
              <w:rPr>
                <w:sz w:val="24"/>
              </w:rPr>
              <w:t>通知排水的时间为</w:t>
            </w:r>
            <w:r>
              <w:rPr>
                <w:rFonts w:hint="eastAsia"/>
                <w:sz w:val="24"/>
              </w:rPr>
              <w:t>3</w:t>
            </w:r>
            <w:r>
              <w:rPr>
                <w:sz w:val="24"/>
              </w:rPr>
              <w:t>0min，缓冲余量为</w:t>
            </w:r>
            <w:r>
              <w:rPr>
                <w:rFonts w:hint="eastAsia"/>
                <w:sz w:val="24"/>
              </w:rPr>
              <w:t>3</w:t>
            </w:r>
            <w:r>
              <w:rPr>
                <w:sz w:val="24"/>
              </w:rPr>
              <w:t>0min</w:t>
            </w:r>
            <w:r>
              <w:rPr>
                <w:rFonts w:hint="eastAsia"/>
                <w:sz w:val="24"/>
              </w:rPr>
              <w:t>。在通知排水单位停止排水的同时，抢修人员立即进行设备抢修，使污水处理构筑物尽早恢复正常。如若长时间暂停维修，事故罐容积不满足事故污水量，可拉运至附近其他乡镇污水处理站处理。</w:t>
            </w:r>
          </w:p>
          <w:p>
            <w:pPr>
              <w:autoSpaceDE w:val="0"/>
              <w:autoSpaceDN w:val="0"/>
              <w:adjustRightInd w:val="0"/>
              <w:spacing w:before="15" w:line="360" w:lineRule="auto"/>
              <w:ind w:left="102" w:right="68" w:firstLine="480" w:firstLineChars="200"/>
              <w:rPr>
                <w:b/>
                <w:sz w:val="24"/>
              </w:rPr>
            </w:pPr>
            <w:r>
              <w:rPr>
                <w:rFonts w:hint="eastAsia"/>
                <w:sz w:val="24"/>
              </w:rPr>
              <w:t>（2）设施及管道渗漏、破裂风险</w:t>
            </w:r>
          </w:p>
          <w:p>
            <w:pPr>
              <w:autoSpaceDE w:val="0"/>
              <w:autoSpaceDN w:val="0"/>
              <w:adjustRightInd w:val="0"/>
              <w:spacing w:before="15" w:line="360" w:lineRule="auto"/>
              <w:ind w:left="102" w:right="68" w:firstLine="480" w:firstLineChars="200"/>
              <w:rPr>
                <w:sz w:val="24"/>
              </w:rPr>
            </w:pPr>
            <w:r>
              <w:rPr>
                <w:rFonts w:hint="eastAsia"/>
                <w:sz w:val="24"/>
              </w:rPr>
              <w:t>由于设备基础不均匀下沉，管材及其接口施工质量差，池体施工质量差等原因、造成运营期污水处理设施渗漏、破裂等事件发生，以及管网设计不合理、因交通汽车碾压管网、以及气温骤降或寒潮过后气温回升等原因，造成管网爆管、断管、漏水等。就乡镇污水处理站而言，污水处理设施及管道地埋于地下，少量污水渗漏不易察觉，任其长期渗漏会造成地基损坏，造成地下水污染。</w:t>
            </w:r>
          </w:p>
          <w:p>
            <w:pPr>
              <w:autoSpaceDE w:val="0"/>
              <w:autoSpaceDN w:val="0"/>
              <w:adjustRightInd w:val="0"/>
              <w:spacing w:before="15" w:line="360" w:lineRule="auto"/>
              <w:ind w:left="102" w:right="68" w:firstLine="480" w:firstLineChars="200"/>
              <w:rPr>
                <w:sz w:val="24"/>
              </w:rPr>
            </w:pPr>
            <w:r>
              <w:rPr>
                <w:rFonts w:hint="eastAsia"/>
                <w:sz w:val="24"/>
              </w:rPr>
              <w:t>应对措施：</w:t>
            </w:r>
          </w:p>
          <w:p>
            <w:pPr>
              <w:autoSpaceDE w:val="0"/>
              <w:autoSpaceDN w:val="0"/>
              <w:adjustRightInd w:val="0"/>
              <w:spacing w:before="15" w:line="360" w:lineRule="auto"/>
              <w:ind w:left="102" w:right="68" w:firstLine="480" w:firstLineChars="200"/>
              <w:rPr>
                <w:sz w:val="24"/>
              </w:rPr>
            </w:pPr>
            <w:r>
              <w:rPr>
                <w:rFonts w:hint="eastAsia"/>
                <w:sz w:val="24"/>
              </w:rPr>
              <w:t>①建设单位应十分重视设备及管道的维护及管理，防止设备故障发生而影响污水处理，防止管道淤泥沉积堵塞而影响管道的过水能力。管道衔接应防止泄露污染地下水和掏空地基，淤塞应及时疏浚，保证管道通畅。干管和支管设计中，选择适当充满度和最小设计流速。</w:t>
            </w:r>
          </w:p>
          <w:p>
            <w:pPr>
              <w:autoSpaceDE w:val="0"/>
              <w:autoSpaceDN w:val="0"/>
              <w:adjustRightInd w:val="0"/>
              <w:spacing w:before="15" w:line="360" w:lineRule="auto"/>
              <w:ind w:left="102" w:right="68" w:firstLine="480" w:firstLineChars="200"/>
              <w:rPr>
                <w:sz w:val="24"/>
              </w:rPr>
            </w:pPr>
            <w:r>
              <w:rPr>
                <w:rFonts w:hint="eastAsia"/>
                <w:sz w:val="24"/>
              </w:rPr>
              <w:t>②建设单位应安排工作人员定时检测、检修污水站和污水管网，及时对出现安全隐患的管网进行维修，减少设备故障、管道爆管、裂管的风险。</w:t>
            </w:r>
          </w:p>
          <w:p>
            <w:pPr>
              <w:autoSpaceDE w:val="0"/>
              <w:autoSpaceDN w:val="0"/>
              <w:adjustRightInd w:val="0"/>
              <w:spacing w:before="15" w:line="360" w:lineRule="auto"/>
              <w:ind w:left="102" w:right="68" w:firstLine="480" w:firstLineChars="200"/>
              <w:rPr>
                <w:sz w:val="24"/>
              </w:rPr>
            </w:pPr>
            <w:r>
              <w:rPr>
                <w:rFonts w:hint="eastAsia"/>
                <w:sz w:val="24"/>
              </w:rPr>
              <w:t>③当污水管网发生爆管、断管、漏水时，应立即报告镇政府，镇政府必须立即采取措施，对突发地段进行闭管，通知各污水排放单位停止排污，最大程度的减轻污水泄漏量，并及时提出整修方案，及时解决问题，恢复区域内的污水排放。</w:t>
            </w:r>
          </w:p>
          <w:p>
            <w:pPr>
              <w:autoSpaceDE w:val="0"/>
              <w:autoSpaceDN w:val="0"/>
              <w:adjustRightInd w:val="0"/>
              <w:spacing w:before="15" w:line="360" w:lineRule="auto"/>
              <w:ind w:left="102" w:right="68" w:firstLine="480" w:firstLineChars="200"/>
              <w:rPr>
                <w:sz w:val="24"/>
              </w:rPr>
            </w:pPr>
            <w:r>
              <w:rPr>
                <w:rFonts w:hint="eastAsia"/>
                <w:sz w:val="24"/>
              </w:rPr>
              <w:t>④如果发现污水处理设施发生破裂导致污水泄漏，必须立即向乡镇政府上报，乡镇应立即组织人员进行抢修、堵漏。</w:t>
            </w:r>
          </w:p>
          <w:p>
            <w:pPr>
              <w:autoSpaceDE w:val="0"/>
              <w:autoSpaceDN w:val="0"/>
              <w:adjustRightInd w:val="0"/>
              <w:spacing w:before="15" w:line="360" w:lineRule="auto"/>
              <w:ind w:left="102" w:right="68" w:firstLine="480" w:firstLineChars="200"/>
              <w:rPr>
                <w:sz w:val="24"/>
              </w:rPr>
            </w:pPr>
            <w:bookmarkStart w:id="37" w:name="_Toc411610906"/>
            <w:r>
              <w:rPr>
                <w:rFonts w:hint="eastAsia"/>
                <w:sz w:val="24"/>
              </w:rPr>
              <w:t>（3）</w:t>
            </w:r>
            <w:r>
              <w:rPr>
                <w:sz w:val="24"/>
              </w:rPr>
              <w:t>风险评价小结</w:t>
            </w:r>
            <w:bookmarkEnd w:id="37"/>
          </w:p>
          <w:p>
            <w:pPr>
              <w:autoSpaceDE w:val="0"/>
              <w:autoSpaceDN w:val="0"/>
              <w:adjustRightInd w:val="0"/>
              <w:spacing w:before="15" w:line="360" w:lineRule="auto"/>
              <w:ind w:left="102" w:right="68" w:firstLine="480" w:firstLineChars="200"/>
              <w:rPr>
                <w:sz w:val="24"/>
              </w:rPr>
            </w:pPr>
            <w:r>
              <w:rPr>
                <w:rFonts w:hint="eastAsia"/>
                <w:sz w:val="24"/>
              </w:rPr>
              <w:t>①</w:t>
            </w:r>
            <w:r>
              <w:rPr>
                <w:sz w:val="24"/>
              </w:rPr>
              <w:t>拟建项目采用成熟可靠的生产工艺和设备，各专业在设计中严格执行各专业有关规范中的</w:t>
            </w:r>
            <w:r>
              <w:rPr>
                <w:rFonts w:hint="eastAsia"/>
                <w:sz w:val="24"/>
              </w:rPr>
              <w:t>环保要求</w:t>
            </w:r>
            <w:r>
              <w:rPr>
                <w:sz w:val="24"/>
              </w:rPr>
              <w:t>，对影响</w:t>
            </w:r>
            <w:r>
              <w:rPr>
                <w:rFonts w:hint="eastAsia"/>
                <w:sz w:val="24"/>
              </w:rPr>
              <w:t>环境</w:t>
            </w:r>
            <w:r>
              <w:rPr>
                <w:sz w:val="24"/>
              </w:rPr>
              <w:t>的因素，均采取了措施予以防范，正常情况下能够保证</w:t>
            </w:r>
            <w:r>
              <w:rPr>
                <w:rFonts w:hint="eastAsia"/>
                <w:sz w:val="24"/>
              </w:rPr>
              <w:t>出水正常排放</w:t>
            </w:r>
            <w:r>
              <w:rPr>
                <w:sz w:val="24"/>
              </w:rPr>
              <w:t>。</w:t>
            </w:r>
          </w:p>
          <w:p>
            <w:pPr>
              <w:autoSpaceDE w:val="0"/>
              <w:autoSpaceDN w:val="0"/>
              <w:adjustRightInd w:val="0"/>
              <w:spacing w:before="15" w:line="360" w:lineRule="auto"/>
              <w:ind w:left="102" w:right="68" w:firstLine="480" w:firstLineChars="200"/>
              <w:rPr>
                <w:sz w:val="24"/>
              </w:rPr>
            </w:pPr>
            <w:r>
              <w:rPr>
                <w:rFonts w:hint="eastAsia"/>
                <w:sz w:val="24"/>
              </w:rPr>
              <w:t>②通过采取防范措施，</w:t>
            </w:r>
            <w:r>
              <w:rPr>
                <w:sz w:val="24"/>
              </w:rPr>
              <w:t>拟建项目在建成后将能有效的防止</w:t>
            </w:r>
            <w:r>
              <w:rPr>
                <w:rFonts w:hint="eastAsia"/>
                <w:sz w:val="24"/>
              </w:rPr>
              <w:t>因</w:t>
            </w:r>
            <w:r>
              <w:rPr>
                <w:sz w:val="24"/>
              </w:rPr>
              <w:t>事故的发生</w:t>
            </w:r>
            <w:r>
              <w:rPr>
                <w:rFonts w:hint="eastAsia"/>
                <w:sz w:val="24"/>
              </w:rPr>
              <w:t>。</w:t>
            </w:r>
            <w:r>
              <w:rPr>
                <w:sz w:val="24"/>
              </w:rPr>
              <w:t>一旦发生事故，依靠装置内的安全防护设施和事故应急措施也能及时控制事故，防止事故的蔓延。</w:t>
            </w:r>
          </w:p>
          <w:p>
            <w:pPr>
              <w:autoSpaceDE w:val="0"/>
              <w:autoSpaceDN w:val="0"/>
              <w:adjustRightInd w:val="0"/>
              <w:spacing w:before="15" w:line="360" w:lineRule="auto"/>
              <w:ind w:left="102" w:right="68" w:firstLine="480" w:firstLineChars="200"/>
              <w:rPr>
                <w:sz w:val="24"/>
              </w:rPr>
            </w:pPr>
            <w:r>
              <w:rPr>
                <w:rFonts w:hint="eastAsia"/>
                <w:sz w:val="24"/>
                <w:szCs w:val="28"/>
              </w:rPr>
              <w:t>③</w:t>
            </w:r>
            <w:r>
              <w:rPr>
                <w:rFonts w:hint="eastAsia"/>
                <w:sz w:val="24"/>
              </w:rPr>
              <w:t>药品按照操作说明存放，单独贮藏于专用的容器内。</w:t>
            </w:r>
          </w:p>
          <w:p>
            <w:pPr>
              <w:autoSpaceDE w:val="0"/>
              <w:autoSpaceDN w:val="0"/>
              <w:adjustRightInd w:val="0"/>
              <w:spacing w:before="15" w:line="360" w:lineRule="auto"/>
              <w:ind w:left="102" w:right="68" w:firstLine="480" w:firstLineChars="200"/>
              <w:rPr>
                <w:sz w:val="24"/>
                <w:szCs w:val="24"/>
              </w:rPr>
            </w:pPr>
            <w:r>
              <w:rPr>
                <w:sz w:val="24"/>
              </w:rPr>
              <w:t>因此，只要严格遵守各</w:t>
            </w:r>
            <w:r>
              <w:rPr>
                <w:rFonts w:hint="eastAsia"/>
                <w:sz w:val="24"/>
              </w:rPr>
              <w:t>设备</w:t>
            </w:r>
            <w:r>
              <w:rPr>
                <w:sz w:val="24"/>
              </w:rPr>
              <w:t>操作规程和</w:t>
            </w:r>
            <w:r>
              <w:rPr>
                <w:rFonts w:hint="eastAsia"/>
                <w:sz w:val="24"/>
              </w:rPr>
              <w:t>要求</w:t>
            </w:r>
            <w:r>
              <w:rPr>
                <w:sz w:val="24"/>
              </w:rPr>
              <w:t>，加强</w:t>
            </w:r>
            <w:r>
              <w:rPr>
                <w:rFonts w:hint="eastAsia"/>
                <w:sz w:val="24"/>
              </w:rPr>
              <w:t>设备及管道维护和</w:t>
            </w:r>
            <w:r>
              <w:rPr>
                <w:sz w:val="24"/>
              </w:rPr>
              <w:t>管理，</w:t>
            </w:r>
            <w:r>
              <w:rPr>
                <w:rFonts w:hint="eastAsia"/>
                <w:sz w:val="24"/>
              </w:rPr>
              <w:t>禁止发生直接排放，</w:t>
            </w:r>
            <w:r>
              <w:rPr>
                <w:sz w:val="24"/>
              </w:rPr>
              <w:t>拟建项目完工后，其</w:t>
            </w:r>
            <w:r>
              <w:rPr>
                <w:rFonts w:hint="eastAsia"/>
                <w:sz w:val="24"/>
              </w:rPr>
              <w:t>运营</w:t>
            </w:r>
            <w:r>
              <w:rPr>
                <w:sz w:val="24"/>
              </w:rPr>
              <w:t>是</w:t>
            </w:r>
            <w:r>
              <w:rPr>
                <w:rFonts w:hint="eastAsia"/>
                <w:sz w:val="24"/>
              </w:rPr>
              <w:t>从环保角度考虑是</w:t>
            </w:r>
            <w:r>
              <w:rPr>
                <w:sz w:val="24"/>
              </w:rPr>
              <w:t>可靠的。</w:t>
            </w:r>
          </w:p>
        </w:tc>
      </w:tr>
    </w:tbl>
    <w:p>
      <w:pPr>
        <w:rPr>
          <w:b/>
          <w:sz w:val="32"/>
        </w:rPr>
        <w:sectPr>
          <w:footerReference r:id="rId5" w:type="default"/>
          <w:pgSz w:w="11907" w:h="16840"/>
          <w:pgMar w:top="1418" w:right="1418" w:bottom="1418" w:left="1588" w:header="851" w:footer="680" w:gutter="0"/>
          <w:pgNumType w:start="1"/>
          <w:cols w:space="720" w:num="1"/>
        </w:sectPr>
      </w:pPr>
    </w:p>
    <w:p>
      <w:pPr>
        <w:outlineLvl w:val="0"/>
        <w:rPr>
          <w:b/>
          <w:sz w:val="32"/>
        </w:rPr>
      </w:pPr>
      <w:r>
        <w:rPr>
          <w:rFonts w:hint="eastAsia"/>
          <w:b/>
          <w:sz w:val="32"/>
        </w:rPr>
        <w:t>建设项目拟采取的防治措施及预期治理效果</w:t>
      </w:r>
      <w:r>
        <w:rPr>
          <w:b/>
          <w:sz w:val="32"/>
        </w:rPr>
        <w:t xml:space="preserve"> </w:t>
      </w:r>
    </w:p>
    <w:tbl>
      <w:tblPr>
        <w:tblStyle w:val="36"/>
        <w:tblW w:w="8522"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44"/>
        <w:gridCol w:w="1299"/>
        <w:gridCol w:w="1277"/>
        <w:gridCol w:w="2125"/>
        <w:gridCol w:w="217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1644" w:type="dxa"/>
            <w:tcBorders>
              <w:tl2br w:val="single" w:color="000000" w:sz="12" w:space="0"/>
            </w:tcBorders>
            <w:vAlign w:val="center"/>
          </w:tcPr>
          <w:p>
            <w:pPr>
              <w:jc w:val="center"/>
              <w:rPr>
                <w:b/>
                <w:szCs w:val="21"/>
              </w:rPr>
            </w:pPr>
            <w:r>
              <w:rPr>
                <w:rFonts w:hint="eastAsia"/>
                <w:b/>
                <w:szCs w:val="21"/>
              </w:rPr>
              <w:t>内容</w:t>
            </w:r>
          </w:p>
          <w:p>
            <w:pPr>
              <w:ind w:firstLine="211" w:firstLineChars="100"/>
              <w:rPr>
                <w:b/>
                <w:sz w:val="28"/>
                <w:szCs w:val="28"/>
              </w:rPr>
            </w:pPr>
            <w:r>
              <w:rPr>
                <w:rFonts w:hint="eastAsia"/>
                <w:b/>
                <w:szCs w:val="21"/>
              </w:rPr>
              <w:t>类型</w:t>
            </w:r>
          </w:p>
        </w:tc>
        <w:tc>
          <w:tcPr>
            <w:tcW w:w="1299" w:type="dxa"/>
            <w:vAlign w:val="center"/>
          </w:tcPr>
          <w:p>
            <w:pPr>
              <w:jc w:val="center"/>
              <w:rPr>
                <w:b/>
                <w:szCs w:val="21"/>
              </w:rPr>
            </w:pPr>
            <w:r>
              <w:rPr>
                <w:rFonts w:hint="eastAsia"/>
                <w:b/>
                <w:szCs w:val="21"/>
              </w:rPr>
              <w:t>排放源</w:t>
            </w:r>
          </w:p>
          <w:p>
            <w:pPr>
              <w:jc w:val="center"/>
              <w:outlineLvl w:val="0"/>
              <w:rPr>
                <w:b/>
                <w:sz w:val="28"/>
                <w:szCs w:val="28"/>
              </w:rPr>
            </w:pPr>
            <w:r>
              <w:rPr>
                <w:rFonts w:hint="eastAsia"/>
                <w:b/>
                <w:szCs w:val="21"/>
              </w:rPr>
              <w:t>（编号）</w:t>
            </w:r>
          </w:p>
        </w:tc>
        <w:tc>
          <w:tcPr>
            <w:tcW w:w="1277" w:type="dxa"/>
            <w:vAlign w:val="center"/>
          </w:tcPr>
          <w:p>
            <w:pPr>
              <w:jc w:val="center"/>
              <w:outlineLvl w:val="0"/>
              <w:rPr>
                <w:b/>
                <w:sz w:val="28"/>
                <w:szCs w:val="28"/>
              </w:rPr>
            </w:pPr>
            <w:r>
              <w:rPr>
                <w:rFonts w:hint="eastAsia"/>
                <w:b/>
                <w:szCs w:val="21"/>
              </w:rPr>
              <w:t>污染物名称</w:t>
            </w:r>
          </w:p>
        </w:tc>
        <w:tc>
          <w:tcPr>
            <w:tcW w:w="2125" w:type="dxa"/>
            <w:vAlign w:val="center"/>
          </w:tcPr>
          <w:p>
            <w:pPr>
              <w:jc w:val="center"/>
              <w:outlineLvl w:val="0"/>
              <w:rPr>
                <w:b/>
                <w:sz w:val="28"/>
                <w:szCs w:val="28"/>
              </w:rPr>
            </w:pPr>
            <w:r>
              <w:rPr>
                <w:rFonts w:hint="eastAsia"/>
                <w:b/>
                <w:szCs w:val="21"/>
              </w:rPr>
              <w:t>防治措施</w:t>
            </w:r>
          </w:p>
        </w:tc>
        <w:tc>
          <w:tcPr>
            <w:tcW w:w="2177" w:type="dxa"/>
            <w:vAlign w:val="center"/>
          </w:tcPr>
          <w:p>
            <w:pPr>
              <w:jc w:val="center"/>
              <w:outlineLvl w:val="0"/>
              <w:rPr>
                <w:b/>
                <w:sz w:val="28"/>
                <w:szCs w:val="28"/>
              </w:rPr>
            </w:pPr>
            <w:r>
              <w:rPr>
                <w:rFonts w:hint="eastAsia"/>
                <w:b/>
                <w:szCs w:val="21"/>
              </w:rPr>
              <w:t>预期治理效果</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1644" w:type="dxa"/>
            <w:vMerge w:val="restart"/>
            <w:vAlign w:val="center"/>
          </w:tcPr>
          <w:p>
            <w:pPr>
              <w:jc w:val="center"/>
              <w:rPr>
                <w:szCs w:val="21"/>
              </w:rPr>
            </w:pPr>
            <w:r>
              <w:rPr>
                <w:rFonts w:hint="eastAsia"/>
                <w:szCs w:val="21"/>
              </w:rPr>
              <w:t>水污</w:t>
            </w:r>
          </w:p>
          <w:p>
            <w:pPr>
              <w:jc w:val="center"/>
              <w:outlineLvl w:val="0"/>
              <w:rPr>
                <w:b/>
                <w:sz w:val="28"/>
                <w:szCs w:val="28"/>
              </w:rPr>
            </w:pPr>
            <w:r>
              <w:rPr>
                <w:rFonts w:hint="eastAsia"/>
                <w:szCs w:val="21"/>
              </w:rPr>
              <w:t>染物</w:t>
            </w:r>
          </w:p>
        </w:tc>
        <w:tc>
          <w:tcPr>
            <w:tcW w:w="1299" w:type="dxa"/>
            <w:vAlign w:val="center"/>
          </w:tcPr>
          <w:p>
            <w:pPr>
              <w:jc w:val="center"/>
              <w:outlineLvl w:val="0"/>
              <w:rPr>
                <w:b/>
                <w:sz w:val="28"/>
                <w:szCs w:val="28"/>
              </w:rPr>
            </w:pPr>
            <w:r>
              <w:rPr>
                <w:rFonts w:hint="eastAsia"/>
                <w:szCs w:val="21"/>
              </w:rPr>
              <w:t>污水处理站</w:t>
            </w:r>
          </w:p>
        </w:tc>
        <w:tc>
          <w:tcPr>
            <w:tcW w:w="1277" w:type="dxa"/>
            <w:vAlign w:val="center"/>
          </w:tcPr>
          <w:p>
            <w:pPr>
              <w:jc w:val="center"/>
              <w:outlineLvl w:val="0"/>
              <w:rPr>
                <w:b/>
                <w:sz w:val="28"/>
                <w:szCs w:val="28"/>
              </w:rPr>
            </w:pPr>
            <w:r>
              <w:rPr>
                <w:szCs w:val="21"/>
              </w:rPr>
              <w:t>COD</w:t>
            </w:r>
            <w:r>
              <w:rPr>
                <w:szCs w:val="21"/>
                <w:vertAlign w:val="subscript"/>
              </w:rPr>
              <w:t>Cr</w:t>
            </w:r>
            <w:r>
              <w:rPr>
                <w:rFonts w:hint="eastAsia"/>
                <w:szCs w:val="21"/>
              </w:rPr>
              <w:t>、</w:t>
            </w:r>
            <w:r>
              <w:rPr>
                <w:szCs w:val="21"/>
              </w:rPr>
              <w:t>BOD</w:t>
            </w:r>
            <w:r>
              <w:rPr>
                <w:szCs w:val="21"/>
                <w:vertAlign w:val="subscript"/>
              </w:rPr>
              <w:t>5</w:t>
            </w:r>
            <w:r>
              <w:rPr>
                <w:rFonts w:hint="eastAsia"/>
                <w:szCs w:val="21"/>
              </w:rPr>
              <w:t>、</w:t>
            </w:r>
            <w:r>
              <w:rPr>
                <w:szCs w:val="21"/>
              </w:rPr>
              <w:t>SS</w:t>
            </w:r>
            <w:r>
              <w:rPr>
                <w:rFonts w:hint="eastAsia"/>
                <w:szCs w:val="21"/>
              </w:rPr>
              <w:t>、</w:t>
            </w:r>
            <w:r>
              <w:rPr>
                <w:szCs w:val="21"/>
              </w:rPr>
              <w:t>NH</w:t>
            </w:r>
            <w:r>
              <w:rPr>
                <w:szCs w:val="21"/>
                <w:vertAlign w:val="subscript"/>
              </w:rPr>
              <w:t>3</w:t>
            </w:r>
            <w:r>
              <w:rPr>
                <w:szCs w:val="21"/>
              </w:rPr>
              <w:t>-N</w:t>
            </w:r>
            <w:r>
              <w:rPr>
                <w:rFonts w:hint="eastAsia"/>
                <w:szCs w:val="21"/>
              </w:rPr>
              <w:t>、</w:t>
            </w:r>
            <w:r>
              <w:rPr>
                <w:szCs w:val="21"/>
              </w:rPr>
              <w:t>TN</w:t>
            </w:r>
            <w:r>
              <w:rPr>
                <w:rFonts w:hint="eastAsia"/>
                <w:szCs w:val="21"/>
              </w:rPr>
              <w:t>、</w:t>
            </w:r>
            <w:r>
              <w:rPr>
                <w:szCs w:val="21"/>
              </w:rPr>
              <w:t>TP</w:t>
            </w:r>
          </w:p>
        </w:tc>
        <w:tc>
          <w:tcPr>
            <w:tcW w:w="2125" w:type="dxa"/>
            <w:vAlign w:val="center"/>
          </w:tcPr>
          <w:p>
            <w:pPr>
              <w:jc w:val="center"/>
              <w:outlineLvl w:val="0"/>
              <w:rPr>
                <w:b/>
                <w:sz w:val="28"/>
                <w:szCs w:val="28"/>
              </w:rPr>
            </w:pPr>
            <w:r>
              <w:rPr>
                <w:rFonts w:hint="eastAsia" w:hAnsi="宋体"/>
                <w:bCs/>
                <w:szCs w:val="21"/>
              </w:rPr>
              <w:t>多级生物接触氧化法</w:t>
            </w:r>
          </w:p>
        </w:tc>
        <w:tc>
          <w:tcPr>
            <w:tcW w:w="2177" w:type="dxa"/>
            <w:vAlign w:val="center"/>
          </w:tcPr>
          <w:p>
            <w:pPr>
              <w:jc w:val="center"/>
              <w:outlineLvl w:val="0"/>
              <w:rPr>
                <w:b/>
                <w:sz w:val="28"/>
                <w:szCs w:val="28"/>
              </w:rPr>
            </w:pPr>
            <w:r>
              <w:rPr>
                <w:szCs w:val="21"/>
              </w:rPr>
              <w:t>《城镇污水处理厂污染物排放标准》（GB18918-2002）一</w:t>
            </w:r>
            <w:r>
              <w:rPr>
                <w:rFonts w:hint="eastAsia"/>
                <w:szCs w:val="21"/>
              </w:rPr>
              <w:t>级A</w:t>
            </w:r>
            <w:r>
              <w:rPr>
                <w:szCs w:val="21"/>
              </w:rPr>
              <w:t>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1644" w:type="dxa"/>
            <w:vMerge w:val="continue"/>
            <w:vAlign w:val="center"/>
          </w:tcPr>
          <w:p>
            <w:pPr>
              <w:jc w:val="center"/>
              <w:rPr>
                <w:szCs w:val="21"/>
              </w:rPr>
            </w:pPr>
          </w:p>
        </w:tc>
        <w:tc>
          <w:tcPr>
            <w:tcW w:w="1299" w:type="dxa"/>
            <w:vAlign w:val="center"/>
          </w:tcPr>
          <w:p>
            <w:pPr>
              <w:jc w:val="center"/>
              <w:outlineLvl w:val="0"/>
              <w:rPr>
                <w:szCs w:val="21"/>
              </w:rPr>
            </w:pPr>
            <w:r>
              <w:rPr>
                <w:rFonts w:hint="eastAsia"/>
                <w:szCs w:val="21"/>
              </w:rPr>
              <w:t>公路地面径流</w:t>
            </w:r>
          </w:p>
        </w:tc>
        <w:tc>
          <w:tcPr>
            <w:tcW w:w="1277" w:type="dxa"/>
            <w:vAlign w:val="center"/>
          </w:tcPr>
          <w:p>
            <w:pPr>
              <w:jc w:val="center"/>
              <w:outlineLvl w:val="0"/>
              <w:rPr>
                <w:szCs w:val="21"/>
              </w:rPr>
            </w:pPr>
            <w:r>
              <w:rPr>
                <w:rFonts w:hint="eastAsia"/>
                <w:szCs w:val="21"/>
              </w:rPr>
              <w:t>SS、</w:t>
            </w:r>
            <w:r>
              <w:rPr>
                <w:szCs w:val="21"/>
              </w:rPr>
              <w:t>BOD</w:t>
            </w:r>
            <w:r>
              <w:rPr>
                <w:szCs w:val="21"/>
                <w:vertAlign w:val="subscript"/>
              </w:rPr>
              <w:t>5</w:t>
            </w:r>
            <w:r>
              <w:rPr>
                <w:rFonts w:hint="eastAsia"/>
                <w:szCs w:val="21"/>
              </w:rPr>
              <w:t>、石油类</w:t>
            </w:r>
          </w:p>
        </w:tc>
        <w:tc>
          <w:tcPr>
            <w:tcW w:w="2125" w:type="dxa"/>
            <w:vAlign w:val="center"/>
          </w:tcPr>
          <w:p>
            <w:pPr>
              <w:jc w:val="center"/>
              <w:outlineLvl w:val="0"/>
              <w:rPr>
                <w:rFonts w:hAnsi="宋体"/>
                <w:bCs/>
                <w:szCs w:val="21"/>
              </w:rPr>
            </w:pPr>
            <w:r>
              <w:rPr>
                <w:rFonts w:hint="eastAsia" w:hAnsi="宋体"/>
                <w:bCs/>
                <w:szCs w:val="21"/>
              </w:rPr>
              <w:t>日常清扫公路、定期检查集水设施</w:t>
            </w:r>
          </w:p>
        </w:tc>
        <w:tc>
          <w:tcPr>
            <w:tcW w:w="2177" w:type="dxa"/>
            <w:vAlign w:val="center"/>
          </w:tcPr>
          <w:p>
            <w:pPr>
              <w:jc w:val="center"/>
              <w:outlineLvl w:val="0"/>
              <w:rPr>
                <w:szCs w:val="21"/>
              </w:rPr>
            </w:pPr>
            <w:r>
              <w:rPr>
                <w:rFonts w:hint="eastAsia"/>
                <w:szCs w:val="21"/>
              </w:rPr>
              <w:t>排水通畅，禁止漫流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417" w:hRule="atLeast"/>
        </w:trPr>
        <w:tc>
          <w:tcPr>
            <w:tcW w:w="1644" w:type="dxa"/>
            <w:vMerge w:val="restart"/>
            <w:vAlign w:val="center"/>
          </w:tcPr>
          <w:p>
            <w:pPr>
              <w:jc w:val="center"/>
              <w:rPr>
                <w:szCs w:val="21"/>
              </w:rPr>
            </w:pPr>
            <w:r>
              <w:rPr>
                <w:rFonts w:hint="eastAsia"/>
                <w:szCs w:val="21"/>
              </w:rPr>
              <w:t>大气</w:t>
            </w:r>
          </w:p>
          <w:p>
            <w:pPr>
              <w:jc w:val="center"/>
              <w:outlineLvl w:val="0"/>
              <w:rPr>
                <w:b/>
                <w:sz w:val="28"/>
                <w:szCs w:val="28"/>
              </w:rPr>
            </w:pPr>
            <w:r>
              <w:rPr>
                <w:rFonts w:hint="eastAsia"/>
                <w:szCs w:val="21"/>
              </w:rPr>
              <w:t>污染物</w:t>
            </w:r>
          </w:p>
        </w:tc>
        <w:tc>
          <w:tcPr>
            <w:tcW w:w="1299" w:type="dxa"/>
            <w:vMerge w:val="restart"/>
            <w:vAlign w:val="center"/>
          </w:tcPr>
          <w:p>
            <w:pPr>
              <w:jc w:val="center"/>
              <w:outlineLvl w:val="0"/>
              <w:rPr>
                <w:b/>
                <w:sz w:val="28"/>
                <w:szCs w:val="28"/>
              </w:rPr>
            </w:pPr>
            <w:r>
              <w:rPr>
                <w:rFonts w:hint="eastAsia"/>
                <w:szCs w:val="21"/>
              </w:rPr>
              <w:t>污水处理站</w:t>
            </w:r>
          </w:p>
        </w:tc>
        <w:tc>
          <w:tcPr>
            <w:tcW w:w="1277" w:type="dxa"/>
            <w:vAlign w:val="center"/>
          </w:tcPr>
          <w:p>
            <w:pPr>
              <w:jc w:val="center"/>
              <w:outlineLvl w:val="0"/>
              <w:rPr>
                <w:b/>
                <w:sz w:val="28"/>
                <w:szCs w:val="28"/>
              </w:rPr>
            </w:pPr>
            <w:r>
              <w:rPr>
                <w:rFonts w:hint="eastAsia"/>
                <w:szCs w:val="21"/>
              </w:rPr>
              <w:t>NH</w:t>
            </w:r>
            <w:r>
              <w:rPr>
                <w:rFonts w:hint="eastAsia"/>
                <w:szCs w:val="21"/>
                <w:vertAlign w:val="subscript"/>
              </w:rPr>
              <w:t>3</w:t>
            </w:r>
          </w:p>
        </w:tc>
        <w:tc>
          <w:tcPr>
            <w:tcW w:w="2125" w:type="dxa"/>
            <w:vMerge w:val="restart"/>
            <w:vAlign w:val="center"/>
          </w:tcPr>
          <w:p>
            <w:pPr>
              <w:jc w:val="center"/>
              <w:outlineLvl w:val="0"/>
              <w:rPr>
                <w:b/>
                <w:sz w:val="28"/>
                <w:szCs w:val="28"/>
              </w:rPr>
            </w:pPr>
            <w:r>
              <w:rPr>
                <w:rFonts w:hint="eastAsia"/>
                <w:szCs w:val="21"/>
              </w:rPr>
              <w:t>采取加盖措施，采用封闭地埋式设施</w:t>
            </w:r>
          </w:p>
        </w:tc>
        <w:tc>
          <w:tcPr>
            <w:tcW w:w="2177" w:type="dxa"/>
            <w:vMerge w:val="restart"/>
            <w:vAlign w:val="center"/>
          </w:tcPr>
          <w:p>
            <w:pPr>
              <w:jc w:val="center"/>
              <w:outlineLvl w:val="0"/>
              <w:rPr>
                <w:b/>
                <w:sz w:val="28"/>
                <w:szCs w:val="28"/>
              </w:rPr>
            </w:pPr>
            <w:r>
              <w:rPr>
                <w:bCs/>
                <w:szCs w:val="21"/>
              </w:rPr>
              <w:t>《城镇污水处理厂污染物排放标准》（GB18918-2002）表4</w:t>
            </w:r>
            <w:r>
              <w:rPr>
                <w:rFonts w:hint="eastAsia"/>
                <w:bCs/>
                <w:szCs w:val="21"/>
              </w:rPr>
              <w:t>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42" w:hRule="atLeast"/>
        </w:trPr>
        <w:tc>
          <w:tcPr>
            <w:tcW w:w="1644" w:type="dxa"/>
            <w:vMerge w:val="continue"/>
            <w:vAlign w:val="center"/>
          </w:tcPr>
          <w:p>
            <w:pPr>
              <w:jc w:val="center"/>
              <w:rPr>
                <w:szCs w:val="21"/>
              </w:rPr>
            </w:pPr>
          </w:p>
        </w:tc>
        <w:tc>
          <w:tcPr>
            <w:tcW w:w="1299" w:type="dxa"/>
            <w:vMerge w:val="continue"/>
            <w:vAlign w:val="center"/>
          </w:tcPr>
          <w:p>
            <w:pPr>
              <w:jc w:val="center"/>
              <w:outlineLvl w:val="0"/>
              <w:rPr>
                <w:szCs w:val="21"/>
              </w:rPr>
            </w:pPr>
          </w:p>
        </w:tc>
        <w:tc>
          <w:tcPr>
            <w:tcW w:w="1277" w:type="dxa"/>
            <w:vAlign w:val="center"/>
          </w:tcPr>
          <w:p>
            <w:pPr>
              <w:jc w:val="center"/>
              <w:outlineLvl w:val="0"/>
              <w:rPr>
                <w:szCs w:val="21"/>
              </w:rPr>
            </w:pPr>
            <w:r>
              <w:rPr>
                <w:rFonts w:hint="eastAsia"/>
                <w:szCs w:val="21"/>
              </w:rPr>
              <w:t>H</w:t>
            </w:r>
            <w:r>
              <w:rPr>
                <w:rFonts w:hint="eastAsia"/>
                <w:szCs w:val="21"/>
                <w:vertAlign w:val="subscript"/>
              </w:rPr>
              <w:t>2</w:t>
            </w:r>
            <w:r>
              <w:rPr>
                <w:rFonts w:hint="eastAsia"/>
                <w:szCs w:val="21"/>
              </w:rPr>
              <w:t>S</w:t>
            </w:r>
          </w:p>
        </w:tc>
        <w:tc>
          <w:tcPr>
            <w:tcW w:w="2125" w:type="dxa"/>
            <w:vMerge w:val="continue"/>
            <w:vAlign w:val="center"/>
          </w:tcPr>
          <w:p>
            <w:pPr>
              <w:jc w:val="center"/>
              <w:outlineLvl w:val="0"/>
              <w:rPr>
                <w:b/>
                <w:sz w:val="28"/>
                <w:szCs w:val="28"/>
              </w:rPr>
            </w:pPr>
          </w:p>
        </w:tc>
        <w:tc>
          <w:tcPr>
            <w:tcW w:w="2177" w:type="dxa"/>
            <w:vMerge w:val="continue"/>
            <w:vAlign w:val="center"/>
          </w:tcPr>
          <w:p>
            <w:pPr>
              <w:jc w:val="center"/>
              <w:outlineLvl w:val="0"/>
              <w:rPr>
                <w:b/>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42" w:hRule="atLeast"/>
        </w:trPr>
        <w:tc>
          <w:tcPr>
            <w:tcW w:w="1644" w:type="dxa"/>
            <w:vMerge w:val="continue"/>
            <w:vAlign w:val="center"/>
          </w:tcPr>
          <w:p>
            <w:pPr>
              <w:jc w:val="center"/>
              <w:rPr>
                <w:szCs w:val="21"/>
              </w:rPr>
            </w:pPr>
          </w:p>
        </w:tc>
        <w:tc>
          <w:tcPr>
            <w:tcW w:w="1299" w:type="dxa"/>
            <w:vAlign w:val="center"/>
          </w:tcPr>
          <w:p>
            <w:pPr>
              <w:jc w:val="center"/>
              <w:outlineLvl w:val="0"/>
              <w:rPr>
                <w:szCs w:val="21"/>
              </w:rPr>
            </w:pPr>
            <w:r>
              <w:rPr>
                <w:rFonts w:hint="eastAsia"/>
                <w:szCs w:val="21"/>
              </w:rPr>
              <w:t>汽车尾气及扬尘</w:t>
            </w:r>
          </w:p>
        </w:tc>
        <w:tc>
          <w:tcPr>
            <w:tcW w:w="1277" w:type="dxa"/>
            <w:vAlign w:val="center"/>
          </w:tcPr>
          <w:p>
            <w:pPr>
              <w:jc w:val="center"/>
              <w:outlineLvl w:val="0"/>
              <w:rPr>
                <w:szCs w:val="21"/>
              </w:rPr>
            </w:pPr>
            <w:r>
              <w:rPr>
                <w:szCs w:val="21"/>
              </w:rPr>
              <w:t>NMHC</w:t>
            </w:r>
            <w:r>
              <w:rPr>
                <w:rFonts w:hint="eastAsia"/>
                <w:szCs w:val="21"/>
              </w:rPr>
              <w:t>、</w:t>
            </w:r>
            <w:r>
              <w:rPr>
                <w:szCs w:val="21"/>
              </w:rPr>
              <w:t>NOx</w:t>
            </w:r>
            <w:r>
              <w:rPr>
                <w:rFonts w:hint="eastAsia"/>
                <w:szCs w:val="21"/>
              </w:rPr>
              <w:t>、</w:t>
            </w:r>
            <w:r>
              <w:rPr>
                <w:szCs w:val="21"/>
              </w:rPr>
              <w:t>CO</w:t>
            </w:r>
            <w:r>
              <w:rPr>
                <w:rFonts w:hint="eastAsia"/>
                <w:szCs w:val="21"/>
              </w:rPr>
              <w:t>、扬尘</w:t>
            </w:r>
          </w:p>
        </w:tc>
        <w:tc>
          <w:tcPr>
            <w:tcW w:w="2125" w:type="dxa"/>
            <w:vAlign w:val="center"/>
          </w:tcPr>
          <w:p>
            <w:pPr>
              <w:jc w:val="center"/>
              <w:outlineLvl w:val="0"/>
              <w:rPr>
                <w:b/>
                <w:sz w:val="28"/>
                <w:szCs w:val="28"/>
              </w:rPr>
            </w:pPr>
            <w:r>
              <w:rPr>
                <w:rFonts w:hint="eastAsia"/>
                <w:szCs w:val="21"/>
              </w:rPr>
              <w:t>限速、清洁路面、洒水</w:t>
            </w:r>
          </w:p>
        </w:tc>
        <w:tc>
          <w:tcPr>
            <w:tcW w:w="2177" w:type="dxa"/>
            <w:vAlign w:val="center"/>
          </w:tcPr>
          <w:p>
            <w:pPr>
              <w:jc w:val="center"/>
              <w:outlineLvl w:val="0"/>
              <w:rPr>
                <w:b/>
                <w:sz w:val="28"/>
                <w:szCs w:val="28"/>
              </w:rPr>
            </w:pPr>
            <w:r>
              <w:rPr>
                <w:szCs w:val="21"/>
              </w:rPr>
              <w:t>《大气污染物综合排放标准》（GB16297-1996）</w:t>
            </w:r>
            <w:r>
              <w:rPr>
                <w:rFonts w:hint="eastAsia"/>
                <w:szCs w:val="21"/>
              </w:rPr>
              <w:t>表2二级标准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1644" w:type="dxa"/>
            <w:vMerge w:val="restart"/>
            <w:vAlign w:val="center"/>
          </w:tcPr>
          <w:p>
            <w:pPr>
              <w:jc w:val="center"/>
              <w:rPr>
                <w:szCs w:val="21"/>
              </w:rPr>
            </w:pPr>
            <w:r>
              <w:rPr>
                <w:rFonts w:hint="eastAsia"/>
                <w:szCs w:val="21"/>
              </w:rPr>
              <w:t>固体</w:t>
            </w:r>
          </w:p>
          <w:p>
            <w:pPr>
              <w:jc w:val="center"/>
              <w:outlineLvl w:val="0"/>
              <w:rPr>
                <w:b/>
                <w:sz w:val="28"/>
                <w:szCs w:val="28"/>
              </w:rPr>
            </w:pPr>
            <w:r>
              <w:rPr>
                <w:rFonts w:hint="eastAsia"/>
                <w:szCs w:val="21"/>
              </w:rPr>
              <w:t>废物</w:t>
            </w:r>
          </w:p>
        </w:tc>
        <w:tc>
          <w:tcPr>
            <w:tcW w:w="1299" w:type="dxa"/>
            <w:vAlign w:val="center"/>
          </w:tcPr>
          <w:p>
            <w:pPr>
              <w:jc w:val="center"/>
              <w:outlineLvl w:val="0"/>
              <w:rPr>
                <w:b/>
                <w:sz w:val="28"/>
                <w:szCs w:val="28"/>
              </w:rPr>
            </w:pPr>
            <w:r>
              <w:rPr>
                <w:rFonts w:hint="eastAsia"/>
                <w:szCs w:val="21"/>
              </w:rPr>
              <w:t>格栅</w:t>
            </w:r>
          </w:p>
        </w:tc>
        <w:tc>
          <w:tcPr>
            <w:tcW w:w="1277" w:type="dxa"/>
            <w:vAlign w:val="center"/>
          </w:tcPr>
          <w:p>
            <w:pPr>
              <w:jc w:val="center"/>
              <w:outlineLvl w:val="0"/>
              <w:rPr>
                <w:b/>
                <w:sz w:val="28"/>
                <w:szCs w:val="28"/>
              </w:rPr>
            </w:pPr>
            <w:r>
              <w:rPr>
                <w:rFonts w:hint="eastAsia"/>
                <w:szCs w:val="21"/>
              </w:rPr>
              <w:t>栅渣</w:t>
            </w:r>
          </w:p>
        </w:tc>
        <w:tc>
          <w:tcPr>
            <w:tcW w:w="2125" w:type="dxa"/>
            <w:vMerge w:val="restart"/>
            <w:vAlign w:val="center"/>
          </w:tcPr>
          <w:p>
            <w:pPr>
              <w:jc w:val="center"/>
              <w:outlineLvl w:val="0"/>
              <w:rPr>
                <w:b/>
                <w:sz w:val="28"/>
                <w:szCs w:val="28"/>
              </w:rPr>
            </w:pPr>
            <w:r>
              <w:rPr>
                <w:szCs w:val="21"/>
              </w:rPr>
              <w:t>外运至</w:t>
            </w:r>
            <w:r>
              <w:rPr>
                <w:rFonts w:hint="eastAsia"/>
                <w:szCs w:val="21"/>
              </w:rPr>
              <w:t>宁县和盛镇生活</w:t>
            </w:r>
            <w:r>
              <w:rPr>
                <w:szCs w:val="21"/>
              </w:rPr>
              <w:t>垃圾填埋场卫生填埋</w:t>
            </w:r>
          </w:p>
        </w:tc>
        <w:tc>
          <w:tcPr>
            <w:tcW w:w="2177" w:type="dxa"/>
            <w:vAlign w:val="center"/>
          </w:tcPr>
          <w:p>
            <w:pPr>
              <w:jc w:val="center"/>
              <w:outlineLvl w:val="0"/>
              <w:rPr>
                <w:b/>
                <w:sz w:val="28"/>
                <w:szCs w:val="28"/>
              </w:rPr>
            </w:pPr>
            <w:r>
              <w:rPr>
                <w:rFonts w:hint="eastAsia"/>
                <w:szCs w:val="21"/>
              </w:rPr>
              <w:t>妥善处置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1644" w:type="dxa"/>
            <w:vMerge w:val="continue"/>
            <w:vAlign w:val="center"/>
          </w:tcPr>
          <w:p>
            <w:pPr>
              <w:jc w:val="center"/>
              <w:rPr>
                <w:szCs w:val="21"/>
              </w:rPr>
            </w:pPr>
          </w:p>
        </w:tc>
        <w:tc>
          <w:tcPr>
            <w:tcW w:w="1299" w:type="dxa"/>
            <w:vAlign w:val="center"/>
          </w:tcPr>
          <w:p>
            <w:pPr>
              <w:jc w:val="center"/>
              <w:outlineLvl w:val="0"/>
              <w:rPr>
                <w:szCs w:val="21"/>
              </w:rPr>
            </w:pPr>
            <w:r>
              <w:rPr>
                <w:rFonts w:hint="eastAsia"/>
                <w:szCs w:val="21"/>
              </w:rPr>
              <w:t>过滤工艺</w:t>
            </w:r>
          </w:p>
        </w:tc>
        <w:tc>
          <w:tcPr>
            <w:tcW w:w="1277" w:type="dxa"/>
            <w:vAlign w:val="center"/>
          </w:tcPr>
          <w:p>
            <w:pPr>
              <w:jc w:val="center"/>
              <w:outlineLvl w:val="0"/>
              <w:rPr>
                <w:szCs w:val="21"/>
              </w:rPr>
            </w:pPr>
            <w:r>
              <w:rPr>
                <w:rFonts w:hint="eastAsia"/>
                <w:szCs w:val="21"/>
              </w:rPr>
              <w:t>废滤料</w:t>
            </w:r>
          </w:p>
        </w:tc>
        <w:tc>
          <w:tcPr>
            <w:tcW w:w="2125" w:type="dxa"/>
            <w:vMerge w:val="continue"/>
            <w:vAlign w:val="center"/>
          </w:tcPr>
          <w:p>
            <w:pPr>
              <w:jc w:val="center"/>
              <w:outlineLvl w:val="0"/>
              <w:rPr>
                <w:szCs w:val="21"/>
              </w:rPr>
            </w:pPr>
          </w:p>
        </w:tc>
        <w:tc>
          <w:tcPr>
            <w:tcW w:w="2177" w:type="dxa"/>
            <w:vAlign w:val="center"/>
          </w:tcPr>
          <w:p>
            <w:pPr>
              <w:jc w:val="center"/>
              <w:outlineLvl w:val="0"/>
              <w:rPr>
                <w:szCs w:val="21"/>
              </w:rPr>
            </w:pPr>
            <w:r>
              <w:rPr>
                <w:rFonts w:hint="eastAsia"/>
                <w:szCs w:val="21"/>
              </w:rPr>
              <w:t>妥善处置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1644" w:type="dxa"/>
            <w:vMerge w:val="continue"/>
            <w:vAlign w:val="center"/>
          </w:tcPr>
          <w:p>
            <w:pPr>
              <w:jc w:val="center"/>
              <w:rPr>
                <w:szCs w:val="21"/>
              </w:rPr>
            </w:pPr>
          </w:p>
        </w:tc>
        <w:tc>
          <w:tcPr>
            <w:tcW w:w="1299" w:type="dxa"/>
            <w:vAlign w:val="center"/>
          </w:tcPr>
          <w:p>
            <w:pPr>
              <w:jc w:val="center"/>
              <w:outlineLvl w:val="0"/>
              <w:rPr>
                <w:szCs w:val="21"/>
              </w:rPr>
            </w:pPr>
            <w:r>
              <w:rPr>
                <w:rFonts w:hint="eastAsia" w:hAnsi="宋体"/>
                <w:szCs w:val="21"/>
              </w:rPr>
              <w:t>污水管网</w:t>
            </w:r>
          </w:p>
        </w:tc>
        <w:tc>
          <w:tcPr>
            <w:tcW w:w="1277" w:type="dxa"/>
            <w:vAlign w:val="center"/>
          </w:tcPr>
          <w:p>
            <w:pPr>
              <w:jc w:val="center"/>
              <w:outlineLvl w:val="0"/>
              <w:rPr>
                <w:szCs w:val="21"/>
              </w:rPr>
            </w:pPr>
            <w:r>
              <w:rPr>
                <w:rFonts w:hint="eastAsia" w:hAnsi="宋体"/>
                <w:szCs w:val="21"/>
              </w:rPr>
              <w:t>淤泥</w:t>
            </w:r>
          </w:p>
        </w:tc>
        <w:tc>
          <w:tcPr>
            <w:tcW w:w="2125" w:type="dxa"/>
            <w:vAlign w:val="center"/>
          </w:tcPr>
          <w:p>
            <w:pPr>
              <w:jc w:val="center"/>
              <w:outlineLvl w:val="0"/>
              <w:rPr>
                <w:szCs w:val="21"/>
              </w:rPr>
            </w:pPr>
            <w:r>
              <w:rPr>
                <w:rFonts w:hint="eastAsia"/>
                <w:szCs w:val="21"/>
              </w:rPr>
              <w:t>和污水站污泥一起处理</w:t>
            </w:r>
          </w:p>
        </w:tc>
        <w:tc>
          <w:tcPr>
            <w:tcW w:w="2177" w:type="dxa"/>
            <w:vAlign w:val="center"/>
          </w:tcPr>
          <w:p>
            <w:pPr>
              <w:jc w:val="center"/>
              <w:outlineLvl w:val="0"/>
              <w:rPr>
                <w:szCs w:val="21"/>
              </w:rPr>
            </w:pPr>
            <w:r>
              <w:rPr>
                <w:rFonts w:hint="eastAsia"/>
                <w:szCs w:val="21"/>
              </w:rPr>
              <w:t>妥善处置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1644" w:type="dxa"/>
            <w:vMerge w:val="continue"/>
            <w:vAlign w:val="center"/>
          </w:tcPr>
          <w:p>
            <w:pPr>
              <w:jc w:val="center"/>
              <w:outlineLvl w:val="0"/>
              <w:rPr>
                <w:b/>
                <w:sz w:val="28"/>
                <w:szCs w:val="28"/>
              </w:rPr>
            </w:pPr>
          </w:p>
        </w:tc>
        <w:tc>
          <w:tcPr>
            <w:tcW w:w="1299" w:type="dxa"/>
            <w:vAlign w:val="center"/>
          </w:tcPr>
          <w:p>
            <w:pPr>
              <w:jc w:val="center"/>
              <w:outlineLvl w:val="0"/>
              <w:rPr>
                <w:b/>
                <w:sz w:val="28"/>
                <w:szCs w:val="28"/>
              </w:rPr>
            </w:pPr>
            <w:r>
              <w:rPr>
                <w:rFonts w:hint="eastAsia"/>
                <w:szCs w:val="21"/>
              </w:rPr>
              <w:t>污泥池</w:t>
            </w:r>
          </w:p>
        </w:tc>
        <w:tc>
          <w:tcPr>
            <w:tcW w:w="1277" w:type="dxa"/>
            <w:vAlign w:val="center"/>
          </w:tcPr>
          <w:p>
            <w:pPr>
              <w:jc w:val="center"/>
              <w:outlineLvl w:val="0"/>
              <w:rPr>
                <w:b/>
                <w:sz w:val="28"/>
                <w:szCs w:val="28"/>
              </w:rPr>
            </w:pPr>
            <w:r>
              <w:rPr>
                <w:rFonts w:hint="eastAsia"/>
                <w:szCs w:val="21"/>
              </w:rPr>
              <w:t>剩余污泥</w:t>
            </w:r>
          </w:p>
        </w:tc>
        <w:tc>
          <w:tcPr>
            <w:tcW w:w="2125" w:type="dxa"/>
            <w:vAlign w:val="center"/>
          </w:tcPr>
          <w:p>
            <w:pPr>
              <w:jc w:val="center"/>
              <w:outlineLvl w:val="0"/>
              <w:rPr>
                <w:b/>
                <w:sz w:val="28"/>
                <w:szCs w:val="28"/>
              </w:rPr>
            </w:pPr>
            <w:r>
              <w:rPr>
                <w:rFonts w:hint="eastAsia" w:hAnsi="宋体"/>
                <w:bCs/>
                <w:szCs w:val="21"/>
              </w:rPr>
              <w:t>近期交由有资质单位处理，远期建设深度处理，至含水率低于60%送</w:t>
            </w:r>
            <w:r>
              <w:rPr>
                <w:rFonts w:hint="eastAsia" w:hAnsi="宋体"/>
                <w:szCs w:val="21"/>
              </w:rPr>
              <w:t>宁县和盛镇生活垃圾填埋场</w:t>
            </w:r>
            <w:r>
              <w:rPr>
                <w:rFonts w:hint="eastAsia" w:hAnsi="宋体"/>
                <w:bCs/>
                <w:szCs w:val="21"/>
              </w:rPr>
              <w:t>卫生填埋</w:t>
            </w:r>
          </w:p>
        </w:tc>
        <w:tc>
          <w:tcPr>
            <w:tcW w:w="2177" w:type="dxa"/>
            <w:vAlign w:val="center"/>
          </w:tcPr>
          <w:p>
            <w:pPr>
              <w:jc w:val="center"/>
              <w:outlineLvl w:val="0"/>
              <w:rPr>
                <w:b/>
                <w:sz w:val="28"/>
                <w:szCs w:val="28"/>
              </w:rPr>
            </w:pPr>
            <w:r>
              <w:rPr>
                <w:rFonts w:hint="eastAsia"/>
                <w:szCs w:val="21"/>
              </w:rPr>
              <w:t>妥善处置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1644" w:type="dxa"/>
            <w:vMerge w:val="continue"/>
            <w:vAlign w:val="center"/>
          </w:tcPr>
          <w:p>
            <w:pPr>
              <w:jc w:val="center"/>
              <w:outlineLvl w:val="0"/>
              <w:rPr>
                <w:b/>
                <w:sz w:val="28"/>
                <w:szCs w:val="28"/>
              </w:rPr>
            </w:pPr>
          </w:p>
        </w:tc>
        <w:tc>
          <w:tcPr>
            <w:tcW w:w="1299" w:type="dxa"/>
            <w:vAlign w:val="center"/>
          </w:tcPr>
          <w:p>
            <w:pPr>
              <w:jc w:val="center"/>
              <w:outlineLvl w:val="0"/>
              <w:rPr>
                <w:szCs w:val="21"/>
              </w:rPr>
            </w:pPr>
            <w:r>
              <w:rPr>
                <w:rFonts w:hint="eastAsia" w:hAnsi="宋体"/>
                <w:szCs w:val="21"/>
              </w:rPr>
              <w:t>公路路面</w:t>
            </w:r>
          </w:p>
        </w:tc>
        <w:tc>
          <w:tcPr>
            <w:tcW w:w="1277" w:type="dxa"/>
            <w:vAlign w:val="center"/>
          </w:tcPr>
          <w:p>
            <w:pPr>
              <w:jc w:val="center"/>
              <w:outlineLvl w:val="0"/>
              <w:rPr>
                <w:szCs w:val="21"/>
              </w:rPr>
            </w:pPr>
            <w:r>
              <w:rPr>
                <w:rFonts w:hint="eastAsia" w:hAnsi="宋体"/>
                <w:szCs w:val="21"/>
              </w:rPr>
              <w:t>生活垃圾、落叶等</w:t>
            </w:r>
          </w:p>
        </w:tc>
        <w:tc>
          <w:tcPr>
            <w:tcW w:w="2125" w:type="dxa"/>
            <w:vMerge w:val="restart"/>
            <w:vAlign w:val="center"/>
          </w:tcPr>
          <w:p>
            <w:pPr>
              <w:jc w:val="center"/>
              <w:outlineLvl w:val="0"/>
              <w:rPr>
                <w:szCs w:val="21"/>
              </w:rPr>
            </w:pPr>
            <w:r>
              <w:rPr>
                <w:rFonts w:hint="eastAsia" w:hAnsi="宋体"/>
                <w:szCs w:val="21"/>
              </w:rPr>
              <w:t>清理</w:t>
            </w:r>
            <w:r>
              <w:rPr>
                <w:rFonts w:hint="eastAsia" w:hAnsi="宋体"/>
                <w:bCs/>
                <w:szCs w:val="21"/>
              </w:rPr>
              <w:t>运至</w:t>
            </w:r>
            <w:r>
              <w:rPr>
                <w:rFonts w:hAnsi="宋体"/>
                <w:szCs w:val="21"/>
              </w:rPr>
              <w:t>政府指定的生活垃圾填埋场处置</w:t>
            </w:r>
          </w:p>
        </w:tc>
        <w:tc>
          <w:tcPr>
            <w:tcW w:w="2177" w:type="dxa"/>
            <w:vAlign w:val="center"/>
          </w:tcPr>
          <w:p>
            <w:pPr>
              <w:jc w:val="center"/>
              <w:outlineLvl w:val="0"/>
              <w:rPr>
                <w:szCs w:val="21"/>
              </w:rPr>
            </w:pPr>
            <w:r>
              <w:rPr>
                <w:rFonts w:hint="eastAsia"/>
                <w:szCs w:val="21"/>
              </w:rPr>
              <w:t>妥善处置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1644" w:type="dxa"/>
            <w:vMerge w:val="continue"/>
            <w:vAlign w:val="center"/>
          </w:tcPr>
          <w:p>
            <w:pPr>
              <w:jc w:val="center"/>
              <w:outlineLvl w:val="0"/>
              <w:rPr>
                <w:b/>
                <w:sz w:val="28"/>
                <w:szCs w:val="28"/>
              </w:rPr>
            </w:pPr>
          </w:p>
        </w:tc>
        <w:tc>
          <w:tcPr>
            <w:tcW w:w="1299" w:type="dxa"/>
            <w:vAlign w:val="center"/>
          </w:tcPr>
          <w:p>
            <w:pPr>
              <w:jc w:val="center"/>
              <w:outlineLvl w:val="0"/>
              <w:rPr>
                <w:szCs w:val="21"/>
              </w:rPr>
            </w:pPr>
            <w:r>
              <w:rPr>
                <w:rFonts w:hint="eastAsia" w:hAnsi="宋体"/>
                <w:szCs w:val="21"/>
              </w:rPr>
              <w:t>广场</w:t>
            </w:r>
          </w:p>
        </w:tc>
        <w:tc>
          <w:tcPr>
            <w:tcW w:w="1277" w:type="dxa"/>
            <w:vAlign w:val="center"/>
          </w:tcPr>
          <w:p>
            <w:pPr>
              <w:jc w:val="center"/>
              <w:outlineLvl w:val="0"/>
              <w:rPr>
                <w:szCs w:val="21"/>
              </w:rPr>
            </w:pPr>
            <w:r>
              <w:rPr>
                <w:rFonts w:hint="eastAsia" w:hAnsi="宋体"/>
                <w:szCs w:val="21"/>
              </w:rPr>
              <w:t>生活垃圾</w:t>
            </w:r>
          </w:p>
        </w:tc>
        <w:tc>
          <w:tcPr>
            <w:tcW w:w="2125" w:type="dxa"/>
            <w:vMerge w:val="continue"/>
            <w:vAlign w:val="center"/>
          </w:tcPr>
          <w:p>
            <w:pPr>
              <w:jc w:val="center"/>
              <w:outlineLvl w:val="0"/>
              <w:rPr>
                <w:szCs w:val="21"/>
              </w:rPr>
            </w:pPr>
          </w:p>
        </w:tc>
        <w:tc>
          <w:tcPr>
            <w:tcW w:w="2177" w:type="dxa"/>
            <w:vAlign w:val="center"/>
          </w:tcPr>
          <w:p>
            <w:pPr>
              <w:jc w:val="center"/>
              <w:outlineLvl w:val="0"/>
              <w:rPr>
                <w:szCs w:val="21"/>
              </w:rPr>
            </w:pPr>
            <w:r>
              <w:rPr>
                <w:rFonts w:hint="eastAsia"/>
                <w:szCs w:val="21"/>
              </w:rPr>
              <w:t>妥善处置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8522" w:type="dxa"/>
            <w:gridSpan w:val="5"/>
            <w:vAlign w:val="center"/>
          </w:tcPr>
          <w:p>
            <w:pPr>
              <w:rPr>
                <w:b/>
                <w:sz w:val="24"/>
                <w:szCs w:val="24"/>
              </w:rPr>
            </w:pPr>
            <w:r>
              <w:rPr>
                <w:rFonts w:hint="eastAsia"/>
                <w:b/>
                <w:sz w:val="24"/>
                <w:szCs w:val="24"/>
              </w:rPr>
              <w:t>生态保护措施及预期效果：</w:t>
            </w:r>
          </w:p>
          <w:p>
            <w:pPr>
              <w:spacing w:beforeLines="50" w:line="360" w:lineRule="auto"/>
              <w:ind w:firstLine="480" w:firstLineChars="200"/>
              <w:rPr>
                <w:sz w:val="24"/>
                <w:szCs w:val="24"/>
              </w:rPr>
            </w:pPr>
            <w:r>
              <w:rPr>
                <w:rFonts w:hint="eastAsia"/>
                <w:sz w:val="24"/>
                <w:szCs w:val="24"/>
              </w:rPr>
              <w:t>本项目规划土建完工后，在表层进行绿化，绿化面积1387.28m</w:t>
            </w:r>
            <w:r>
              <w:rPr>
                <w:rFonts w:hint="eastAsia"/>
                <w:sz w:val="24"/>
                <w:szCs w:val="24"/>
                <w:vertAlign w:val="superscript"/>
              </w:rPr>
              <w:t>2</w:t>
            </w:r>
            <w:r>
              <w:rPr>
                <w:rFonts w:hint="eastAsia"/>
                <w:sz w:val="24"/>
                <w:szCs w:val="24"/>
              </w:rPr>
              <w:t>，绿化可减少项目周围环境的影响。绿化植物应选择当地易种植、生长快并具有一定降噪和观赏价值的品种，采取上述措施后，可使建址区域局部生态环境得到修复和补偿，减少项目建设对周围生态环境的影响。</w:t>
            </w:r>
          </w:p>
          <w:p>
            <w:pPr>
              <w:jc w:val="center"/>
              <w:outlineLvl w:val="0"/>
              <w:rPr>
                <w:b/>
                <w:sz w:val="28"/>
                <w:szCs w:val="28"/>
              </w:rPr>
            </w:pPr>
          </w:p>
          <w:p>
            <w:pPr>
              <w:outlineLvl w:val="0"/>
              <w:rPr>
                <w:b/>
                <w:sz w:val="28"/>
                <w:szCs w:val="28"/>
              </w:rPr>
            </w:pPr>
          </w:p>
        </w:tc>
      </w:tr>
    </w:tbl>
    <w:tbl>
      <w:tblPr>
        <w:tblStyle w:val="35"/>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034" w:hRule="atLeast"/>
          <w:jc w:val="center"/>
        </w:trPr>
        <w:tc>
          <w:tcPr>
            <w:tcW w:w="8522" w:type="dxa"/>
            <w:tcBorders>
              <w:bottom w:val="single" w:color="auto" w:sz="12" w:space="0"/>
            </w:tcBorders>
            <w:vAlign w:val="center"/>
          </w:tcPr>
          <w:p>
            <w:pPr>
              <w:spacing w:line="360" w:lineRule="auto"/>
              <w:rPr>
                <w:rStyle w:val="34"/>
                <w:kern w:val="28"/>
                <w:sz w:val="24"/>
                <w:szCs w:val="24"/>
              </w:rPr>
            </w:pPr>
            <w:r>
              <w:rPr>
                <w:rFonts w:hint="eastAsia" w:hAnsi="宋体"/>
                <w:b/>
                <w:sz w:val="24"/>
              </w:rPr>
              <w:t>污染物排放及防治措施</w:t>
            </w:r>
          </w:p>
          <w:p>
            <w:pPr>
              <w:spacing w:line="360" w:lineRule="auto"/>
              <w:outlineLvl w:val="0"/>
              <w:rPr>
                <w:b/>
                <w:sz w:val="24"/>
              </w:rPr>
            </w:pPr>
            <w:r>
              <w:rPr>
                <w:rFonts w:hint="eastAsia" w:hAnsi="宋体"/>
                <w:b/>
                <w:sz w:val="24"/>
              </w:rPr>
              <w:t>一、施工期污染物排放与防治措施</w:t>
            </w:r>
          </w:p>
          <w:p>
            <w:pPr>
              <w:spacing w:line="360" w:lineRule="auto"/>
              <w:ind w:firstLine="470" w:firstLineChars="196"/>
              <w:rPr>
                <w:rFonts w:hAnsi="宋体"/>
                <w:bCs/>
                <w:sz w:val="24"/>
              </w:rPr>
            </w:pPr>
            <w:r>
              <w:rPr>
                <w:rFonts w:hint="eastAsia" w:hAnsi="宋体"/>
                <w:sz w:val="24"/>
              </w:rPr>
              <w:t>项目施工期主要污染因素有大气、废水、噪声、固体废物</w:t>
            </w:r>
            <w:r>
              <w:rPr>
                <w:rFonts w:hint="eastAsia" w:hAnsi="宋体"/>
                <w:bCs/>
                <w:sz w:val="24"/>
              </w:rPr>
              <w:t>，这些影响是临时的，随着施工结束，影响随之消除。</w:t>
            </w:r>
          </w:p>
          <w:p>
            <w:pPr>
              <w:spacing w:line="360" w:lineRule="auto"/>
              <w:ind w:firstLine="470" w:firstLineChars="196"/>
              <w:rPr>
                <w:rFonts w:hAnsi="宋体"/>
                <w:bCs/>
                <w:sz w:val="24"/>
              </w:rPr>
            </w:pPr>
            <w:r>
              <w:rPr>
                <w:rFonts w:hint="eastAsia" w:hAnsi="宋体"/>
                <w:bCs/>
                <w:sz w:val="24"/>
              </w:rPr>
              <w:t>1、施工前期环境保护措施要求</w:t>
            </w:r>
          </w:p>
          <w:p>
            <w:pPr>
              <w:spacing w:line="360" w:lineRule="auto"/>
              <w:ind w:firstLine="470" w:firstLineChars="196"/>
              <w:rPr>
                <w:bCs/>
                <w:sz w:val="24"/>
              </w:rPr>
            </w:pPr>
            <w:r>
              <w:rPr>
                <w:bCs/>
                <w:sz w:val="24"/>
              </w:rPr>
              <w:t>为降低工程建设对周围环境的影响，本次环评对施工提出以下要求：</w:t>
            </w:r>
          </w:p>
          <w:p>
            <w:pPr>
              <w:spacing w:line="360" w:lineRule="auto"/>
              <w:ind w:firstLine="470" w:firstLineChars="196"/>
              <w:rPr>
                <w:bCs/>
                <w:sz w:val="24"/>
              </w:rPr>
            </w:pPr>
            <w:r>
              <w:rPr>
                <w:rFonts w:hint="eastAsia"/>
                <w:bCs/>
                <w:sz w:val="24"/>
              </w:rPr>
              <w:t>（1）</w:t>
            </w:r>
            <w:r>
              <w:rPr>
                <w:bCs/>
                <w:sz w:val="24"/>
              </w:rPr>
              <w:t>依据设计及现场调查，拟建项目工程量较小，为减少施工营地的布置数量</w:t>
            </w:r>
            <w:r>
              <w:rPr>
                <w:rFonts w:hint="eastAsia"/>
                <w:bCs/>
                <w:sz w:val="24"/>
              </w:rPr>
              <w:t>，</w:t>
            </w:r>
            <w:r>
              <w:rPr>
                <w:bCs/>
                <w:sz w:val="24"/>
              </w:rPr>
              <w:t>减少施工临时占地，本环评要求建设单位招标一家施工单位，</w:t>
            </w:r>
            <w:r>
              <w:rPr>
                <w:rFonts w:hint="eastAsia"/>
                <w:bCs/>
                <w:sz w:val="24"/>
              </w:rPr>
              <w:t>不设置</w:t>
            </w:r>
            <w:r>
              <w:rPr>
                <w:bCs/>
                <w:sz w:val="24"/>
              </w:rPr>
              <w:t>施工</w:t>
            </w:r>
            <w:r>
              <w:rPr>
                <w:rFonts w:hint="eastAsia"/>
                <w:bCs/>
                <w:sz w:val="24"/>
              </w:rPr>
              <w:t>生活</w:t>
            </w:r>
            <w:r>
              <w:rPr>
                <w:bCs/>
                <w:sz w:val="24"/>
              </w:rPr>
              <w:t>营地。</w:t>
            </w:r>
          </w:p>
          <w:p>
            <w:pPr>
              <w:spacing w:line="360" w:lineRule="auto"/>
              <w:ind w:firstLine="470" w:firstLineChars="196"/>
              <w:rPr>
                <w:bCs/>
                <w:sz w:val="24"/>
              </w:rPr>
            </w:pPr>
            <w:r>
              <w:rPr>
                <w:bCs/>
                <w:sz w:val="24"/>
              </w:rPr>
              <w:t>依据现场调查，并结合此类项目施工特点，对施工</w:t>
            </w:r>
            <w:r>
              <w:rPr>
                <w:rFonts w:hint="eastAsia"/>
                <w:bCs/>
                <w:sz w:val="24"/>
              </w:rPr>
              <w:t>过程</w:t>
            </w:r>
            <w:r>
              <w:rPr>
                <w:bCs/>
                <w:sz w:val="24"/>
              </w:rPr>
              <w:t>提出以下措施：</w:t>
            </w:r>
          </w:p>
          <w:p>
            <w:pPr>
              <w:spacing w:line="360" w:lineRule="auto"/>
              <w:ind w:firstLine="470" w:firstLineChars="196"/>
              <w:rPr>
                <w:bCs/>
                <w:sz w:val="24"/>
              </w:rPr>
            </w:pPr>
            <w:r>
              <w:rPr>
                <w:rFonts w:hint="eastAsia"/>
                <w:bCs/>
                <w:sz w:val="24"/>
              </w:rPr>
              <w:t>①</w:t>
            </w:r>
            <w:r>
              <w:rPr>
                <w:bCs/>
                <w:sz w:val="24"/>
              </w:rPr>
              <w:t>施工</w:t>
            </w:r>
            <w:r>
              <w:rPr>
                <w:rFonts w:hint="eastAsia"/>
                <w:bCs/>
                <w:sz w:val="24"/>
              </w:rPr>
              <w:t>工人生活依托东风村镇，产生的生活污水和生活垃圾依托东风村公用设施解决。</w:t>
            </w:r>
          </w:p>
          <w:p>
            <w:pPr>
              <w:spacing w:line="360" w:lineRule="auto"/>
              <w:ind w:firstLine="470" w:firstLineChars="196"/>
              <w:rPr>
                <w:bCs/>
                <w:sz w:val="24"/>
              </w:rPr>
            </w:pPr>
            <w:r>
              <w:rPr>
                <w:rFonts w:hint="eastAsia"/>
                <w:bCs/>
                <w:sz w:val="24"/>
              </w:rPr>
              <w:t>②</w:t>
            </w:r>
            <w:r>
              <w:rPr>
                <w:bCs/>
                <w:sz w:val="24"/>
              </w:rPr>
              <w:t>施工</w:t>
            </w:r>
            <w:r>
              <w:rPr>
                <w:rFonts w:hint="eastAsia"/>
                <w:bCs/>
                <w:sz w:val="24"/>
              </w:rPr>
              <w:t>过程产生的建筑垃圾，即产即清，减少临时堆场对环境的影响</w:t>
            </w:r>
            <w:r>
              <w:rPr>
                <w:bCs/>
                <w:sz w:val="24"/>
              </w:rPr>
              <w:t>。</w:t>
            </w:r>
          </w:p>
          <w:p>
            <w:pPr>
              <w:spacing w:line="360" w:lineRule="auto"/>
              <w:ind w:firstLine="470" w:firstLineChars="196"/>
              <w:rPr>
                <w:bCs/>
                <w:sz w:val="24"/>
              </w:rPr>
            </w:pPr>
            <w:r>
              <w:rPr>
                <w:bCs/>
                <w:sz w:val="24"/>
              </w:rPr>
              <w:t>（</w:t>
            </w:r>
            <w:r>
              <w:rPr>
                <w:rFonts w:hint="eastAsia"/>
                <w:bCs/>
                <w:sz w:val="24"/>
              </w:rPr>
              <w:t>2</w:t>
            </w:r>
            <w:r>
              <w:rPr>
                <w:bCs/>
                <w:sz w:val="24"/>
              </w:rPr>
              <w:t>）项目所在地位于</w:t>
            </w:r>
            <w:r>
              <w:rPr>
                <w:rFonts w:hint="eastAsia"/>
                <w:bCs/>
                <w:sz w:val="24"/>
              </w:rPr>
              <w:t>宁县太昌镇</w:t>
            </w:r>
            <w:r>
              <w:rPr>
                <w:bCs/>
                <w:sz w:val="24"/>
              </w:rPr>
              <w:t>，工程所需砂、石料、水泥等建筑材料全部就近由</w:t>
            </w:r>
            <w:r>
              <w:rPr>
                <w:rFonts w:hint="eastAsia"/>
                <w:bCs/>
                <w:sz w:val="24"/>
              </w:rPr>
              <w:t>宁</w:t>
            </w:r>
            <w:r>
              <w:rPr>
                <w:bCs/>
                <w:sz w:val="24"/>
              </w:rPr>
              <w:t>县或西峰区购买，依托现有公路运至施工现场。拟建项目采用商砼，不设混凝土搅拌</w:t>
            </w:r>
            <w:r>
              <w:rPr>
                <w:rFonts w:hint="eastAsia"/>
                <w:bCs/>
                <w:sz w:val="24"/>
              </w:rPr>
              <w:t>，不设临时沥青拌合站</w:t>
            </w:r>
            <w:r>
              <w:rPr>
                <w:bCs/>
                <w:sz w:val="24"/>
              </w:rPr>
              <w:t>。</w:t>
            </w:r>
          </w:p>
          <w:p>
            <w:pPr>
              <w:spacing w:line="360" w:lineRule="auto"/>
              <w:ind w:firstLine="470" w:firstLineChars="196"/>
              <w:rPr>
                <w:bCs/>
                <w:sz w:val="24"/>
              </w:rPr>
            </w:pPr>
            <w:r>
              <w:rPr>
                <w:bCs/>
                <w:sz w:val="24"/>
              </w:rPr>
              <w:t>（</w:t>
            </w:r>
            <w:r>
              <w:rPr>
                <w:rFonts w:hint="eastAsia"/>
                <w:bCs/>
                <w:sz w:val="24"/>
              </w:rPr>
              <w:t>3</w:t>
            </w:r>
            <w:r>
              <w:rPr>
                <w:bCs/>
                <w:sz w:val="24"/>
              </w:rPr>
              <w:t>）工程给水及用电均依托现有供水及供电电网。在施工期间应设置警示标志和道路通行标志。</w:t>
            </w:r>
          </w:p>
          <w:p>
            <w:pPr>
              <w:spacing w:line="360" w:lineRule="auto"/>
              <w:ind w:firstLine="470" w:firstLineChars="196"/>
              <w:rPr>
                <w:bCs/>
                <w:sz w:val="24"/>
              </w:rPr>
            </w:pPr>
            <w:r>
              <w:rPr>
                <w:bCs/>
                <w:sz w:val="24"/>
              </w:rPr>
              <w:t>（</w:t>
            </w:r>
            <w:r>
              <w:rPr>
                <w:rFonts w:hint="eastAsia"/>
                <w:bCs/>
                <w:sz w:val="24"/>
              </w:rPr>
              <w:t>4</w:t>
            </w:r>
            <w:r>
              <w:rPr>
                <w:bCs/>
                <w:sz w:val="24"/>
              </w:rPr>
              <w:t>）从环境保护角度和工程建设综合考虑，合理安排施工方案，减少施工期环境影响。</w:t>
            </w:r>
          </w:p>
          <w:p>
            <w:pPr>
              <w:spacing w:line="360" w:lineRule="auto"/>
              <w:ind w:firstLine="470" w:firstLineChars="196"/>
              <w:rPr>
                <w:bCs/>
                <w:sz w:val="24"/>
              </w:rPr>
            </w:pPr>
            <w:r>
              <w:rPr>
                <w:bCs/>
                <w:sz w:val="24"/>
              </w:rPr>
              <w:t>（</w:t>
            </w:r>
            <w:r>
              <w:rPr>
                <w:rFonts w:hint="eastAsia"/>
                <w:bCs/>
                <w:sz w:val="24"/>
              </w:rPr>
              <w:t>5</w:t>
            </w:r>
            <w:r>
              <w:rPr>
                <w:bCs/>
                <w:sz w:val="24"/>
              </w:rPr>
              <w:t>）施工时临时占地应按要求占用土地，严禁随意扩大占地范围。</w:t>
            </w:r>
          </w:p>
          <w:p>
            <w:pPr>
              <w:spacing w:line="360" w:lineRule="auto"/>
              <w:ind w:firstLine="470" w:firstLineChars="196"/>
              <w:rPr>
                <w:sz w:val="24"/>
              </w:rPr>
            </w:pPr>
            <w:r>
              <w:rPr>
                <w:rFonts w:hint="eastAsia"/>
                <w:sz w:val="24"/>
              </w:rPr>
              <w:t>2</w:t>
            </w:r>
            <w:r>
              <w:rPr>
                <w:rFonts w:hint="eastAsia" w:hAnsi="宋体"/>
                <w:sz w:val="24"/>
              </w:rPr>
              <w:t>、废水排放与防治措施</w:t>
            </w:r>
          </w:p>
          <w:p>
            <w:pPr>
              <w:spacing w:line="360" w:lineRule="auto"/>
              <w:ind w:firstLine="480" w:firstLineChars="200"/>
              <w:rPr>
                <w:rFonts w:hAnsi="宋体"/>
                <w:sz w:val="24"/>
              </w:rPr>
            </w:pPr>
            <w:r>
              <w:rPr>
                <w:rFonts w:hint="eastAsia" w:hAnsi="宋体"/>
                <w:sz w:val="24"/>
              </w:rPr>
              <w:t>项目施工过程中会产生少量的施工废水、管道建成后的试压废水和施工人员的生活污水。</w:t>
            </w:r>
            <w:r>
              <w:rPr>
                <w:rFonts w:hAnsi="宋体"/>
                <w:sz w:val="24"/>
              </w:rPr>
              <w:t>施工营地不设生活区，施工人员生活依托</w:t>
            </w:r>
            <w:r>
              <w:rPr>
                <w:rFonts w:hint="eastAsia" w:hAnsi="宋体"/>
                <w:sz w:val="24"/>
              </w:rPr>
              <w:t>东风村镇</w:t>
            </w:r>
            <w:r>
              <w:rPr>
                <w:rFonts w:hAnsi="宋体"/>
                <w:sz w:val="24"/>
              </w:rPr>
              <w:t>，生活污水依托</w:t>
            </w:r>
            <w:r>
              <w:rPr>
                <w:rFonts w:hint="eastAsia" w:hAnsi="宋体"/>
                <w:sz w:val="24"/>
              </w:rPr>
              <w:t>东风村</w:t>
            </w:r>
            <w:r>
              <w:rPr>
                <w:rFonts w:hAnsi="宋体"/>
                <w:sz w:val="24"/>
              </w:rPr>
              <w:t>公用设施解决</w:t>
            </w:r>
            <w:r>
              <w:rPr>
                <w:rFonts w:hint="eastAsia" w:hAnsi="宋体"/>
                <w:sz w:val="24"/>
              </w:rPr>
              <w:t>；施工废水包括打桩、钻孔泥浆水和施工机具、器械清洗水等工程废水，</w:t>
            </w:r>
            <w:r>
              <w:rPr>
                <w:rFonts w:hint="eastAsia"/>
                <w:sz w:val="24"/>
              </w:rPr>
              <w:t>施工前修建临时沉淀池一座，施工生产废水经沉淀池后全部回用，不外排；</w:t>
            </w:r>
            <w:r>
              <w:rPr>
                <w:rFonts w:hint="eastAsia" w:hAnsi="宋体"/>
                <w:sz w:val="24"/>
              </w:rPr>
              <w:t>试压废水排入临时沉淀池收集，待污水处理站投入运行前排入污水处理环节处理达标后排放或回用。</w:t>
            </w:r>
            <w:r>
              <w:rPr>
                <w:rFonts w:hAnsi="宋体"/>
                <w:sz w:val="24"/>
              </w:rPr>
              <w:t>经采取上述有效措施后，项目施工期污水对周边环境以及地表水体的影响很小。</w:t>
            </w:r>
          </w:p>
          <w:p>
            <w:pPr>
              <w:spacing w:line="360" w:lineRule="auto"/>
              <w:ind w:firstLine="480" w:firstLineChars="200"/>
              <w:rPr>
                <w:sz w:val="24"/>
              </w:rPr>
            </w:pPr>
            <w:r>
              <w:rPr>
                <w:rFonts w:hint="eastAsia"/>
                <w:sz w:val="24"/>
              </w:rPr>
              <w:t>3</w:t>
            </w:r>
            <w:r>
              <w:rPr>
                <w:rFonts w:hint="eastAsia" w:hAnsi="宋体"/>
                <w:sz w:val="24"/>
              </w:rPr>
              <w:t>、废气排放与防治措施</w:t>
            </w:r>
          </w:p>
          <w:p>
            <w:pPr>
              <w:spacing w:line="360" w:lineRule="auto"/>
              <w:ind w:firstLine="470" w:firstLineChars="196"/>
              <w:rPr>
                <w:rFonts w:hAnsi="宋体"/>
                <w:sz w:val="24"/>
              </w:rPr>
            </w:pPr>
            <w:r>
              <w:rPr>
                <w:rFonts w:hint="eastAsia" w:hAnsi="宋体"/>
                <w:sz w:val="24"/>
              </w:rPr>
              <w:t>（1）施工场地洒水</w:t>
            </w:r>
          </w:p>
          <w:p>
            <w:pPr>
              <w:spacing w:line="440" w:lineRule="exact"/>
              <w:ind w:firstLine="413" w:firstLineChars="196"/>
              <w:jc w:val="center"/>
              <w:rPr>
                <w:rFonts w:hAnsi="宋体"/>
                <w:b/>
                <w:szCs w:val="21"/>
              </w:rPr>
            </w:pPr>
            <w:r>
              <w:rPr>
                <w:rFonts w:hAnsi="宋体"/>
                <w:b/>
                <w:szCs w:val="21"/>
              </w:rPr>
              <w:t>表</w:t>
            </w:r>
            <w:r>
              <w:rPr>
                <w:rFonts w:hint="eastAsia" w:hAnsi="宋体"/>
                <w:b/>
                <w:szCs w:val="21"/>
              </w:rPr>
              <w:t>66</w:t>
            </w:r>
            <w:r>
              <w:rPr>
                <w:rFonts w:hAnsi="宋体"/>
                <w:b/>
                <w:szCs w:val="21"/>
              </w:rPr>
              <w:t xml:space="preserve">   施工场地洒水抑尘试验结果</w:t>
            </w:r>
          </w:p>
          <w:tbl>
            <w:tblPr>
              <w:tblStyle w:val="35"/>
              <w:tblW w:w="830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74"/>
              <w:gridCol w:w="1497"/>
              <w:gridCol w:w="1274"/>
              <w:gridCol w:w="1081"/>
              <w:gridCol w:w="1081"/>
              <w:gridCol w:w="89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3971" w:type="dxa"/>
                  <w:gridSpan w:val="2"/>
                  <w:vAlign w:val="center"/>
                </w:tcPr>
                <w:p>
                  <w:pPr>
                    <w:spacing w:line="300" w:lineRule="exact"/>
                    <w:jc w:val="center"/>
                    <w:outlineLvl w:val="2"/>
                    <w:rPr>
                      <w:b/>
                      <w:szCs w:val="21"/>
                    </w:rPr>
                  </w:pPr>
                  <w:r>
                    <w:rPr>
                      <w:rFonts w:hAnsi="宋体"/>
                      <w:b/>
                      <w:szCs w:val="21"/>
                    </w:rPr>
                    <w:t>距离（</w:t>
                  </w:r>
                  <w:r>
                    <w:rPr>
                      <w:b/>
                      <w:szCs w:val="21"/>
                    </w:rPr>
                    <w:t>m</w:t>
                  </w:r>
                  <w:r>
                    <w:rPr>
                      <w:rFonts w:hAnsi="宋体"/>
                      <w:b/>
                      <w:szCs w:val="21"/>
                    </w:rPr>
                    <w:t>）</w:t>
                  </w:r>
                </w:p>
              </w:tc>
              <w:tc>
                <w:tcPr>
                  <w:tcW w:w="1274" w:type="dxa"/>
                  <w:vAlign w:val="center"/>
                </w:tcPr>
                <w:p>
                  <w:pPr>
                    <w:spacing w:line="300" w:lineRule="exact"/>
                    <w:jc w:val="center"/>
                    <w:outlineLvl w:val="2"/>
                    <w:rPr>
                      <w:b/>
                      <w:szCs w:val="21"/>
                    </w:rPr>
                  </w:pPr>
                  <w:r>
                    <w:rPr>
                      <w:b/>
                      <w:szCs w:val="21"/>
                    </w:rPr>
                    <w:t>5</w:t>
                  </w:r>
                </w:p>
              </w:tc>
              <w:tc>
                <w:tcPr>
                  <w:tcW w:w="1081" w:type="dxa"/>
                  <w:vAlign w:val="center"/>
                </w:tcPr>
                <w:p>
                  <w:pPr>
                    <w:spacing w:line="300" w:lineRule="exact"/>
                    <w:jc w:val="center"/>
                    <w:outlineLvl w:val="2"/>
                    <w:rPr>
                      <w:b/>
                      <w:szCs w:val="21"/>
                    </w:rPr>
                  </w:pPr>
                  <w:r>
                    <w:rPr>
                      <w:b/>
                      <w:szCs w:val="21"/>
                    </w:rPr>
                    <w:t>20</w:t>
                  </w:r>
                </w:p>
              </w:tc>
              <w:tc>
                <w:tcPr>
                  <w:tcW w:w="1081" w:type="dxa"/>
                  <w:vAlign w:val="center"/>
                </w:tcPr>
                <w:p>
                  <w:pPr>
                    <w:spacing w:line="300" w:lineRule="exact"/>
                    <w:jc w:val="center"/>
                    <w:outlineLvl w:val="2"/>
                    <w:rPr>
                      <w:b/>
                      <w:szCs w:val="21"/>
                    </w:rPr>
                  </w:pPr>
                  <w:r>
                    <w:rPr>
                      <w:b/>
                      <w:szCs w:val="21"/>
                    </w:rPr>
                    <w:t>50</w:t>
                  </w:r>
                </w:p>
              </w:tc>
              <w:tc>
                <w:tcPr>
                  <w:tcW w:w="899" w:type="dxa"/>
                  <w:vAlign w:val="center"/>
                </w:tcPr>
                <w:p>
                  <w:pPr>
                    <w:spacing w:line="300" w:lineRule="exact"/>
                    <w:jc w:val="center"/>
                    <w:outlineLvl w:val="2"/>
                    <w:rPr>
                      <w:b/>
                      <w:szCs w:val="21"/>
                    </w:rPr>
                  </w:pPr>
                  <w:r>
                    <w:rPr>
                      <w:b/>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474" w:type="dxa"/>
                  <w:vMerge w:val="restart"/>
                  <w:vAlign w:val="center"/>
                </w:tcPr>
                <w:p>
                  <w:pPr>
                    <w:spacing w:line="300" w:lineRule="exact"/>
                    <w:jc w:val="center"/>
                    <w:outlineLvl w:val="2"/>
                    <w:rPr>
                      <w:szCs w:val="21"/>
                    </w:rPr>
                  </w:pPr>
                  <w:r>
                    <w:rPr>
                      <w:szCs w:val="21"/>
                    </w:rPr>
                    <w:t>TSP</w:t>
                  </w:r>
                  <w:r>
                    <w:rPr>
                      <w:rFonts w:hAnsi="宋体"/>
                      <w:szCs w:val="21"/>
                    </w:rPr>
                    <w:t>小时浓度（</w:t>
                  </w:r>
                  <w:r>
                    <w:rPr>
                      <w:szCs w:val="21"/>
                    </w:rPr>
                    <w:t>mg/m</w:t>
                  </w:r>
                  <w:r>
                    <w:rPr>
                      <w:szCs w:val="21"/>
                      <w:vertAlign w:val="superscript"/>
                    </w:rPr>
                    <w:t>3</w:t>
                  </w:r>
                  <w:r>
                    <w:rPr>
                      <w:rFonts w:hAnsi="宋体"/>
                      <w:szCs w:val="21"/>
                    </w:rPr>
                    <w:t>）</w:t>
                  </w:r>
                </w:p>
              </w:tc>
              <w:tc>
                <w:tcPr>
                  <w:tcW w:w="1497" w:type="dxa"/>
                  <w:vAlign w:val="center"/>
                </w:tcPr>
                <w:p>
                  <w:pPr>
                    <w:spacing w:line="300" w:lineRule="exact"/>
                    <w:jc w:val="center"/>
                    <w:outlineLvl w:val="2"/>
                    <w:rPr>
                      <w:szCs w:val="21"/>
                    </w:rPr>
                  </w:pPr>
                  <w:r>
                    <w:rPr>
                      <w:rFonts w:hAnsi="宋体"/>
                      <w:szCs w:val="21"/>
                    </w:rPr>
                    <w:t>不洒水</w:t>
                  </w:r>
                </w:p>
              </w:tc>
              <w:tc>
                <w:tcPr>
                  <w:tcW w:w="1274" w:type="dxa"/>
                  <w:vAlign w:val="center"/>
                </w:tcPr>
                <w:p>
                  <w:pPr>
                    <w:spacing w:line="300" w:lineRule="exact"/>
                    <w:jc w:val="center"/>
                    <w:outlineLvl w:val="2"/>
                    <w:rPr>
                      <w:szCs w:val="21"/>
                    </w:rPr>
                  </w:pPr>
                  <w:r>
                    <w:rPr>
                      <w:szCs w:val="21"/>
                    </w:rPr>
                    <w:t>10.14</w:t>
                  </w:r>
                </w:p>
              </w:tc>
              <w:tc>
                <w:tcPr>
                  <w:tcW w:w="1081" w:type="dxa"/>
                  <w:vAlign w:val="center"/>
                </w:tcPr>
                <w:p>
                  <w:pPr>
                    <w:spacing w:line="300" w:lineRule="exact"/>
                    <w:jc w:val="center"/>
                    <w:outlineLvl w:val="2"/>
                    <w:rPr>
                      <w:szCs w:val="21"/>
                    </w:rPr>
                  </w:pPr>
                  <w:r>
                    <w:rPr>
                      <w:szCs w:val="21"/>
                    </w:rPr>
                    <w:t>2.89</w:t>
                  </w:r>
                </w:p>
              </w:tc>
              <w:tc>
                <w:tcPr>
                  <w:tcW w:w="1081" w:type="dxa"/>
                  <w:vAlign w:val="center"/>
                </w:tcPr>
                <w:p>
                  <w:pPr>
                    <w:spacing w:line="300" w:lineRule="exact"/>
                    <w:jc w:val="center"/>
                    <w:outlineLvl w:val="2"/>
                    <w:rPr>
                      <w:szCs w:val="21"/>
                    </w:rPr>
                  </w:pPr>
                  <w:r>
                    <w:rPr>
                      <w:szCs w:val="21"/>
                    </w:rPr>
                    <w:t>1.15</w:t>
                  </w:r>
                </w:p>
              </w:tc>
              <w:tc>
                <w:tcPr>
                  <w:tcW w:w="899" w:type="dxa"/>
                  <w:vAlign w:val="center"/>
                </w:tcPr>
                <w:p>
                  <w:pPr>
                    <w:spacing w:line="300" w:lineRule="exact"/>
                    <w:jc w:val="center"/>
                    <w:outlineLvl w:val="2"/>
                    <w:rPr>
                      <w:szCs w:val="21"/>
                    </w:rPr>
                  </w:pPr>
                  <w:r>
                    <w:rPr>
                      <w:szCs w:val="21"/>
                    </w:rPr>
                    <w:t>0.86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474" w:type="dxa"/>
                  <w:vMerge w:val="continue"/>
                  <w:vAlign w:val="center"/>
                </w:tcPr>
                <w:p>
                  <w:pPr>
                    <w:spacing w:line="300" w:lineRule="exact"/>
                    <w:jc w:val="center"/>
                    <w:outlineLvl w:val="2"/>
                    <w:rPr>
                      <w:szCs w:val="21"/>
                    </w:rPr>
                  </w:pPr>
                </w:p>
              </w:tc>
              <w:tc>
                <w:tcPr>
                  <w:tcW w:w="1497" w:type="dxa"/>
                  <w:vAlign w:val="center"/>
                </w:tcPr>
                <w:p>
                  <w:pPr>
                    <w:spacing w:line="300" w:lineRule="exact"/>
                    <w:jc w:val="center"/>
                    <w:outlineLvl w:val="2"/>
                    <w:rPr>
                      <w:szCs w:val="21"/>
                    </w:rPr>
                  </w:pPr>
                  <w:r>
                    <w:rPr>
                      <w:rFonts w:hAnsi="宋体"/>
                      <w:szCs w:val="21"/>
                    </w:rPr>
                    <w:t>洒水</w:t>
                  </w:r>
                </w:p>
              </w:tc>
              <w:tc>
                <w:tcPr>
                  <w:tcW w:w="1274" w:type="dxa"/>
                  <w:vAlign w:val="center"/>
                </w:tcPr>
                <w:p>
                  <w:pPr>
                    <w:spacing w:line="300" w:lineRule="exact"/>
                    <w:jc w:val="center"/>
                    <w:outlineLvl w:val="2"/>
                    <w:rPr>
                      <w:szCs w:val="21"/>
                    </w:rPr>
                  </w:pPr>
                  <w:r>
                    <w:rPr>
                      <w:szCs w:val="21"/>
                    </w:rPr>
                    <w:t>2.01</w:t>
                  </w:r>
                </w:p>
              </w:tc>
              <w:tc>
                <w:tcPr>
                  <w:tcW w:w="1081" w:type="dxa"/>
                  <w:vAlign w:val="center"/>
                </w:tcPr>
                <w:p>
                  <w:pPr>
                    <w:spacing w:line="300" w:lineRule="exact"/>
                    <w:jc w:val="center"/>
                    <w:outlineLvl w:val="2"/>
                    <w:rPr>
                      <w:szCs w:val="21"/>
                    </w:rPr>
                  </w:pPr>
                  <w:r>
                    <w:rPr>
                      <w:szCs w:val="21"/>
                    </w:rPr>
                    <w:t>1.40</w:t>
                  </w:r>
                </w:p>
              </w:tc>
              <w:tc>
                <w:tcPr>
                  <w:tcW w:w="1081" w:type="dxa"/>
                  <w:vAlign w:val="center"/>
                </w:tcPr>
                <w:p>
                  <w:pPr>
                    <w:spacing w:line="300" w:lineRule="exact"/>
                    <w:jc w:val="center"/>
                    <w:outlineLvl w:val="2"/>
                    <w:rPr>
                      <w:szCs w:val="21"/>
                    </w:rPr>
                  </w:pPr>
                  <w:r>
                    <w:rPr>
                      <w:szCs w:val="21"/>
                    </w:rPr>
                    <w:t>0.67</w:t>
                  </w:r>
                </w:p>
              </w:tc>
              <w:tc>
                <w:tcPr>
                  <w:tcW w:w="899" w:type="dxa"/>
                  <w:vAlign w:val="center"/>
                </w:tcPr>
                <w:p>
                  <w:pPr>
                    <w:spacing w:line="300" w:lineRule="exact"/>
                    <w:jc w:val="center"/>
                    <w:outlineLvl w:val="2"/>
                    <w:rPr>
                      <w:szCs w:val="21"/>
                    </w:rPr>
                  </w:pPr>
                  <w:r>
                    <w:rPr>
                      <w:szCs w:val="21"/>
                    </w:rPr>
                    <w:t>0.60</w:t>
                  </w:r>
                </w:p>
              </w:tc>
            </w:tr>
          </w:tbl>
          <w:p>
            <w:pPr>
              <w:spacing w:line="360" w:lineRule="auto"/>
              <w:ind w:firstLine="470" w:firstLineChars="196"/>
              <w:rPr>
                <w:rFonts w:hAnsi="宋体"/>
                <w:sz w:val="24"/>
              </w:rPr>
            </w:pPr>
            <w:r>
              <w:rPr>
                <w:rFonts w:hAnsi="宋体"/>
                <w:sz w:val="24"/>
              </w:rPr>
              <w:t>由表</w:t>
            </w:r>
            <w:r>
              <w:rPr>
                <w:rFonts w:hint="eastAsia" w:hAnsi="宋体"/>
                <w:sz w:val="24"/>
              </w:rPr>
              <w:t>66</w:t>
            </w:r>
            <w:r>
              <w:rPr>
                <w:rFonts w:hAnsi="宋体"/>
                <w:sz w:val="24"/>
              </w:rPr>
              <w:t>可知，施工场地采取洒水降尘措施后，可使扬尘量减少80%左右，扬尘造成的TSP污染距离可缩小到20～50m范围，从源头上降低了无组织污染物排放量。因此，由施工单位配备1辆洒水车，定期对施工场地洒水以减少扬尘的飞扬。洒水次数根据天气情况而定，一般原则每天早（7:30～8:30）、中（12:00～13:00）、晚（17:30～19:00）上下班高峰期各洒水一次，洒水抑尘应不少于1日3次，在干燥天气，加大场内洒水降尘频次。</w:t>
            </w:r>
          </w:p>
          <w:p>
            <w:pPr>
              <w:spacing w:line="360" w:lineRule="auto"/>
              <w:ind w:firstLine="470" w:firstLineChars="196"/>
              <w:rPr>
                <w:rFonts w:hAnsi="宋体"/>
                <w:sz w:val="24"/>
              </w:rPr>
            </w:pPr>
            <w:r>
              <w:rPr>
                <w:rFonts w:hAnsi="宋体"/>
                <w:sz w:val="24"/>
              </w:rPr>
              <w:t>（2）防风抑尘</w:t>
            </w:r>
          </w:p>
          <w:p>
            <w:pPr>
              <w:spacing w:line="360" w:lineRule="auto"/>
              <w:ind w:firstLine="470" w:firstLineChars="196"/>
              <w:rPr>
                <w:rFonts w:hAnsi="宋体"/>
                <w:sz w:val="24"/>
              </w:rPr>
            </w:pPr>
            <w:r>
              <w:rPr>
                <w:rFonts w:hAnsi="宋体"/>
                <w:sz w:val="24"/>
              </w:rPr>
              <w:t>土石方开挖阶段，应在施工时配备洒水车，对施工作业面适时洒水降尘，对裸露作业面、临时堆土场应设置防尘网等措施。施工期还要注意控制土方、物料运输过程中产生的二次扬尘，在土方、物料运输时加盖篷布以防止扬尘产生，引起二次污染。施工区段四周设置2m高的围墙，施工场地实行封闭式施工。尤其是石灰在消解、取用过程中应采取措施防止扬尘过大，防止大气污染对周围环境及周边自然植被的破坏。</w:t>
            </w:r>
          </w:p>
          <w:p>
            <w:pPr>
              <w:spacing w:line="360" w:lineRule="auto"/>
              <w:ind w:firstLine="470" w:firstLineChars="196"/>
              <w:rPr>
                <w:rFonts w:hAnsi="宋体"/>
                <w:sz w:val="24"/>
              </w:rPr>
            </w:pPr>
            <w:r>
              <w:rPr>
                <w:rFonts w:hAnsi="宋体"/>
                <w:sz w:val="24"/>
              </w:rPr>
              <w:t>（3）限制车速</w:t>
            </w:r>
          </w:p>
          <w:p>
            <w:pPr>
              <w:spacing w:line="360" w:lineRule="auto"/>
              <w:ind w:firstLine="470" w:firstLineChars="196"/>
              <w:rPr>
                <w:rFonts w:hAnsi="宋体"/>
                <w:sz w:val="24"/>
              </w:rPr>
            </w:pPr>
            <w:r>
              <w:rPr>
                <w:rFonts w:hAnsi="宋体"/>
                <w:sz w:val="24"/>
              </w:rPr>
              <w:t>根据不同车速、相同地面清洁程度下汽车扬尘量，车速越慢，扬尘量越小。考虑到工程车辆场外运输在现有道路上行驶，为减少运输途中的撒漏，禁止车辆超载，车速控制在20km/h以内，尤其是途径环境敏感点</w:t>
            </w:r>
            <w:r>
              <w:rPr>
                <w:rFonts w:hint="eastAsia" w:hAnsi="宋体"/>
                <w:sz w:val="24"/>
              </w:rPr>
              <w:t>（宁县太昌镇政府、沿路居民、学校）</w:t>
            </w:r>
            <w:r>
              <w:rPr>
                <w:rFonts w:hAnsi="宋体"/>
                <w:sz w:val="24"/>
              </w:rPr>
              <w:t>尽量低速行驶，可有效减少起尘量。施工区车辆运输便道进行硬化，设置</w:t>
            </w:r>
            <w:r>
              <w:rPr>
                <w:rFonts w:hint="eastAsia" w:hAnsi="宋体"/>
                <w:sz w:val="24"/>
              </w:rPr>
              <w:t>临时沉淀池</w:t>
            </w:r>
            <w:r>
              <w:rPr>
                <w:rFonts w:hAnsi="宋体"/>
                <w:sz w:val="24"/>
              </w:rPr>
              <w:t>，进出车辆必须清洁。</w:t>
            </w:r>
          </w:p>
          <w:p>
            <w:pPr>
              <w:spacing w:line="360" w:lineRule="auto"/>
              <w:ind w:firstLine="470" w:firstLineChars="196"/>
              <w:rPr>
                <w:rFonts w:hAnsi="宋体"/>
                <w:sz w:val="24"/>
              </w:rPr>
            </w:pPr>
            <w:r>
              <w:rPr>
                <w:rFonts w:hAnsi="宋体"/>
                <w:sz w:val="24"/>
              </w:rPr>
              <w:t>（4）保持施工道路清洁</w:t>
            </w:r>
          </w:p>
          <w:p>
            <w:pPr>
              <w:spacing w:line="360" w:lineRule="auto"/>
              <w:ind w:firstLine="470" w:firstLineChars="196"/>
              <w:rPr>
                <w:rFonts w:hAnsi="宋体"/>
                <w:sz w:val="24"/>
              </w:rPr>
            </w:pPr>
            <w:r>
              <w:rPr>
                <w:rFonts w:hAnsi="宋体"/>
                <w:sz w:val="24"/>
              </w:rPr>
              <w:t>为了减少施工扬尘，必须保持施工场地、进出道路的清洁，设有专人清扫。可通过及时洒水夯实，对施工车辆及时清洗、禁止超载、防止洒落等有效措施来保持场地路面的清洁，同时施工中做到有计划开挖，有计划回填，减少表面裸土，场地开挖、填充及时夯实，减少无组织尘源。</w:t>
            </w:r>
          </w:p>
          <w:p>
            <w:pPr>
              <w:spacing w:line="360" w:lineRule="auto"/>
              <w:ind w:firstLine="470" w:firstLineChars="196"/>
              <w:rPr>
                <w:rFonts w:hAnsi="宋体"/>
                <w:sz w:val="24"/>
              </w:rPr>
            </w:pPr>
            <w:r>
              <w:rPr>
                <w:rFonts w:hAnsi="宋体"/>
                <w:sz w:val="24"/>
              </w:rPr>
              <w:t>（5）避免大风天气作业</w:t>
            </w:r>
          </w:p>
          <w:p>
            <w:pPr>
              <w:spacing w:line="360" w:lineRule="auto"/>
              <w:ind w:firstLine="470" w:firstLineChars="196"/>
              <w:rPr>
                <w:rFonts w:hAnsi="宋体"/>
                <w:sz w:val="24"/>
              </w:rPr>
            </w:pPr>
            <w:r>
              <w:rPr>
                <w:rFonts w:hAnsi="宋体"/>
                <w:sz w:val="24"/>
              </w:rPr>
              <w:t>避免在大风天气下运输土石方、使用水泥、石灰等粉状材料使用，同时水泥、石灰等粉状材料运输过程须采取密闭化运输措施，装卸过程中避免在大风天气下进行。尤其是当风速大于</w:t>
            </w:r>
            <w:r>
              <w:rPr>
                <w:rFonts w:hint="eastAsia" w:hAnsi="宋体"/>
                <w:sz w:val="24"/>
              </w:rPr>
              <w:t>4</w:t>
            </w:r>
            <w:r>
              <w:rPr>
                <w:rFonts w:hAnsi="宋体"/>
                <w:sz w:val="24"/>
              </w:rPr>
              <w:t>级的天气条件下，应停止作业，以便减少施工扬尘对项目所在区域周围环境敏感点居民正常生活的影响。</w:t>
            </w:r>
          </w:p>
          <w:p>
            <w:pPr>
              <w:spacing w:line="360" w:lineRule="auto"/>
              <w:ind w:firstLine="470" w:firstLineChars="196"/>
              <w:rPr>
                <w:rFonts w:hAnsi="宋体"/>
                <w:sz w:val="24"/>
              </w:rPr>
            </w:pPr>
            <w:r>
              <w:rPr>
                <w:rFonts w:hAnsi="宋体"/>
                <w:sz w:val="24"/>
              </w:rPr>
              <w:t>（6）合理利用现有资源，减少现场作业</w:t>
            </w:r>
          </w:p>
          <w:p>
            <w:pPr>
              <w:spacing w:line="360" w:lineRule="auto"/>
              <w:ind w:firstLine="470" w:firstLineChars="196"/>
              <w:rPr>
                <w:rFonts w:hAnsi="宋体"/>
                <w:sz w:val="24"/>
              </w:rPr>
            </w:pPr>
            <w:r>
              <w:rPr>
                <w:rFonts w:hAnsi="宋体"/>
                <w:sz w:val="24"/>
              </w:rPr>
              <w:t>工程建设使用的石灰，要求供货商直接提供熟化好的石灰，现场不进行熟化。</w:t>
            </w:r>
          </w:p>
          <w:p>
            <w:pPr>
              <w:spacing w:line="360" w:lineRule="auto"/>
              <w:ind w:firstLine="470" w:firstLineChars="196"/>
              <w:rPr>
                <w:rFonts w:hAnsi="宋体"/>
                <w:sz w:val="24"/>
              </w:rPr>
            </w:pPr>
            <w:r>
              <w:rPr>
                <w:rFonts w:hAnsi="宋体"/>
                <w:sz w:val="24"/>
              </w:rPr>
              <w:t>（7）粉状材料存储、使用防尘措施</w:t>
            </w:r>
          </w:p>
          <w:p>
            <w:pPr>
              <w:spacing w:line="360" w:lineRule="auto"/>
              <w:ind w:firstLine="470" w:firstLineChars="196"/>
              <w:rPr>
                <w:rFonts w:hAnsi="宋体"/>
                <w:sz w:val="24"/>
              </w:rPr>
            </w:pPr>
            <w:r>
              <w:rPr>
                <w:rFonts w:hAnsi="宋体"/>
                <w:sz w:val="24"/>
              </w:rPr>
              <w:t>①应当在施工工地内堆放灰土、砂石等易产生扬尘污染物料的周围设置不低于堆放物高度的封闭性围拦，并用遮挡材料进行覆盖。多余挖方及时清运，需要回收利用的，堆放时需有遮盖措施。</w:t>
            </w:r>
          </w:p>
          <w:p>
            <w:pPr>
              <w:spacing w:line="360" w:lineRule="auto"/>
              <w:ind w:firstLine="470" w:firstLineChars="196"/>
              <w:rPr>
                <w:rFonts w:hAnsi="宋体"/>
                <w:sz w:val="24"/>
              </w:rPr>
            </w:pPr>
            <w:r>
              <w:rPr>
                <w:rFonts w:hAnsi="宋体"/>
                <w:sz w:val="24"/>
              </w:rPr>
              <w:t>②合理制定施工计划，尽量减少施工营地内粉状材料的存储量。</w:t>
            </w:r>
          </w:p>
          <w:p>
            <w:pPr>
              <w:spacing w:line="360" w:lineRule="auto"/>
              <w:ind w:firstLine="470" w:firstLineChars="196"/>
              <w:rPr>
                <w:rFonts w:hAnsi="宋体"/>
                <w:sz w:val="24"/>
              </w:rPr>
            </w:pPr>
            <w:r>
              <w:rPr>
                <w:rFonts w:hAnsi="宋体"/>
                <w:sz w:val="24"/>
              </w:rPr>
              <w:t>（8）运载建筑材料以及建筑垃圾的车辆应严格执行相关规定</w:t>
            </w:r>
          </w:p>
          <w:p>
            <w:pPr>
              <w:spacing w:line="360" w:lineRule="auto"/>
              <w:ind w:firstLine="470" w:firstLineChars="196"/>
              <w:rPr>
                <w:rFonts w:hAnsi="宋体"/>
                <w:sz w:val="24"/>
              </w:rPr>
            </w:pPr>
            <w:r>
              <w:rPr>
                <w:rFonts w:hAnsi="宋体"/>
                <w:sz w:val="24"/>
              </w:rPr>
              <w:t>①建设、施工单位加强文明施工管理，应设渣土专管员，按照建设和环卫管理部门相关规定负责做好现场规范装运、建筑渣土运输车辆冲洗、工地防尘、工地出入口周边区域保洁等工作。</w:t>
            </w:r>
          </w:p>
          <w:p>
            <w:pPr>
              <w:spacing w:line="360" w:lineRule="auto"/>
              <w:ind w:firstLine="470" w:firstLineChars="196"/>
              <w:rPr>
                <w:rFonts w:hAnsi="宋体"/>
                <w:sz w:val="24"/>
              </w:rPr>
            </w:pPr>
            <w:r>
              <w:rPr>
                <w:rFonts w:hAnsi="宋体"/>
                <w:sz w:val="24"/>
              </w:rPr>
              <w:t>②建筑渣土运输车辆驾驶员应服从建设工地、处置场所现场管理人员的指挥，规范运输作业行为；一般每两周做好建设工地建筑渣土运输处置汇总统计工作。</w:t>
            </w:r>
          </w:p>
          <w:p>
            <w:pPr>
              <w:spacing w:line="360" w:lineRule="auto"/>
              <w:ind w:firstLine="470" w:firstLineChars="196"/>
              <w:rPr>
                <w:rFonts w:hAnsi="宋体"/>
                <w:sz w:val="24"/>
              </w:rPr>
            </w:pPr>
            <w:r>
              <w:rPr>
                <w:rFonts w:hAnsi="宋体"/>
                <w:sz w:val="24"/>
              </w:rPr>
              <w:t>③细料或松散料运输时应用帆布、盖套及类似遮盖物覆盖。</w:t>
            </w:r>
          </w:p>
          <w:p>
            <w:pPr>
              <w:spacing w:line="360" w:lineRule="auto"/>
              <w:ind w:firstLine="470" w:firstLineChars="196"/>
              <w:rPr>
                <w:rFonts w:hAnsi="宋体"/>
                <w:sz w:val="24"/>
              </w:rPr>
            </w:pPr>
            <w:r>
              <w:rPr>
                <w:rFonts w:hint="eastAsia" w:hAnsi="宋体"/>
                <w:sz w:val="24"/>
              </w:rPr>
              <w:t>（9）路面施工所需沥青外购商品沥青，不设临时拌合站。</w:t>
            </w:r>
          </w:p>
          <w:p>
            <w:pPr>
              <w:spacing w:line="360" w:lineRule="auto"/>
              <w:ind w:firstLine="480" w:firstLineChars="200"/>
              <w:contextualSpacing/>
              <w:rPr>
                <w:bCs/>
                <w:sz w:val="24"/>
              </w:rPr>
            </w:pPr>
            <w:r>
              <w:rPr>
                <w:bCs/>
                <w:sz w:val="24"/>
              </w:rPr>
              <w:t>综上，项目施工期废气经采取以上防治措施后，对所在地空气环境质量的影响能得到有效缓解，对场界外环境影响不大。</w:t>
            </w:r>
          </w:p>
          <w:p>
            <w:pPr>
              <w:spacing w:line="360" w:lineRule="auto"/>
              <w:ind w:firstLine="470" w:firstLineChars="196"/>
              <w:rPr>
                <w:sz w:val="24"/>
              </w:rPr>
            </w:pPr>
            <w:r>
              <w:rPr>
                <w:rFonts w:hint="eastAsia"/>
                <w:sz w:val="24"/>
              </w:rPr>
              <w:t>4</w:t>
            </w:r>
            <w:r>
              <w:rPr>
                <w:rFonts w:hint="eastAsia" w:hAnsi="宋体"/>
                <w:sz w:val="24"/>
              </w:rPr>
              <w:t>、噪声排放与防治措施</w:t>
            </w:r>
          </w:p>
          <w:p>
            <w:pPr>
              <w:spacing w:line="360" w:lineRule="auto"/>
              <w:ind w:firstLine="470" w:firstLineChars="196"/>
              <w:rPr>
                <w:rFonts w:hAnsi="宋体"/>
                <w:sz w:val="24"/>
              </w:rPr>
            </w:pPr>
            <w:r>
              <w:rPr>
                <w:rFonts w:hint="eastAsia" w:hAnsi="宋体"/>
                <w:sz w:val="24"/>
              </w:rPr>
              <w:t>项目施工噪声主要为车辆噪声和施工机械噪声，为了降低噪声对周边环境的影响，要求单位采取如下降噪措施：</w:t>
            </w:r>
          </w:p>
          <w:p>
            <w:pPr>
              <w:spacing w:line="360" w:lineRule="auto"/>
              <w:ind w:firstLine="470" w:firstLineChars="196"/>
              <w:rPr>
                <w:rFonts w:hAnsi="宋体"/>
                <w:bCs/>
                <w:sz w:val="24"/>
              </w:rPr>
            </w:pPr>
            <w:r>
              <w:rPr>
                <w:rFonts w:hint="eastAsia" w:hAnsi="宋体"/>
                <w:bCs/>
                <w:sz w:val="24"/>
              </w:rPr>
              <w:t>（</w:t>
            </w:r>
            <w:r>
              <w:rPr>
                <w:rFonts w:hAnsi="宋体"/>
                <w:bCs/>
                <w:sz w:val="24"/>
              </w:rPr>
              <w:t>1</w:t>
            </w:r>
            <w:r>
              <w:rPr>
                <w:rFonts w:hint="eastAsia" w:hAnsi="宋体"/>
                <w:bCs/>
                <w:sz w:val="24"/>
              </w:rPr>
              <w:t>）尽量选用低噪声机械设备，对设备定期保养，保证其正常运转。</w:t>
            </w:r>
          </w:p>
          <w:p>
            <w:pPr>
              <w:spacing w:line="360" w:lineRule="auto"/>
              <w:ind w:firstLine="470" w:firstLineChars="196"/>
              <w:rPr>
                <w:rFonts w:hAnsi="宋体"/>
                <w:bCs/>
                <w:sz w:val="24"/>
              </w:rPr>
            </w:pPr>
            <w:r>
              <w:rPr>
                <w:rFonts w:hint="eastAsia" w:hAnsi="宋体"/>
                <w:bCs/>
                <w:sz w:val="24"/>
              </w:rPr>
              <w:t>（</w:t>
            </w:r>
            <w:r>
              <w:rPr>
                <w:rFonts w:hAnsi="宋体"/>
                <w:bCs/>
                <w:sz w:val="24"/>
              </w:rPr>
              <w:t>2</w:t>
            </w:r>
            <w:r>
              <w:rPr>
                <w:rFonts w:hint="eastAsia" w:hAnsi="宋体"/>
                <w:bCs/>
                <w:sz w:val="24"/>
              </w:rPr>
              <w:t>）合理布置施工现场，</w:t>
            </w:r>
            <w:r>
              <w:rPr>
                <w:rFonts w:hint="eastAsia" w:hAnsi="宋体"/>
                <w:sz w:val="24"/>
              </w:rPr>
              <w:t>施工现场的强噪声机械</w:t>
            </w:r>
            <w:r>
              <w:rPr>
                <w:rFonts w:hAnsi="宋体"/>
                <w:sz w:val="24"/>
              </w:rPr>
              <w:t>(</w:t>
            </w:r>
            <w:r>
              <w:rPr>
                <w:rFonts w:hint="eastAsia" w:hAnsi="宋体"/>
                <w:sz w:val="24"/>
              </w:rPr>
              <w:t>如电锯、电刨等</w:t>
            </w:r>
            <w:r>
              <w:rPr>
                <w:rFonts w:hAnsi="宋体"/>
                <w:sz w:val="24"/>
              </w:rPr>
              <w:t>)</w:t>
            </w:r>
            <w:r>
              <w:rPr>
                <w:rFonts w:hint="eastAsia" w:hAnsi="宋体"/>
                <w:sz w:val="24"/>
              </w:rPr>
              <w:t>设置在远离敏感点区域。</w:t>
            </w:r>
          </w:p>
          <w:p>
            <w:pPr>
              <w:spacing w:line="360" w:lineRule="auto"/>
              <w:ind w:firstLine="470" w:firstLineChars="196"/>
              <w:rPr>
                <w:rFonts w:hAnsi="宋体"/>
                <w:bCs/>
                <w:sz w:val="24"/>
              </w:rPr>
            </w:pPr>
            <w:r>
              <w:rPr>
                <w:rFonts w:hint="eastAsia" w:hAnsi="宋体"/>
                <w:bCs/>
                <w:sz w:val="24"/>
              </w:rPr>
              <w:t>（</w:t>
            </w:r>
            <w:r>
              <w:rPr>
                <w:rFonts w:hAnsi="宋体"/>
                <w:bCs/>
                <w:sz w:val="24"/>
              </w:rPr>
              <w:t>3</w:t>
            </w:r>
            <w:r>
              <w:rPr>
                <w:rFonts w:hint="eastAsia" w:hAnsi="宋体"/>
                <w:bCs/>
                <w:sz w:val="24"/>
              </w:rPr>
              <w:t>）合理安排施工时间，严禁高噪声设备在中午作息时间作业，</w:t>
            </w:r>
            <w:r>
              <w:rPr>
                <w:rFonts w:hint="eastAsia" w:hAnsi="宋体"/>
                <w:sz w:val="24"/>
              </w:rPr>
              <w:t>晚上</w:t>
            </w:r>
            <w:r>
              <w:rPr>
                <w:rFonts w:hAnsi="宋体"/>
                <w:sz w:val="24"/>
              </w:rPr>
              <w:t>22:00</w:t>
            </w:r>
            <w:r>
              <w:rPr>
                <w:rFonts w:hint="eastAsia" w:hAnsi="宋体"/>
                <w:sz w:val="24"/>
              </w:rPr>
              <w:t>～次日</w:t>
            </w:r>
            <w:r>
              <w:rPr>
                <w:rFonts w:hAnsi="宋体"/>
                <w:sz w:val="24"/>
              </w:rPr>
              <w:t>6:00</w:t>
            </w:r>
            <w:r>
              <w:rPr>
                <w:rFonts w:hint="eastAsia" w:hAnsi="宋体"/>
                <w:sz w:val="24"/>
              </w:rPr>
              <w:t>禁止施工，确需夜间施工，应提前向环境管理部门申报，经批准后方可进行夜间施工</w:t>
            </w:r>
            <w:r>
              <w:rPr>
                <w:rFonts w:hint="eastAsia" w:hAnsi="宋体"/>
                <w:bCs/>
                <w:sz w:val="24"/>
              </w:rPr>
              <w:t>。</w:t>
            </w:r>
          </w:p>
          <w:p>
            <w:pPr>
              <w:spacing w:line="360" w:lineRule="auto"/>
              <w:ind w:firstLine="470" w:firstLineChars="196"/>
              <w:rPr>
                <w:rFonts w:hAnsi="宋体"/>
                <w:sz w:val="24"/>
              </w:rPr>
            </w:pPr>
            <w:r>
              <w:rPr>
                <w:rFonts w:hint="eastAsia" w:hAnsi="宋体"/>
                <w:bCs/>
                <w:sz w:val="24"/>
              </w:rPr>
              <w:t>（</w:t>
            </w:r>
            <w:r>
              <w:rPr>
                <w:rFonts w:hAnsi="宋体"/>
                <w:bCs/>
                <w:sz w:val="24"/>
              </w:rPr>
              <w:t>4</w:t>
            </w:r>
            <w:r>
              <w:rPr>
                <w:rFonts w:hint="eastAsia" w:hAnsi="宋体"/>
                <w:bCs/>
                <w:sz w:val="24"/>
              </w:rPr>
              <w:t>）</w:t>
            </w:r>
            <w:r>
              <w:rPr>
                <w:rFonts w:hint="eastAsia" w:hAnsi="宋体"/>
                <w:sz w:val="24"/>
              </w:rPr>
              <w:t>加强进、出施工场地的运输车辆管理，禁止随意鸣笛。</w:t>
            </w:r>
          </w:p>
          <w:p>
            <w:pPr>
              <w:spacing w:line="360" w:lineRule="auto"/>
              <w:ind w:firstLine="470" w:firstLineChars="196"/>
              <w:rPr>
                <w:rFonts w:hAnsi="宋体"/>
                <w:sz w:val="24"/>
              </w:rPr>
            </w:pPr>
            <w:r>
              <w:rPr>
                <w:rFonts w:hint="eastAsia" w:hAnsi="宋体"/>
                <w:sz w:val="24"/>
              </w:rPr>
              <w:t>（5）施工机械定期涂抹润滑油，减少机械摩擦噪声。</w:t>
            </w:r>
          </w:p>
          <w:p>
            <w:pPr>
              <w:spacing w:line="360" w:lineRule="auto"/>
              <w:ind w:firstLine="470" w:firstLineChars="196"/>
              <w:rPr>
                <w:rFonts w:hAnsi="宋体"/>
                <w:sz w:val="24"/>
              </w:rPr>
            </w:pPr>
            <w:r>
              <w:rPr>
                <w:rFonts w:hint="eastAsia" w:hAnsi="宋体"/>
                <w:sz w:val="24"/>
              </w:rPr>
              <w:t>（6）严格执行《建筑工程施工现场管理规定》，文明施工，建立健全施工现场管理制度，加强对施工人员素质培养，尽量减少人为大声喧哗。</w:t>
            </w:r>
          </w:p>
          <w:p>
            <w:pPr>
              <w:spacing w:line="360" w:lineRule="auto"/>
              <w:ind w:firstLine="470" w:firstLineChars="196"/>
              <w:rPr>
                <w:sz w:val="24"/>
              </w:rPr>
            </w:pPr>
            <w:r>
              <w:rPr>
                <w:rFonts w:hint="eastAsia"/>
                <w:sz w:val="24"/>
              </w:rPr>
              <w:t>5</w:t>
            </w:r>
            <w:r>
              <w:rPr>
                <w:rFonts w:hint="eastAsia" w:hAnsi="宋体"/>
                <w:sz w:val="24"/>
              </w:rPr>
              <w:t>、固废排放与防治措施</w:t>
            </w:r>
          </w:p>
          <w:p>
            <w:pPr>
              <w:spacing w:line="360" w:lineRule="auto"/>
              <w:ind w:firstLine="470" w:firstLineChars="196"/>
              <w:rPr>
                <w:bCs/>
                <w:sz w:val="24"/>
              </w:rPr>
            </w:pPr>
            <w:r>
              <w:rPr>
                <w:rFonts w:hint="eastAsia" w:hAnsi="宋体"/>
                <w:bCs/>
                <w:sz w:val="24"/>
              </w:rPr>
              <w:t>项目施工人员主要为附近东风村居民，施工场地不设生活区，</w:t>
            </w:r>
            <w:r>
              <w:rPr>
                <w:rFonts w:hint="eastAsia" w:hAnsi="宋体"/>
                <w:sz w:val="24"/>
              </w:rPr>
              <w:t>施工人员的生活垃圾依托东风村公用设施处理</w:t>
            </w:r>
            <w:r>
              <w:rPr>
                <w:rFonts w:hint="eastAsia" w:hAnsi="宋体"/>
                <w:bCs/>
                <w:sz w:val="24"/>
              </w:rPr>
              <w:t>。</w:t>
            </w:r>
          </w:p>
          <w:p>
            <w:pPr>
              <w:spacing w:line="360" w:lineRule="auto"/>
              <w:ind w:firstLine="470" w:firstLineChars="196"/>
              <w:rPr>
                <w:rFonts w:hAnsi="宋体"/>
                <w:bCs/>
                <w:sz w:val="24"/>
              </w:rPr>
            </w:pPr>
            <w:r>
              <w:rPr>
                <w:rFonts w:hint="eastAsia" w:hAnsi="宋体"/>
                <w:bCs/>
                <w:sz w:val="24"/>
                <w:highlight w:val="lightGray"/>
              </w:rPr>
              <w:t>项目施工期间，挖方主要产生于各种工程地基开挖，根据土的坚实系数，主要为三类土，即为中等密实的粘性土或黄土、含有碎石卵石即建筑材料碎屑的潮湿粘性土或黄土，其用于填方及施工区土地平整后，弃方可外售至其他施工场地作为填方回用</w:t>
            </w:r>
            <w:r>
              <w:rPr>
                <w:rFonts w:hint="eastAsia" w:hAnsi="宋体"/>
                <w:bCs/>
                <w:sz w:val="24"/>
              </w:rPr>
              <w:t>。</w:t>
            </w:r>
          </w:p>
          <w:p>
            <w:pPr>
              <w:spacing w:line="360" w:lineRule="auto"/>
              <w:ind w:firstLine="470" w:firstLineChars="196"/>
              <w:rPr>
                <w:rFonts w:hAnsi="宋体"/>
                <w:bCs/>
                <w:sz w:val="24"/>
              </w:rPr>
            </w:pPr>
            <w:r>
              <w:rPr>
                <w:rFonts w:hint="eastAsia" w:hAnsi="宋体"/>
                <w:bCs/>
                <w:sz w:val="24"/>
              </w:rPr>
              <w:t>拆除的沥青混凝土路面及透水砖人行道路面的垃圾用于施工道路填方和填沟。</w:t>
            </w:r>
          </w:p>
          <w:p>
            <w:pPr>
              <w:spacing w:line="360" w:lineRule="auto"/>
              <w:ind w:firstLine="470" w:firstLineChars="196"/>
              <w:rPr>
                <w:rFonts w:hAnsi="宋体"/>
                <w:bCs/>
                <w:sz w:val="24"/>
              </w:rPr>
            </w:pPr>
            <w:r>
              <w:rPr>
                <w:rFonts w:hint="eastAsia" w:hAnsi="宋体"/>
                <w:bCs/>
                <w:sz w:val="24"/>
              </w:rPr>
              <w:t>施工产生的少量建筑垃圾，建设单位应要求施工单位规划运输，加强管理，这些建筑垃圾应尽量分类后回收利用，对无利用价值的废弃物应送至宁县建筑垃圾管理部门指定消纳场所，而不能随意丢弃倾倒，以减少对周围环境的影响。建筑垃圾尽量做到日产日清，施工建筑材料应随用随运。</w:t>
            </w:r>
          </w:p>
          <w:p>
            <w:pPr>
              <w:spacing w:line="360" w:lineRule="auto"/>
              <w:ind w:firstLine="470" w:firstLineChars="196"/>
              <w:rPr>
                <w:rFonts w:hAnsi="宋体"/>
                <w:bCs/>
                <w:sz w:val="24"/>
              </w:rPr>
            </w:pPr>
            <w:r>
              <w:rPr>
                <w:rFonts w:hint="eastAsia" w:hAnsi="宋体"/>
                <w:bCs/>
                <w:sz w:val="24"/>
              </w:rPr>
              <w:t>项目施工期垃圾合理处置后，对周围环境影响较小。</w:t>
            </w:r>
          </w:p>
          <w:p>
            <w:pPr>
              <w:spacing w:line="360" w:lineRule="auto"/>
              <w:ind w:firstLine="470" w:firstLineChars="196"/>
              <w:rPr>
                <w:rFonts w:hAnsi="宋体"/>
                <w:bCs/>
                <w:sz w:val="24"/>
              </w:rPr>
            </w:pPr>
            <w:r>
              <w:rPr>
                <w:rFonts w:hint="eastAsia" w:hAnsi="宋体"/>
                <w:bCs/>
                <w:sz w:val="24"/>
              </w:rPr>
              <w:t>6、生态环境保护措施</w:t>
            </w:r>
          </w:p>
          <w:p>
            <w:pPr>
              <w:spacing w:line="360" w:lineRule="auto"/>
              <w:ind w:firstLine="470" w:firstLineChars="196"/>
              <w:rPr>
                <w:bCs/>
                <w:sz w:val="24"/>
              </w:rPr>
            </w:pPr>
            <w:r>
              <w:rPr>
                <w:bCs/>
                <w:sz w:val="24"/>
              </w:rPr>
              <w:t>结合工程建设特点，</w:t>
            </w:r>
            <w:r>
              <w:rPr>
                <w:rFonts w:hint="eastAsia"/>
                <w:bCs/>
                <w:sz w:val="24"/>
              </w:rPr>
              <w:t>生态环境</w:t>
            </w:r>
            <w:r>
              <w:rPr>
                <w:bCs/>
                <w:sz w:val="24"/>
              </w:rPr>
              <w:t>拟采取分区治理措施：</w:t>
            </w:r>
          </w:p>
          <w:p>
            <w:pPr>
              <w:spacing w:line="360" w:lineRule="auto"/>
              <w:ind w:firstLine="470" w:firstLineChars="196"/>
              <w:rPr>
                <w:bCs/>
                <w:sz w:val="24"/>
              </w:rPr>
            </w:pPr>
            <w:r>
              <w:rPr>
                <w:rFonts w:hint="eastAsia" w:ascii="宋体" w:hAnsi="宋体" w:cs="宋体"/>
                <w:bCs/>
                <w:sz w:val="24"/>
              </w:rPr>
              <w:t>①</w:t>
            </w:r>
            <w:r>
              <w:rPr>
                <w:bCs/>
                <w:sz w:val="24"/>
              </w:rPr>
              <w:t>合理规划施工场地，不得临时占地，加强管理，严禁随意扩大施工扰动范围。</w:t>
            </w:r>
          </w:p>
          <w:p>
            <w:pPr>
              <w:spacing w:line="360" w:lineRule="auto"/>
              <w:ind w:firstLine="470" w:firstLineChars="196"/>
              <w:rPr>
                <w:bCs/>
                <w:sz w:val="24"/>
              </w:rPr>
            </w:pPr>
            <w:r>
              <w:rPr>
                <w:rFonts w:hint="eastAsia" w:ascii="宋体" w:hAnsi="宋体" w:cs="宋体"/>
                <w:bCs/>
                <w:sz w:val="24"/>
              </w:rPr>
              <w:t>②</w:t>
            </w:r>
            <w:r>
              <w:rPr>
                <w:bCs/>
                <w:sz w:val="24"/>
              </w:rPr>
              <w:t>严禁随意堆放土方，地基工程结束后，应减少施工区地表裸露时间。</w:t>
            </w:r>
          </w:p>
          <w:p>
            <w:pPr>
              <w:spacing w:line="360" w:lineRule="auto"/>
              <w:ind w:firstLine="470" w:firstLineChars="196"/>
              <w:rPr>
                <w:bCs/>
                <w:sz w:val="24"/>
              </w:rPr>
            </w:pPr>
            <w:r>
              <w:rPr>
                <w:rFonts w:hint="eastAsia" w:ascii="宋体" w:hAnsi="宋体" w:cs="宋体"/>
                <w:bCs/>
                <w:sz w:val="24"/>
              </w:rPr>
              <w:t>③</w:t>
            </w:r>
            <w:r>
              <w:rPr>
                <w:bCs/>
                <w:sz w:val="24"/>
              </w:rPr>
              <w:t>考虑项目所在地降雨的季节性变化，合理安排施工期，工程尽量避开雨季和大风天气。</w:t>
            </w:r>
          </w:p>
          <w:p>
            <w:pPr>
              <w:spacing w:line="360" w:lineRule="auto"/>
              <w:ind w:firstLine="470" w:firstLineChars="196"/>
              <w:rPr>
                <w:bCs/>
                <w:sz w:val="24"/>
              </w:rPr>
            </w:pPr>
            <w:r>
              <w:rPr>
                <w:rFonts w:hint="eastAsia"/>
                <w:bCs/>
                <w:sz w:val="24"/>
              </w:rPr>
              <w:t>④其他措施</w:t>
            </w:r>
          </w:p>
          <w:p>
            <w:pPr>
              <w:spacing w:line="360" w:lineRule="auto"/>
              <w:ind w:firstLine="470" w:firstLineChars="196"/>
              <w:rPr>
                <w:bCs/>
                <w:sz w:val="24"/>
              </w:rPr>
            </w:pPr>
            <w:r>
              <w:rPr>
                <w:bCs/>
                <w:sz w:val="24"/>
              </w:rPr>
              <w:t>拟建项目若遇暴雨水流不畅时将会很快形成大面积的蓄水涝池，建筑材料（如沙子、石灰、堆土等）会随雨水流失</w:t>
            </w:r>
            <w:r>
              <w:rPr>
                <w:rFonts w:hint="eastAsia"/>
                <w:bCs/>
                <w:sz w:val="24"/>
              </w:rPr>
              <w:t>造成水土流失</w:t>
            </w:r>
            <w:r>
              <w:rPr>
                <w:bCs/>
                <w:sz w:val="24"/>
              </w:rPr>
              <w:t>。因此，一定要加强施工现场管理，施工期备齐防止暴雨的挡护设备，如盖网、苫布或草帘等，在暴雨来临前覆盖施工作业破坏面</w:t>
            </w:r>
            <w:r>
              <w:rPr>
                <w:rFonts w:hint="eastAsia"/>
                <w:bCs/>
                <w:sz w:val="24"/>
              </w:rPr>
              <w:t>，可极大的防治水土流失</w:t>
            </w:r>
            <w:r>
              <w:rPr>
                <w:bCs/>
                <w:sz w:val="24"/>
              </w:rPr>
              <w:t>。施工过程中，在雨季施工场地及开挖作业面周边应做好雨水导排，以免形成地面径流，冲刷作业面</w:t>
            </w:r>
            <w:r>
              <w:rPr>
                <w:rFonts w:hint="eastAsia"/>
                <w:bCs/>
                <w:sz w:val="24"/>
              </w:rPr>
              <w:t>，造成水土流失</w:t>
            </w:r>
            <w:r>
              <w:rPr>
                <w:bCs/>
                <w:sz w:val="24"/>
              </w:rPr>
              <w:t>。</w:t>
            </w:r>
          </w:p>
          <w:p>
            <w:pPr>
              <w:spacing w:line="360" w:lineRule="auto"/>
              <w:rPr>
                <w:b/>
                <w:sz w:val="24"/>
              </w:rPr>
            </w:pPr>
            <w:r>
              <w:rPr>
                <w:rFonts w:hint="eastAsia" w:hAnsi="宋体"/>
                <w:b/>
                <w:sz w:val="24"/>
              </w:rPr>
              <w:t>二、营运期污染物排放及防治措施</w:t>
            </w:r>
          </w:p>
          <w:p>
            <w:pPr>
              <w:spacing w:line="360" w:lineRule="auto"/>
              <w:ind w:firstLine="482" w:firstLineChars="200"/>
              <w:rPr>
                <w:rStyle w:val="34"/>
                <w:b/>
                <w:kern w:val="28"/>
                <w:sz w:val="24"/>
                <w:szCs w:val="24"/>
              </w:rPr>
            </w:pPr>
            <w:r>
              <w:rPr>
                <w:b/>
                <w:sz w:val="24"/>
              </w:rPr>
              <w:t>1</w:t>
            </w:r>
            <w:r>
              <w:rPr>
                <w:rFonts w:hint="eastAsia" w:hAnsi="宋体"/>
                <w:b/>
                <w:sz w:val="24"/>
              </w:rPr>
              <w:t>、</w:t>
            </w:r>
            <w:r>
              <w:rPr>
                <w:rStyle w:val="34"/>
                <w:rFonts w:hint="eastAsia"/>
                <w:b/>
                <w:kern w:val="28"/>
                <w:sz w:val="24"/>
                <w:szCs w:val="24"/>
              </w:rPr>
              <w:t>废水排放与防治措施</w:t>
            </w:r>
          </w:p>
          <w:p>
            <w:pPr>
              <w:spacing w:line="360" w:lineRule="auto"/>
              <w:ind w:firstLine="480" w:firstLineChars="200"/>
              <w:rPr>
                <w:rFonts w:hAnsi="宋体"/>
                <w:bCs/>
                <w:kern w:val="28"/>
                <w:sz w:val="24"/>
              </w:rPr>
            </w:pPr>
            <w:r>
              <w:rPr>
                <w:rFonts w:hint="eastAsia" w:hAnsi="宋体"/>
                <w:kern w:val="28"/>
                <w:sz w:val="24"/>
              </w:rPr>
              <w:t>拟建项目污水站采用</w:t>
            </w:r>
            <w:r>
              <w:rPr>
                <w:rFonts w:hint="eastAsia" w:hAnsi="宋体"/>
                <w:bCs/>
                <w:kern w:val="28"/>
                <w:sz w:val="24"/>
              </w:rPr>
              <w:t>多级生物接触氧化处理工艺，根据相关资料分析各个构筑物的处理效率，详见表67。</w:t>
            </w:r>
          </w:p>
          <w:p>
            <w:pPr>
              <w:pStyle w:val="4"/>
              <w:spacing w:line="360" w:lineRule="auto"/>
              <w:jc w:val="center"/>
              <w:rPr>
                <w:rFonts w:ascii="Times New Roman" w:hAnsi="宋体"/>
                <w:b/>
                <w:bCs/>
                <w:kern w:val="28"/>
                <w:sz w:val="21"/>
                <w:szCs w:val="21"/>
              </w:rPr>
            </w:pPr>
            <w:r>
              <w:rPr>
                <w:rFonts w:ascii="Times New Roman" w:hAnsi="宋体"/>
                <w:b/>
                <w:bCs/>
                <w:kern w:val="28"/>
                <w:sz w:val="21"/>
                <w:szCs w:val="21"/>
              </w:rPr>
              <w:t>表</w:t>
            </w:r>
            <w:r>
              <w:rPr>
                <w:rFonts w:hint="eastAsia" w:ascii="Times New Roman" w:hAnsi="宋体"/>
                <w:b/>
                <w:bCs/>
                <w:kern w:val="28"/>
                <w:sz w:val="21"/>
                <w:szCs w:val="21"/>
              </w:rPr>
              <w:t xml:space="preserve">67  </w:t>
            </w:r>
            <w:r>
              <w:rPr>
                <w:rFonts w:ascii="Times New Roman" w:hAnsi="宋体"/>
                <w:b/>
                <w:bCs/>
                <w:kern w:val="28"/>
                <w:sz w:val="21"/>
                <w:szCs w:val="21"/>
              </w:rPr>
              <w:t xml:space="preserve"> 各构筑物污染物处理效果   单位：mg/</w:t>
            </w:r>
            <w:r>
              <w:rPr>
                <w:rFonts w:hint="eastAsia" w:ascii="Times New Roman" w:hAnsi="宋体"/>
                <w:b/>
                <w:bCs/>
                <w:kern w:val="28"/>
                <w:sz w:val="21"/>
                <w:szCs w:val="21"/>
              </w:rPr>
              <w:t>L</w:t>
            </w:r>
          </w:p>
          <w:tbl>
            <w:tblPr>
              <w:tblStyle w:val="35"/>
              <w:tblW w:w="830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89"/>
              <w:gridCol w:w="1299"/>
              <w:gridCol w:w="962"/>
              <w:gridCol w:w="950"/>
              <w:gridCol w:w="977"/>
              <w:gridCol w:w="967"/>
              <w:gridCol w:w="932"/>
              <w:gridCol w:w="9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44" w:hRule="atLeast"/>
              </w:trPr>
              <w:tc>
                <w:tcPr>
                  <w:tcW w:w="1289" w:type="dxa"/>
                  <w:vAlign w:val="center"/>
                </w:tcPr>
                <w:p>
                  <w:pPr>
                    <w:widowControl/>
                    <w:jc w:val="center"/>
                    <w:rPr>
                      <w:b/>
                      <w:kern w:val="0"/>
                      <w:szCs w:val="21"/>
                    </w:rPr>
                  </w:pPr>
                  <w:r>
                    <w:rPr>
                      <w:b/>
                      <w:kern w:val="0"/>
                      <w:szCs w:val="21"/>
                    </w:rPr>
                    <w:t>构筑物</w:t>
                  </w:r>
                </w:p>
              </w:tc>
              <w:tc>
                <w:tcPr>
                  <w:tcW w:w="1299" w:type="dxa"/>
                  <w:vAlign w:val="center"/>
                </w:tcPr>
                <w:p>
                  <w:pPr>
                    <w:widowControl/>
                    <w:jc w:val="center"/>
                    <w:rPr>
                      <w:b/>
                      <w:kern w:val="0"/>
                      <w:szCs w:val="21"/>
                    </w:rPr>
                  </w:pPr>
                  <w:r>
                    <w:rPr>
                      <w:b/>
                      <w:kern w:val="0"/>
                      <w:szCs w:val="21"/>
                    </w:rPr>
                    <w:t>项目</w:t>
                  </w:r>
                </w:p>
              </w:tc>
              <w:tc>
                <w:tcPr>
                  <w:tcW w:w="962" w:type="dxa"/>
                  <w:vAlign w:val="center"/>
                </w:tcPr>
                <w:p>
                  <w:pPr>
                    <w:widowControl/>
                    <w:jc w:val="center"/>
                    <w:rPr>
                      <w:b/>
                      <w:kern w:val="0"/>
                      <w:szCs w:val="21"/>
                    </w:rPr>
                  </w:pPr>
                  <w:r>
                    <w:rPr>
                      <w:b/>
                      <w:kern w:val="0"/>
                      <w:szCs w:val="21"/>
                    </w:rPr>
                    <w:t>COD</w:t>
                  </w:r>
                  <w:r>
                    <w:rPr>
                      <w:b/>
                      <w:kern w:val="0"/>
                      <w:szCs w:val="21"/>
                      <w:vertAlign w:val="subscript"/>
                    </w:rPr>
                    <w:t>cr</w:t>
                  </w:r>
                </w:p>
              </w:tc>
              <w:tc>
                <w:tcPr>
                  <w:tcW w:w="950" w:type="dxa"/>
                  <w:vAlign w:val="center"/>
                </w:tcPr>
                <w:p>
                  <w:pPr>
                    <w:widowControl/>
                    <w:jc w:val="center"/>
                    <w:rPr>
                      <w:b/>
                      <w:kern w:val="0"/>
                      <w:szCs w:val="21"/>
                    </w:rPr>
                  </w:pPr>
                  <w:r>
                    <w:rPr>
                      <w:b/>
                      <w:kern w:val="0"/>
                      <w:szCs w:val="21"/>
                    </w:rPr>
                    <w:t>BOD</w:t>
                  </w:r>
                  <w:r>
                    <w:rPr>
                      <w:b/>
                      <w:kern w:val="0"/>
                      <w:szCs w:val="21"/>
                      <w:vertAlign w:val="subscript"/>
                    </w:rPr>
                    <w:t>5</w:t>
                  </w:r>
                </w:p>
              </w:tc>
              <w:tc>
                <w:tcPr>
                  <w:tcW w:w="977" w:type="dxa"/>
                  <w:vAlign w:val="center"/>
                </w:tcPr>
                <w:p>
                  <w:pPr>
                    <w:widowControl/>
                    <w:jc w:val="center"/>
                    <w:rPr>
                      <w:b/>
                      <w:kern w:val="0"/>
                      <w:szCs w:val="21"/>
                    </w:rPr>
                  </w:pPr>
                  <w:r>
                    <w:rPr>
                      <w:b/>
                      <w:kern w:val="0"/>
                      <w:szCs w:val="21"/>
                    </w:rPr>
                    <w:t>SS</w:t>
                  </w:r>
                </w:p>
              </w:tc>
              <w:tc>
                <w:tcPr>
                  <w:tcW w:w="967" w:type="dxa"/>
                  <w:vAlign w:val="center"/>
                </w:tcPr>
                <w:p>
                  <w:pPr>
                    <w:widowControl/>
                    <w:jc w:val="center"/>
                    <w:rPr>
                      <w:b/>
                      <w:kern w:val="0"/>
                      <w:szCs w:val="21"/>
                    </w:rPr>
                  </w:pPr>
                  <w:r>
                    <w:rPr>
                      <w:b/>
                      <w:kern w:val="0"/>
                      <w:szCs w:val="21"/>
                    </w:rPr>
                    <w:t>NH</w:t>
                  </w:r>
                  <w:r>
                    <w:rPr>
                      <w:b/>
                      <w:kern w:val="0"/>
                      <w:szCs w:val="21"/>
                      <w:vertAlign w:val="subscript"/>
                    </w:rPr>
                    <w:t>3</w:t>
                  </w:r>
                  <w:r>
                    <w:rPr>
                      <w:b/>
                      <w:kern w:val="0"/>
                      <w:szCs w:val="21"/>
                    </w:rPr>
                    <w:t>-N</w:t>
                  </w:r>
                </w:p>
              </w:tc>
              <w:tc>
                <w:tcPr>
                  <w:tcW w:w="932" w:type="dxa"/>
                  <w:vAlign w:val="center"/>
                </w:tcPr>
                <w:p>
                  <w:pPr>
                    <w:widowControl/>
                    <w:jc w:val="center"/>
                    <w:rPr>
                      <w:b/>
                      <w:kern w:val="0"/>
                      <w:szCs w:val="21"/>
                    </w:rPr>
                  </w:pPr>
                  <w:r>
                    <w:rPr>
                      <w:b/>
                      <w:kern w:val="0"/>
                      <w:szCs w:val="21"/>
                    </w:rPr>
                    <w:t>TN</w:t>
                  </w:r>
                </w:p>
              </w:tc>
              <w:tc>
                <w:tcPr>
                  <w:tcW w:w="930" w:type="dxa"/>
                  <w:vAlign w:val="center"/>
                </w:tcPr>
                <w:p>
                  <w:pPr>
                    <w:widowControl/>
                    <w:jc w:val="center"/>
                    <w:rPr>
                      <w:b/>
                      <w:kern w:val="0"/>
                      <w:szCs w:val="21"/>
                    </w:rPr>
                  </w:pPr>
                  <w:r>
                    <w:rPr>
                      <w:b/>
                      <w:kern w:val="0"/>
                      <w:szCs w:val="21"/>
                    </w:rPr>
                    <w:t>TP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trPr>
              <w:tc>
                <w:tcPr>
                  <w:tcW w:w="1289" w:type="dxa"/>
                  <w:vMerge w:val="restart"/>
                  <w:vAlign w:val="center"/>
                </w:tcPr>
                <w:p>
                  <w:pPr>
                    <w:widowControl/>
                    <w:jc w:val="center"/>
                    <w:rPr>
                      <w:kern w:val="0"/>
                      <w:szCs w:val="21"/>
                    </w:rPr>
                  </w:pPr>
                  <w:r>
                    <w:rPr>
                      <w:rFonts w:hint="eastAsia"/>
                      <w:szCs w:val="21"/>
                    </w:rPr>
                    <w:t>格栅、调节及沉淀</w:t>
                  </w:r>
                </w:p>
              </w:tc>
              <w:tc>
                <w:tcPr>
                  <w:tcW w:w="1299" w:type="dxa"/>
                  <w:vAlign w:val="center"/>
                </w:tcPr>
                <w:p>
                  <w:pPr>
                    <w:widowControl/>
                    <w:jc w:val="center"/>
                    <w:rPr>
                      <w:kern w:val="0"/>
                      <w:szCs w:val="21"/>
                    </w:rPr>
                  </w:pPr>
                  <w:r>
                    <w:rPr>
                      <w:rFonts w:hint="eastAsia"/>
                      <w:szCs w:val="21"/>
                    </w:rPr>
                    <w:t>进水水质</w:t>
                  </w:r>
                </w:p>
              </w:tc>
              <w:tc>
                <w:tcPr>
                  <w:tcW w:w="962" w:type="dxa"/>
                  <w:vAlign w:val="center"/>
                </w:tcPr>
                <w:p>
                  <w:pPr>
                    <w:jc w:val="center"/>
                    <w:rPr>
                      <w:szCs w:val="21"/>
                    </w:rPr>
                  </w:pPr>
                  <w:r>
                    <w:rPr>
                      <w:rFonts w:hint="eastAsia"/>
                      <w:szCs w:val="21"/>
                    </w:rPr>
                    <w:t>300</w:t>
                  </w:r>
                </w:p>
              </w:tc>
              <w:tc>
                <w:tcPr>
                  <w:tcW w:w="950" w:type="dxa"/>
                  <w:vAlign w:val="center"/>
                </w:tcPr>
                <w:p>
                  <w:pPr>
                    <w:jc w:val="center"/>
                    <w:rPr>
                      <w:szCs w:val="21"/>
                    </w:rPr>
                  </w:pPr>
                  <w:r>
                    <w:rPr>
                      <w:rFonts w:hint="eastAsia"/>
                      <w:szCs w:val="21"/>
                    </w:rPr>
                    <w:t>140</w:t>
                  </w:r>
                </w:p>
              </w:tc>
              <w:tc>
                <w:tcPr>
                  <w:tcW w:w="977" w:type="dxa"/>
                  <w:vAlign w:val="center"/>
                </w:tcPr>
                <w:p>
                  <w:pPr>
                    <w:jc w:val="center"/>
                    <w:rPr>
                      <w:szCs w:val="21"/>
                    </w:rPr>
                  </w:pPr>
                  <w:r>
                    <w:rPr>
                      <w:rFonts w:hint="eastAsia"/>
                      <w:szCs w:val="21"/>
                    </w:rPr>
                    <w:t>180</w:t>
                  </w:r>
                </w:p>
              </w:tc>
              <w:tc>
                <w:tcPr>
                  <w:tcW w:w="967" w:type="dxa"/>
                  <w:vAlign w:val="center"/>
                </w:tcPr>
                <w:p>
                  <w:pPr>
                    <w:jc w:val="center"/>
                    <w:rPr>
                      <w:szCs w:val="21"/>
                    </w:rPr>
                  </w:pPr>
                  <w:r>
                    <w:rPr>
                      <w:rFonts w:hint="eastAsia"/>
                      <w:szCs w:val="21"/>
                    </w:rPr>
                    <w:t>32</w:t>
                  </w:r>
                </w:p>
              </w:tc>
              <w:tc>
                <w:tcPr>
                  <w:tcW w:w="932" w:type="dxa"/>
                  <w:vAlign w:val="center"/>
                </w:tcPr>
                <w:p>
                  <w:pPr>
                    <w:jc w:val="center"/>
                    <w:rPr>
                      <w:szCs w:val="21"/>
                    </w:rPr>
                  </w:pPr>
                  <w:r>
                    <w:rPr>
                      <w:rFonts w:hint="eastAsia"/>
                      <w:szCs w:val="21"/>
                    </w:rPr>
                    <w:t>35</w:t>
                  </w:r>
                </w:p>
              </w:tc>
              <w:tc>
                <w:tcPr>
                  <w:tcW w:w="930" w:type="dxa"/>
                  <w:vAlign w:val="center"/>
                </w:tcPr>
                <w:p>
                  <w:pPr>
                    <w:jc w:val="center"/>
                    <w:rPr>
                      <w:szCs w:val="21"/>
                    </w:rPr>
                  </w:pPr>
                  <w:r>
                    <w:rPr>
                      <w:rFonts w:hint="eastAsia"/>
                      <w:szCs w:val="21"/>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trPr>
              <w:tc>
                <w:tcPr>
                  <w:tcW w:w="1289" w:type="dxa"/>
                  <w:vMerge w:val="continue"/>
                  <w:vAlign w:val="center"/>
                </w:tcPr>
                <w:p>
                  <w:pPr>
                    <w:widowControl/>
                    <w:jc w:val="center"/>
                    <w:rPr>
                      <w:kern w:val="0"/>
                      <w:szCs w:val="21"/>
                    </w:rPr>
                  </w:pPr>
                </w:p>
              </w:tc>
              <w:tc>
                <w:tcPr>
                  <w:tcW w:w="1299" w:type="dxa"/>
                  <w:vAlign w:val="center"/>
                </w:tcPr>
                <w:p>
                  <w:pPr>
                    <w:widowControl/>
                    <w:jc w:val="center"/>
                    <w:rPr>
                      <w:kern w:val="0"/>
                      <w:szCs w:val="21"/>
                    </w:rPr>
                  </w:pPr>
                  <w:r>
                    <w:rPr>
                      <w:rFonts w:hint="eastAsia"/>
                      <w:szCs w:val="21"/>
                    </w:rPr>
                    <w:t>出水水质</w:t>
                  </w:r>
                </w:p>
              </w:tc>
              <w:tc>
                <w:tcPr>
                  <w:tcW w:w="962" w:type="dxa"/>
                  <w:vAlign w:val="center"/>
                </w:tcPr>
                <w:p>
                  <w:pPr>
                    <w:jc w:val="center"/>
                    <w:rPr>
                      <w:szCs w:val="21"/>
                    </w:rPr>
                  </w:pPr>
                  <w:r>
                    <w:rPr>
                      <w:rFonts w:hint="eastAsia"/>
                      <w:szCs w:val="21"/>
                    </w:rPr>
                    <w:t>210</w:t>
                  </w:r>
                </w:p>
              </w:tc>
              <w:tc>
                <w:tcPr>
                  <w:tcW w:w="950" w:type="dxa"/>
                  <w:vAlign w:val="center"/>
                </w:tcPr>
                <w:p>
                  <w:pPr>
                    <w:jc w:val="center"/>
                    <w:rPr>
                      <w:szCs w:val="21"/>
                    </w:rPr>
                  </w:pPr>
                  <w:r>
                    <w:rPr>
                      <w:rFonts w:hint="eastAsia"/>
                      <w:szCs w:val="21"/>
                    </w:rPr>
                    <w:t>98</w:t>
                  </w:r>
                </w:p>
              </w:tc>
              <w:tc>
                <w:tcPr>
                  <w:tcW w:w="977" w:type="dxa"/>
                  <w:vAlign w:val="center"/>
                </w:tcPr>
                <w:p>
                  <w:pPr>
                    <w:jc w:val="center"/>
                    <w:rPr>
                      <w:szCs w:val="21"/>
                    </w:rPr>
                  </w:pPr>
                  <w:r>
                    <w:rPr>
                      <w:rFonts w:hint="eastAsia"/>
                      <w:szCs w:val="21"/>
                    </w:rPr>
                    <w:t>54</w:t>
                  </w:r>
                </w:p>
              </w:tc>
              <w:tc>
                <w:tcPr>
                  <w:tcW w:w="967" w:type="dxa"/>
                  <w:vAlign w:val="center"/>
                </w:tcPr>
                <w:p>
                  <w:pPr>
                    <w:jc w:val="center"/>
                    <w:rPr>
                      <w:szCs w:val="21"/>
                    </w:rPr>
                  </w:pPr>
                  <w:r>
                    <w:rPr>
                      <w:rFonts w:hint="eastAsia"/>
                      <w:szCs w:val="21"/>
                    </w:rPr>
                    <w:t>28.8</w:t>
                  </w:r>
                </w:p>
              </w:tc>
              <w:tc>
                <w:tcPr>
                  <w:tcW w:w="932" w:type="dxa"/>
                  <w:vAlign w:val="center"/>
                </w:tcPr>
                <w:p>
                  <w:pPr>
                    <w:jc w:val="center"/>
                    <w:rPr>
                      <w:szCs w:val="21"/>
                    </w:rPr>
                  </w:pPr>
                  <w:r>
                    <w:rPr>
                      <w:rFonts w:hint="eastAsia"/>
                      <w:szCs w:val="21"/>
                    </w:rPr>
                    <w:t>31.5</w:t>
                  </w:r>
                </w:p>
              </w:tc>
              <w:tc>
                <w:tcPr>
                  <w:tcW w:w="930" w:type="dxa"/>
                  <w:vAlign w:val="center"/>
                </w:tcPr>
                <w:p>
                  <w:pPr>
                    <w:jc w:val="center"/>
                    <w:rPr>
                      <w:szCs w:val="21"/>
                    </w:rPr>
                  </w:pPr>
                  <w:r>
                    <w:rPr>
                      <w:rFonts w:hint="eastAsia"/>
                      <w:szCs w:val="21"/>
                    </w:rPr>
                    <w:t>2.85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trPr>
              <w:tc>
                <w:tcPr>
                  <w:tcW w:w="1289" w:type="dxa"/>
                  <w:vMerge w:val="continue"/>
                  <w:vAlign w:val="center"/>
                </w:tcPr>
                <w:p>
                  <w:pPr>
                    <w:jc w:val="center"/>
                    <w:rPr>
                      <w:rFonts w:ascii="宋体" w:hAnsi="宋体" w:cs="宋体"/>
                      <w:szCs w:val="21"/>
                    </w:rPr>
                  </w:pPr>
                </w:p>
              </w:tc>
              <w:tc>
                <w:tcPr>
                  <w:tcW w:w="1299" w:type="dxa"/>
                  <w:vAlign w:val="center"/>
                </w:tcPr>
                <w:p>
                  <w:pPr>
                    <w:jc w:val="center"/>
                    <w:rPr>
                      <w:rFonts w:ascii="宋体" w:hAnsi="宋体" w:cs="宋体"/>
                      <w:szCs w:val="21"/>
                    </w:rPr>
                  </w:pPr>
                  <w:r>
                    <w:rPr>
                      <w:rFonts w:hint="eastAsia"/>
                      <w:szCs w:val="21"/>
                    </w:rPr>
                    <w:t>去除率</w:t>
                  </w:r>
                </w:p>
              </w:tc>
              <w:tc>
                <w:tcPr>
                  <w:tcW w:w="962" w:type="dxa"/>
                  <w:vAlign w:val="center"/>
                </w:tcPr>
                <w:p>
                  <w:pPr>
                    <w:jc w:val="center"/>
                    <w:rPr>
                      <w:szCs w:val="21"/>
                    </w:rPr>
                  </w:pPr>
                  <w:r>
                    <w:rPr>
                      <w:szCs w:val="21"/>
                    </w:rPr>
                    <w:t>30%</w:t>
                  </w:r>
                </w:p>
              </w:tc>
              <w:tc>
                <w:tcPr>
                  <w:tcW w:w="950" w:type="dxa"/>
                  <w:vAlign w:val="center"/>
                </w:tcPr>
                <w:p>
                  <w:pPr>
                    <w:jc w:val="center"/>
                    <w:rPr>
                      <w:szCs w:val="21"/>
                    </w:rPr>
                  </w:pPr>
                  <w:r>
                    <w:rPr>
                      <w:szCs w:val="21"/>
                    </w:rPr>
                    <w:t>30%</w:t>
                  </w:r>
                </w:p>
              </w:tc>
              <w:tc>
                <w:tcPr>
                  <w:tcW w:w="977" w:type="dxa"/>
                  <w:vAlign w:val="center"/>
                </w:tcPr>
                <w:p>
                  <w:pPr>
                    <w:jc w:val="center"/>
                    <w:rPr>
                      <w:szCs w:val="21"/>
                    </w:rPr>
                  </w:pPr>
                  <w:r>
                    <w:rPr>
                      <w:szCs w:val="21"/>
                    </w:rPr>
                    <w:t>70%</w:t>
                  </w:r>
                </w:p>
              </w:tc>
              <w:tc>
                <w:tcPr>
                  <w:tcW w:w="967" w:type="dxa"/>
                  <w:vAlign w:val="center"/>
                </w:tcPr>
                <w:p>
                  <w:pPr>
                    <w:jc w:val="center"/>
                    <w:rPr>
                      <w:szCs w:val="21"/>
                    </w:rPr>
                  </w:pPr>
                  <w:r>
                    <w:rPr>
                      <w:szCs w:val="21"/>
                    </w:rPr>
                    <w:t>10%</w:t>
                  </w:r>
                </w:p>
              </w:tc>
              <w:tc>
                <w:tcPr>
                  <w:tcW w:w="932" w:type="dxa"/>
                  <w:vAlign w:val="center"/>
                </w:tcPr>
                <w:p>
                  <w:pPr>
                    <w:jc w:val="center"/>
                    <w:rPr>
                      <w:szCs w:val="21"/>
                    </w:rPr>
                  </w:pPr>
                  <w:r>
                    <w:rPr>
                      <w:szCs w:val="21"/>
                    </w:rPr>
                    <w:t>10%</w:t>
                  </w:r>
                </w:p>
              </w:tc>
              <w:tc>
                <w:tcPr>
                  <w:tcW w:w="930" w:type="dxa"/>
                  <w:vAlign w:val="center"/>
                </w:tcPr>
                <w:p>
                  <w:pPr>
                    <w:jc w:val="center"/>
                    <w:rPr>
                      <w:szCs w:val="21"/>
                    </w:rPr>
                  </w:pPr>
                  <w:r>
                    <w:rPr>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trPr>
              <w:tc>
                <w:tcPr>
                  <w:tcW w:w="1289" w:type="dxa"/>
                  <w:vMerge w:val="restart"/>
                  <w:vAlign w:val="center"/>
                </w:tcPr>
                <w:p>
                  <w:pPr>
                    <w:jc w:val="center"/>
                    <w:rPr>
                      <w:kern w:val="0"/>
                      <w:szCs w:val="21"/>
                    </w:rPr>
                  </w:pPr>
                  <w:r>
                    <w:rPr>
                      <w:rFonts w:hint="eastAsia"/>
                      <w:szCs w:val="21"/>
                    </w:rPr>
                    <w:t>多级生物接触氧化</w:t>
                  </w:r>
                </w:p>
              </w:tc>
              <w:tc>
                <w:tcPr>
                  <w:tcW w:w="1299" w:type="dxa"/>
                  <w:vAlign w:val="center"/>
                </w:tcPr>
                <w:p>
                  <w:pPr>
                    <w:widowControl/>
                    <w:jc w:val="center"/>
                    <w:rPr>
                      <w:kern w:val="0"/>
                      <w:szCs w:val="21"/>
                    </w:rPr>
                  </w:pPr>
                  <w:r>
                    <w:rPr>
                      <w:rFonts w:hint="eastAsia"/>
                      <w:szCs w:val="21"/>
                    </w:rPr>
                    <w:t>进水水质</w:t>
                  </w:r>
                </w:p>
              </w:tc>
              <w:tc>
                <w:tcPr>
                  <w:tcW w:w="962" w:type="dxa"/>
                  <w:vAlign w:val="center"/>
                </w:tcPr>
                <w:p>
                  <w:pPr>
                    <w:jc w:val="center"/>
                    <w:rPr>
                      <w:szCs w:val="21"/>
                    </w:rPr>
                  </w:pPr>
                  <w:r>
                    <w:rPr>
                      <w:rFonts w:hint="eastAsia"/>
                      <w:szCs w:val="21"/>
                    </w:rPr>
                    <w:t>210</w:t>
                  </w:r>
                </w:p>
              </w:tc>
              <w:tc>
                <w:tcPr>
                  <w:tcW w:w="950" w:type="dxa"/>
                  <w:vAlign w:val="center"/>
                </w:tcPr>
                <w:p>
                  <w:pPr>
                    <w:jc w:val="center"/>
                    <w:rPr>
                      <w:szCs w:val="21"/>
                    </w:rPr>
                  </w:pPr>
                  <w:r>
                    <w:rPr>
                      <w:rFonts w:hint="eastAsia"/>
                      <w:szCs w:val="21"/>
                    </w:rPr>
                    <w:t>98</w:t>
                  </w:r>
                </w:p>
              </w:tc>
              <w:tc>
                <w:tcPr>
                  <w:tcW w:w="977" w:type="dxa"/>
                  <w:vAlign w:val="center"/>
                </w:tcPr>
                <w:p>
                  <w:pPr>
                    <w:jc w:val="center"/>
                    <w:rPr>
                      <w:szCs w:val="21"/>
                    </w:rPr>
                  </w:pPr>
                  <w:r>
                    <w:rPr>
                      <w:rFonts w:hint="eastAsia"/>
                      <w:szCs w:val="21"/>
                    </w:rPr>
                    <w:t>54</w:t>
                  </w:r>
                </w:p>
              </w:tc>
              <w:tc>
                <w:tcPr>
                  <w:tcW w:w="967" w:type="dxa"/>
                  <w:vAlign w:val="center"/>
                </w:tcPr>
                <w:p>
                  <w:pPr>
                    <w:jc w:val="center"/>
                    <w:rPr>
                      <w:szCs w:val="21"/>
                    </w:rPr>
                  </w:pPr>
                  <w:r>
                    <w:rPr>
                      <w:rFonts w:hint="eastAsia"/>
                      <w:szCs w:val="21"/>
                    </w:rPr>
                    <w:t>28.8</w:t>
                  </w:r>
                </w:p>
              </w:tc>
              <w:tc>
                <w:tcPr>
                  <w:tcW w:w="932" w:type="dxa"/>
                  <w:vAlign w:val="center"/>
                </w:tcPr>
                <w:p>
                  <w:pPr>
                    <w:jc w:val="center"/>
                    <w:rPr>
                      <w:szCs w:val="21"/>
                    </w:rPr>
                  </w:pPr>
                  <w:r>
                    <w:rPr>
                      <w:rFonts w:hint="eastAsia"/>
                      <w:szCs w:val="21"/>
                    </w:rPr>
                    <w:t>31.5</w:t>
                  </w:r>
                </w:p>
              </w:tc>
              <w:tc>
                <w:tcPr>
                  <w:tcW w:w="930" w:type="dxa"/>
                  <w:vAlign w:val="center"/>
                </w:tcPr>
                <w:p>
                  <w:pPr>
                    <w:jc w:val="center"/>
                    <w:rPr>
                      <w:szCs w:val="21"/>
                    </w:rPr>
                  </w:pPr>
                  <w:r>
                    <w:rPr>
                      <w:rFonts w:hint="eastAsia"/>
                      <w:szCs w:val="21"/>
                    </w:rPr>
                    <w:t>2.85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trPr>
              <w:tc>
                <w:tcPr>
                  <w:tcW w:w="1289" w:type="dxa"/>
                  <w:vMerge w:val="continue"/>
                  <w:vAlign w:val="center"/>
                </w:tcPr>
                <w:p>
                  <w:pPr>
                    <w:widowControl/>
                    <w:jc w:val="center"/>
                    <w:rPr>
                      <w:kern w:val="0"/>
                      <w:szCs w:val="21"/>
                    </w:rPr>
                  </w:pPr>
                </w:p>
              </w:tc>
              <w:tc>
                <w:tcPr>
                  <w:tcW w:w="1299" w:type="dxa"/>
                  <w:vAlign w:val="center"/>
                </w:tcPr>
                <w:p>
                  <w:pPr>
                    <w:widowControl/>
                    <w:jc w:val="center"/>
                    <w:rPr>
                      <w:kern w:val="0"/>
                      <w:szCs w:val="21"/>
                    </w:rPr>
                  </w:pPr>
                  <w:r>
                    <w:rPr>
                      <w:rFonts w:hint="eastAsia"/>
                      <w:szCs w:val="21"/>
                    </w:rPr>
                    <w:t>出水水质</w:t>
                  </w:r>
                </w:p>
              </w:tc>
              <w:tc>
                <w:tcPr>
                  <w:tcW w:w="962" w:type="dxa"/>
                  <w:vAlign w:val="center"/>
                </w:tcPr>
                <w:p>
                  <w:pPr>
                    <w:jc w:val="center"/>
                    <w:rPr>
                      <w:szCs w:val="21"/>
                    </w:rPr>
                  </w:pPr>
                  <w:r>
                    <w:rPr>
                      <w:rFonts w:hint="eastAsia"/>
                      <w:szCs w:val="21"/>
                    </w:rPr>
                    <w:t>50</w:t>
                  </w:r>
                </w:p>
              </w:tc>
              <w:tc>
                <w:tcPr>
                  <w:tcW w:w="950" w:type="dxa"/>
                  <w:vAlign w:val="center"/>
                </w:tcPr>
                <w:p>
                  <w:pPr>
                    <w:jc w:val="center"/>
                    <w:rPr>
                      <w:szCs w:val="21"/>
                    </w:rPr>
                  </w:pPr>
                  <w:r>
                    <w:rPr>
                      <w:rFonts w:hint="eastAsia"/>
                      <w:szCs w:val="21"/>
                    </w:rPr>
                    <w:t>12</w:t>
                  </w:r>
                </w:p>
              </w:tc>
              <w:tc>
                <w:tcPr>
                  <w:tcW w:w="977" w:type="dxa"/>
                  <w:vAlign w:val="center"/>
                </w:tcPr>
                <w:p>
                  <w:pPr>
                    <w:jc w:val="center"/>
                    <w:rPr>
                      <w:szCs w:val="21"/>
                    </w:rPr>
                  </w:pPr>
                  <w:r>
                    <w:rPr>
                      <w:rFonts w:hint="eastAsia"/>
                      <w:szCs w:val="21"/>
                    </w:rPr>
                    <w:t>25</w:t>
                  </w:r>
                </w:p>
              </w:tc>
              <w:tc>
                <w:tcPr>
                  <w:tcW w:w="967" w:type="dxa"/>
                  <w:vAlign w:val="center"/>
                </w:tcPr>
                <w:p>
                  <w:pPr>
                    <w:jc w:val="center"/>
                    <w:rPr>
                      <w:szCs w:val="21"/>
                    </w:rPr>
                  </w:pPr>
                  <w:r>
                    <w:rPr>
                      <w:szCs w:val="21"/>
                    </w:rPr>
                    <w:t>8.19</w:t>
                  </w:r>
                </w:p>
              </w:tc>
              <w:tc>
                <w:tcPr>
                  <w:tcW w:w="932" w:type="dxa"/>
                  <w:vAlign w:val="center"/>
                </w:tcPr>
                <w:p>
                  <w:pPr>
                    <w:jc w:val="center"/>
                    <w:rPr>
                      <w:szCs w:val="21"/>
                    </w:rPr>
                  </w:pPr>
                  <w:r>
                    <w:rPr>
                      <w:szCs w:val="21"/>
                    </w:rPr>
                    <w:t>18.63</w:t>
                  </w:r>
                </w:p>
              </w:tc>
              <w:tc>
                <w:tcPr>
                  <w:tcW w:w="930" w:type="dxa"/>
                  <w:vAlign w:val="center"/>
                </w:tcPr>
                <w:p>
                  <w:pPr>
                    <w:jc w:val="center"/>
                    <w:rPr>
                      <w:szCs w:val="21"/>
                    </w:rPr>
                  </w:pPr>
                  <w:r>
                    <w:rPr>
                      <w:szCs w:val="21"/>
                    </w:rPr>
                    <w:t>0.52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trPr>
              <w:tc>
                <w:tcPr>
                  <w:tcW w:w="1289" w:type="dxa"/>
                  <w:vMerge w:val="continue"/>
                  <w:vAlign w:val="center"/>
                </w:tcPr>
                <w:p>
                  <w:pPr>
                    <w:jc w:val="center"/>
                    <w:rPr>
                      <w:rFonts w:ascii="宋体" w:hAnsi="宋体" w:cs="宋体"/>
                      <w:szCs w:val="21"/>
                    </w:rPr>
                  </w:pPr>
                </w:p>
              </w:tc>
              <w:tc>
                <w:tcPr>
                  <w:tcW w:w="1299" w:type="dxa"/>
                  <w:vAlign w:val="center"/>
                </w:tcPr>
                <w:p>
                  <w:pPr>
                    <w:jc w:val="center"/>
                    <w:rPr>
                      <w:rFonts w:ascii="宋体" w:hAnsi="宋体" w:cs="宋体"/>
                      <w:szCs w:val="21"/>
                    </w:rPr>
                  </w:pPr>
                  <w:r>
                    <w:rPr>
                      <w:rFonts w:hint="eastAsia"/>
                      <w:szCs w:val="21"/>
                    </w:rPr>
                    <w:t>去除率</w:t>
                  </w:r>
                </w:p>
              </w:tc>
              <w:tc>
                <w:tcPr>
                  <w:tcW w:w="962" w:type="dxa"/>
                  <w:vAlign w:val="center"/>
                </w:tcPr>
                <w:p>
                  <w:pPr>
                    <w:jc w:val="center"/>
                    <w:rPr>
                      <w:szCs w:val="21"/>
                    </w:rPr>
                  </w:pPr>
                  <w:r>
                    <w:rPr>
                      <w:rFonts w:hint="eastAsia"/>
                      <w:szCs w:val="21"/>
                    </w:rPr>
                    <w:t>76.2</w:t>
                  </w:r>
                  <w:r>
                    <w:rPr>
                      <w:szCs w:val="21"/>
                    </w:rPr>
                    <w:t>%</w:t>
                  </w:r>
                </w:p>
              </w:tc>
              <w:tc>
                <w:tcPr>
                  <w:tcW w:w="950" w:type="dxa"/>
                  <w:vAlign w:val="center"/>
                </w:tcPr>
                <w:p>
                  <w:pPr>
                    <w:jc w:val="center"/>
                    <w:rPr>
                      <w:szCs w:val="21"/>
                    </w:rPr>
                  </w:pPr>
                  <w:r>
                    <w:rPr>
                      <w:rFonts w:hint="eastAsia"/>
                      <w:szCs w:val="21"/>
                    </w:rPr>
                    <w:t>87.7</w:t>
                  </w:r>
                  <w:r>
                    <w:rPr>
                      <w:szCs w:val="21"/>
                    </w:rPr>
                    <w:t>%</w:t>
                  </w:r>
                </w:p>
              </w:tc>
              <w:tc>
                <w:tcPr>
                  <w:tcW w:w="977" w:type="dxa"/>
                  <w:vAlign w:val="center"/>
                </w:tcPr>
                <w:p>
                  <w:pPr>
                    <w:jc w:val="center"/>
                    <w:rPr>
                      <w:szCs w:val="21"/>
                    </w:rPr>
                  </w:pPr>
                  <w:r>
                    <w:rPr>
                      <w:rFonts w:hint="eastAsia"/>
                      <w:szCs w:val="21"/>
                    </w:rPr>
                    <w:t>53.7</w:t>
                  </w:r>
                  <w:r>
                    <w:rPr>
                      <w:szCs w:val="21"/>
                    </w:rPr>
                    <w:t>%</w:t>
                  </w:r>
                </w:p>
              </w:tc>
              <w:tc>
                <w:tcPr>
                  <w:tcW w:w="967" w:type="dxa"/>
                  <w:vAlign w:val="center"/>
                </w:tcPr>
                <w:p>
                  <w:pPr>
                    <w:jc w:val="center"/>
                    <w:rPr>
                      <w:szCs w:val="21"/>
                    </w:rPr>
                  </w:pPr>
                  <w:r>
                    <w:rPr>
                      <w:rFonts w:hint="eastAsia"/>
                      <w:szCs w:val="21"/>
                    </w:rPr>
                    <w:t>71.6</w:t>
                  </w:r>
                  <w:r>
                    <w:rPr>
                      <w:szCs w:val="21"/>
                    </w:rPr>
                    <w:t>%</w:t>
                  </w:r>
                </w:p>
              </w:tc>
              <w:tc>
                <w:tcPr>
                  <w:tcW w:w="932" w:type="dxa"/>
                  <w:vAlign w:val="center"/>
                </w:tcPr>
                <w:p>
                  <w:pPr>
                    <w:jc w:val="center"/>
                    <w:rPr>
                      <w:szCs w:val="21"/>
                    </w:rPr>
                  </w:pPr>
                  <w:r>
                    <w:rPr>
                      <w:rFonts w:hint="eastAsia"/>
                      <w:szCs w:val="21"/>
                    </w:rPr>
                    <w:t>69.1</w:t>
                  </w:r>
                  <w:r>
                    <w:rPr>
                      <w:szCs w:val="21"/>
                    </w:rPr>
                    <w:t>%</w:t>
                  </w:r>
                </w:p>
              </w:tc>
              <w:tc>
                <w:tcPr>
                  <w:tcW w:w="930" w:type="dxa"/>
                  <w:vAlign w:val="center"/>
                </w:tcPr>
                <w:p>
                  <w:pPr>
                    <w:jc w:val="center"/>
                    <w:rPr>
                      <w:szCs w:val="21"/>
                    </w:rPr>
                  </w:pPr>
                  <w:r>
                    <w:rPr>
                      <w:rFonts w:hint="eastAsia"/>
                      <w:szCs w:val="21"/>
                    </w:rPr>
                    <w:t>81.8</w:t>
                  </w: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trPr>
              <w:tc>
                <w:tcPr>
                  <w:tcW w:w="1289" w:type="dxa"/>
                  <w:vMerge w:val="restart"/>
                  <w:vAlign w:val="center"/>
                </w:tcPr>
                <w:p>
                  <w:pPr>
                    <w:jc w:val="center"/>
                    <w:rPr>
                      <w:kern w:val="0"/>
                      <w:szCs w:val="21"/>
                    </w:rPr>
                  </w:pPr>
                  <w:r>
                    <w:rPr>
                      <w:rFonts w:hint="eastAsia"/>
                      <w:szCs w:val="21"/>
                    </w:rPr>
                    <w:t>沉淀及石英砂过滤</w:t>
                  </w:r>
                </w:p>
              </w:tc>
              <w:tc>
                <w:tcPr>
                  <w:tcW w:w="1299" w:type="dxa"/>
                  <w:vAlign w:val="center"/>
                </w:tcPr>
                <w:p>
                  <w:pPr>
                    <w:widowControl/>
                    <w:jc w:val="center"/>
                    <w:rPr>
                      <w:kern w:val="0"/>
                      <w:szCs w:val="21"/>
                    </w:rPr>
                  </w:pPr>
                  <w:r>
                    <w:rPr>
                      <w:rFonts w:hint="eastAsia"/>
                      <w:szCs w:val="21"/>
                    </w:rPr>
                    <w:t>进水水质</w:t>
                  </w:r>
                </w:p>
              </w:tc>
              <w:tc>
                <w:tcPr>
                  <w:tcW w:w="962" w:type="dxa"/>
                  <w:vAlign w:val="center"/>
                </w:tcPr>
                <w:p>
                  <w:pPr>
                    <w:jc w:val="center"/>
                    <w:rPr>
                      <w:szCs w:val="21"/>
                    </w:rPr>
                  </w:pPr>
                  <w:r>
                    <w:rPr>
                      <w:rFonts w:hint="eastAsia"/>
                      <w:szCs w:val="21"/>
                    </w:rPr>
                    <w:t>50</w:t>
                  </w:r>
                </w:p>
              </w:tc>
              <w:tc>
                <w:tcPr>
                  <w:tcW w:w="950" w:type="dxa"/>
                  <w:vAlign w:val="center"/>
                </w:tcPr>
                <w:p>
                  <w:pPr>
                    <w:jc w:val="center"/>
                    <w:rPr>
                      <w:szCs w:val="21"/>
                    </w:rPr>
                  </w:pPr>
                  <w:r>
                    <w:rPr>
                      <w:rFonts w:hint="eastAsia"/>
                      <w:szCs w:val="21"/>
                    </w:rPr>
                    <w:t>12</w:t>
                  </w:r>
                </w:p>
              </w:tc>
              <w:tc>
                <w:tcPr>
                  <w:tcW w:w="977" w:type="dxa"/>
                  <w:vAlign w:val="center"/>
                </w:tcPr>
                <w:p>
                  <w:pPr>
                    <w:jc w:val="center"/>
                    <w:rPr>
                      <w:szCs w:val="21"/>
                    </w:rPr>
                  </w:pPr>
                  <w:r>
                    <w:rPr>
                      <w:rFonts w:hint="eastAsia"/>
                      <w:szCs w:val="21"/>
                    </w:rPr>
                    <w:t>25</w:t>
                  </w:r>
                </w:p>
              </w:tc>
              <w:tc>
                <w:tcPr>
                  <w:tcW w:w="967" w:type="dxa"/>
                  <w:vAlign w:val="center"/>
                </w:tcPr>
                <w:p>
                  <w:pPr>
                    <w:jc w:val="center"/>
                    <w:rPr>
                      <w:szCs w:val="21"/>
                    </w:rPr>
                  </w:pPr>
                  <w:r>
                    <w:rPr>
                      <w:szCs w:val="21"/>
                    </w:rPr>
                    <w:t>8.19</w:t>
                  </w:r>
                </w:p>
              </w:tc>
              <w:tc>
                <w:tcPr>
                  <w:tcW w:w="932" w:type="dxa"/>
                  <w:vAlign w:val="center"/>
                </w:tcPr>
                <w:p>
                  <w:pPr>
                    <w:jc w:val="center"/>
                    <w:rPr>
                      <w:szCs w:val="21"/>
                    </w:rPr>
                  </w:pPr>
                  <w:r>
                    <w:rPr>
                      <w:szCs w:val="21"/>
                    </w:rPr>
                    <w:t>18.63</w:t>
                  </w:r>
                </w:p>
              </w:tc>
              <w:tc>
                <w:tcPr>
                  <w:tcW w:w="930" w:type="dxa"/>
                  <w:vAlign w:val="center"/>
                </w:tcPr>
                <w:p>
                  <w:pPr>
                    <w:jc w:val="center"/>
                    <w:rPr>
                      <w:szCs w:val="21"/>
                    </w:rPr>
                  </w:pPr>
                  <w:r>
                    <w:rPr>
                      <w:szCs w:val="21"/>
                    </w:rPr>
                    <w:t>0.52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trPr>
              <w:tc>
                <w:tcPr>
                  <w:tcW w:w="1289" w:type="dxa"/>
                  <w:vMerge w:val="continue"/>
                  <w:vAlign w:val="center"/>
                </w:tcPr>
                <w:p>
                  <w:pPr>
                    <w:widowControl/>
                    <w:jc w:val="center"/>
                    <w:rPr>
                      <w:kern w:val="0"/>
                      <w:szCs w:val="21"/>
                    </w:rPr>
                  </w:pPr>
                </w:p>
              </w:tc>
              <w:tc>
                <w:tcPr>
                  <w:tcW w:w="1299" w:type="dxa"/>
                  <w:vAlign w:val="center"/>
                </w:tcPr>
                <w:p>
                  <w:pPr>
                    <w:widowControl/>
                    <w:jc w:val="center"/>
                    <w:rPr>
                      <w:kern w:val="0"/>
                      <w:szCs w:val="21"/>
                    </w:rPr>
                  </w:pPr>
                  <w:r>
                    <w:rPr>
                      <w:rFonts w:hint="eastAsia"/>
                      <w:szCs w:val="21"/>
                    </w:rPr>
                    <w:t>出水水质</w:t>
                  </w:r>
                </w:p>
              </w:tc>
              <w:tc>
                <w:tcPr>
                  <w:tcW w:w="962" w:type="dxa"/>
                  <w:vAlign w:val="center"/>
                </w:tcPr>
                <w:p>
                  <w:pPr>
                    <w:jc w:val="center"/>
                    <w:rPr>
                      <w:szCs w:val="21"/>
                    </w:rPr>
                  </w:pPr>
                  <w:r>
                    <w:rPr>
                      <w:kern w:val="0"/>
                      <w:szCs w:val="21"/>
                    </w:rPr>
                    <w:t>≤</w:t>
                  </w:r>
                  <w:r>
                    <w:rPr>
                      <w:rFonts w:hint="eastAsia"/>
                      <w:kern w:val="0"/>
                      <w:szCs w:val="21"/>
                    </w:rPr>
                    <w:t>50</w:t>
                  </w:r>
                </w:p>
              </w:tc>
              <w:tc>
                <w:tcPr>
                  <w:tcW w:w="950" w:type="dxa"/>
                  <w:vAlign w:val="center"/>
                </w:tcPr>
                <w:p>
                  <w:pPr>
                    <w:jc w:val="center"/>
                    <w:rPr>
                      <w:szCs w:val="21"/>
                    </w:rPr>
                  </w:pPr>
                  <w:r>
                    <w:rPr>
                      <w:kern w:val="0"/>
                      <w:szCs w:val="21"/>
                    </w:rPr>
                    <w:t>≤</w:t>
                  </w:r>
                  <w:r>
                    <w:rPr>
                      <w:rFonts w:hint="eastAsia"/>
                      <w:kern w:val="0"/>
                      <w:szCs w:val="21"/>
                    </w:rPr>
                    <w:t>10</w:t>
                  </w:r>
                </w:p>
              </w:tc>
              <w:tc>
                <w:tcPr>
                  <w:tcW w:w="977" w:type="dxa"/>
                  <w:vAlign w:val="center"/>
                </w:tcPr>
                <w:p>
                  <w:pPr>
                    <w:jc w:val="center"/>
                    <w:rPr>
                      <w:szCs w:val="21"/>
                    </w:rPr>
                  </w:pPr>
                  <w:r>
                    <w:rPr>
                      <w:kern w:val="0"/>
                      <w:szCs w:val="21"/>
                    </w:rPr>
                    <w:t>≤</w:t>
                  </w:r>
                  <w:r>
                    <w:rPr>
                      <w:rFonts w:hint="eastAsia"/>
                      <w:kern w:val="0"/>
                      <w:szCs w:val="21"/>
                    </w:rPr>
                    <w:t>10</w:t>
                  </w:r>
                </w:p>
              </w:tc>
              <w:tc>
                <w:tcPr>
                  <w:tcW w:w="967" w:type="dxa"/>
                  <w:vAlign w:val="center"/>
                </w:tcPr>
                <w:p>
                  <w:pPr>
                    <w:jc w:val="center"/>
                    <w:rPr>
                      <w:szCs w:val="21"/>
                    </w:rPr>
                  </w:pPr>
                  <w:r>
                    <w:rPr>
                      <w:kern w:val="0"/>
                      <w:szCs w:val="21"/>
                    </w:rPr>
                    <w:t>≤</w:t>
                  </w:r>
                  <w:r>
                    <w:rPr>
                      <w:rFonts w:hint="eastAsia"/>
                      <w:kern w:val="0"/>
                      <w:szCs w:val="21"/>
                    </w:rPr>
                    <w:t>5</w:t>
                  </w:r>
                </w:p>
              </w:tc>
              <w:tc>
                <w:tcPr>
                  <w:tcW w:w="932" w:type="dxa"/>
                  <w:vAlign w:val="center"/>
                </w:tcPr>
                <w:p>
                  <w:pPr>
                    <w:jc w:val="center"/>
                    <w:rPr>
                      <w:szCs w:val="21"/>
                    </w:rPr>
                  </w:pPr>
                  <w:r>
                    <w:rPr>
                      <w:kern w:val="0"/>
                      <w:szCs w:val="21"/>
                    </w:rPr>
                    <w:t>≤</w:t>
                  </w:r>
                  <w:r>
                    <w:rPr>
                      <w:rFonts w:hint="eastAsia"/>
                      <w:kern w:val="0"/>
                      <w:szCs w:val="21"/>
                    </w:rPr>
                    <w:t>15</w:t>
                  </w:r>
                </w:p>
              </w:tc>
              <w:tc>
                <w:tcPr>
                  <w:tcW w:w="930" w:type="dxa"/>
                  <w:vAlign w:val="center"/>
                </w:tcPr>
                <w:p>
                  <w:pPr>
                    <w:jc w:val="center"/>
                    <w:rPr>
                      <w:szCs w:val="21"/>
                    </w:rPr>
                  </w:pPr>
                  <w:r>
                    <w:rPr>
                      <w:kern w:val="0"/>
                      <w:szCs w:val="21"/>
                    </w:rPr>
                    <w:t>≤</w:t>
                  </w:r>
                  <w:r>
                    <w:rPr>
                      <w:rFonts w:hint="eastAsia"/>
                      <w:kern w:val="0"/>
                      <w:szCs w:val="21"/>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trPr>
              <w:tc>
                <w:tcPr>
                  <w:tcW w:w="2588" w:type="dxa"/>
                  <w:gridSpan w:val="2"/>
                  <w:vAlign w:val="center"/>
                </w:tcPr>
                <w:p>
                  <w:pPr>
                    <w:widowControl/>
                    <w:jc w:val="center"/>
                    <w:rPr>
                      <w:kern w:val="0"/>
                      <w:szCs w:val="21"/>
                    </w:rPr>
                  </w:pPr>
                  <w:r>
                    <w:rPr>
                      <w:kern w:val="0"/>
                      <w:szCs w:val="21"/>
                    </w:rPr>
                    <w:t>污水出水水质</w:t>
                  </w:r>
                </w:p>
              </w:tc>
              <w:tc>
                <w:tcPr>
                  <w:tcW w:w="962" w:type="dxa"/>
                  <w:vAlign w:val="center"/>
                </w:tcPr>
                <w:p>
                  <w:pPr>
                    <w:jc w:val="center"/>
                    <w:rPr>
                      <w:szCs w:val="21"/>
                    </w:rPr>
                  </w:pPr>
                  <w:r>
                    <w:rPr>
                      <w:kern w:val="0"/>
                      <w:szCs w:val="21"/>
                    </w:rPr>
                    <w:t>≤</w:t>
                  </w:r>
                  <w:r>
                    <w:rPr>
                      <w:rFonts w:hint="eastAsia"/>
                      <w:kern w:val="0"/>
                      <w:szCs w:val="21"/>
                    </w:rPr>
                    <w:t>50</w:t>
                  </w:r>
                </w:p>
              </w:tc>
              <w:tc>
                <w:tcPr>
                  <w:tcW w:w="950" w:type="dxa"/>
                  <w:vAlign w:val="center"/>
                </w:tcPr>
                <w:p>
                  <w:pPr>
                    <w:jc w:val="center"/>
                    <w:rPr>
                      <w:szCs w:val="21"/>
                    </w:rPr>
                  </w:pPr>
                  <w:r>
                    <w:rPr>
                      <w:kern w:val="0"/>
                      <w:szCs w:val="21"/>
                    </w:rPr>
                    <w:t>≤</w:t>
                  </w:r>
                  <w:r>
                    <w:rPr>
                      <w:rFonts w:hint="eastAsia"/>
                      <w:kern w:val="0"/>
                      <w:szCs w:val="21"/>
                    </w:rPr>
                    <w:t>10</w:t>
                  </w:r>
                </w:p>
              </w:tc>
              <w:tc>
                <w:tcPr>
                  <w:tcW w:w="977" w:type="dxa"/>
                  <w:vAlign w:val="center"/>
                </w:tcPr>
                <w:p>
                  <w:pPr>
                    <w:jc w:val="center"/>
                    <w:rPr>
                      <w:szCs w:val="21"/>
                    </w:rPr>
                  </w:pPr>
                  <w:r>
                    <w:rPr>
                      <w:kern w:val="0"/>
                      <w:szCs w:val="21"/>
                    </w:rPr>
                    <w:t>≤</w:t>
                  </w:r>
                  <w:r>
                    <w:rPr>
                      <w:rFonts w:hint="eastAsia"/>
                      <w:kern w:val="0"/>
                      <w:szCs w:val="21"/>
                    </w:rPr>
                    <w:t>10</w:t>
                  </w:r>
                </w:p>
              </w:tc>
              <w:tc>
                <w:tcPr>
                  <w:tcW w:w="967" w:type="dxa"/>
                  <w:vAlign w:val="center"/>
                </w:tcPr>
                <w:p>
                  <w:pPr>
                    <w:jc w:val="center"/>
                    <w:rPr>
                      <w:szCs w:val="21"/>
                    </w:rPr>
                  </w:pPr>
                  <w:r>
                    <w:rPr>
                      <w:kern w:val="0"/>
                      <w:szCs w:val="21"/>
                    </w:rPr>
                    <w:t>≤</w:t>
                  </w:r>
                  <w:r>
                    <w:rPr>
                      <w:rFonts w:hint="eastAsia"/>
                      <w:kern w:val="0"/>
                      <w:szCs w:val="21"/>
                    </w:rPr>
                    <w:t>5</w:t>
                  </w:r>
                </w:p>
              </w:tc>
              <w:tc>
                <w:tcPr>
                  <w:tcW w:w="932" w:type="dxa"/>
                  <w:vAlign w:val="center"/>
                </w:tcPr>
                <w:p>
                  <w:pPr>
                    <w:jc w:val="center"/>
                    <w:rPr>
                      <w:szCs w:val="21"/>
                    </w:rPr>
                  </w:pPr>
                  <w:r>
                    <w:rPr>
                      <w:kern w:val="0"/>
                      <w:szCs w:val="21"/>
                    </w:rPr>
                    <w:t>≤</w:t>
                  </w:r>
                  <w:r>
                    <w:rPr>
                      <w:rFonts w:hint="eastAsia"/>
                      <w:kern w:val="0"/>
                      <w:szCs w:val="21"/>
                    </w:rPr>
                    <w:t>15</w:t>
                  </w:r>
                </w:p>
              </w:tc>
              <w:tc>
                <w:tcPr>
                  <w:tcW w:w="930" w:type="dxa"/>
                  <w:vAlign w:val="center"/>
                </w:tcPr>
                <w:p>
                  <w:pPr>
                    <w:jc w:val="center"/>
                    <w:rPr>
                      <w:szCs w:val="21"/>
                    </w:rPr>
                  </w:pPr>
                  <w:r>
                    <w:rPr>
                      <w:kern w:val="0"/>
                      <w:szCs w:val="21"/>
                    </w:rPr>
                    <w:t>≤</w:t>
                  </w:r>
                  <w:r>
                    <w:rPr>
                      <w:rFonts w:hint="eastAsia"/>
                      <w:kern w:val="0"/>
                      <w:szCs w:val="21"/>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trPr>
              <w:tc>
                <w:tcPr>
                  <w:tcW w:w="2588" w:type="dxa"/>
                  <w:gridSpan w:val="2"/>
                  <w:vAlign w:val="center"/>
                </w:tcPr>
                <w:p>
                  <w:pPr>
                    <w:widowControl/>
                    <w:jc w:val="center"/>
                    <w:rPr>
                      <w:kern w:val="0"/>
                      <w:szCs w:val="21"/>
                    </w:rPr>
                  </w:pPr>
                  <w:r>
                    <w:rPr>
                      <w:kern w:val="0"/>
                      <w:szCs w:val="21"/>
                    </w:rPr>
                    <w:t>总去除率</w:t>
                  </w:r>
                </w:p>
              </w:tc>
              <w:tc>
                <w:tcPr>
                  <w:tcW w:w="962" w:type="dxa"/>
                  <w:vAlign w:val="center"/>
                </w:tcPr>
                <w:p>
                  <w:pPr>
                    <w:jc w:val="center"/>
                    <w:rPr>
                      <w:szCs w:val="21"/>
                    </w:rPr>
                  </w:pPr>
                  <w:r>
                    <w:rPr>
                      <w:rFonts w:hint="eastAsia"/>
                      <w:szCs w:val="21"/>
                    </w:rPr>
                    <w:t>90</w:t>
                  </w:r>
                  <w:r>
                    <w:rPr>
                      <w:szCs w:val="21"/>
                    </w:rPr>
                    <w:t>%</w:t>
                  </w:r>
                </w:p>
              </w:tc>
              <w:tc>
                <w:tcPr>
                  <w:tcW w:w="950" w:type="dxa"/>
                  <w:vAlign w:val="center"/>
                </w:tcPr>
                <w:p>
                  <w:pPr>
                    <w:jc w:val="center"/>
                    <w:rPr>
                      <w:szCs w:val="21"/>
                    </w:rPr>
                  </w:pPr>
                  <w:r>
                    <w:rPr>
                      <w:rFonts w:hint="eastAsia"/>
                      <w:szCs w:val="21"/>
                    </w:rPr>
                    <w:t>97.1</w:t>
                  </w:r>
                  <w:r>
                    <w:rPr>
                      <w:szCs w:val="21"/>
                    </w:rPr>
                    <w:t>%</w:t>
                  </w:r>
                </w:p>
              </w:tc>
              <w:tc>
                <w:tcPr>
                  <w:tcW w:w="977" w:type="dxa"/>
                  <w:vAlign w:val="center"/>
                </w:tcPr>
                <w:p>
                  <w:pPr>
                    <w:jc w:val="center"/>
                    <w:rPr>
                      <w:szCs w:val="21"/>
                    </w:rPr>
                  </w:pPr>
                  <w:r>
                    <w:rPr>
                      <w:rFonts w:hint="eastAsia"/>
                      <w:szCs w:val="21"/>
                    </w:rPr>
                    <w:t>97.1</w:t>
                  </w:r>
                  <w:r>
                    <w:rPr>
                      <w:szCs w:val="21"/>
                    </w:rPr>
                    <w:t>%</w:t>
                  </w:r>
                </w:p>
              </w:tc>
              <w:tc>
                <w:tcPr>
                  <w:tcW w:w="967" w:type="dxa"/>
                  <w:vAlign w:val="center"/>
                </w:tcPr>
                <w:p>
                  <w:pPr>
                    <w:jc w:val="center"/>
                    <w:rPr>
                      <w:szCs w:val="21"/>
                    </w:rPr>
                  </w:pPr>
                  <w:r>
                    <w:rPr>
                      <w:rFonts w:hint="eastAsia"/>
                      <w:szCs w:val="21"/>
                    </w:rPr>
                    <w:t>85.7</w:t>
                  </w:r>
                  <w:r>
                    <w:rPr>
                      <w:szCs w:val="21"/>
                    </w:rPr>
                    <w:t>%</w:t>
                  </w:r>
                </w:p>
              </w:tc>
              <w:tc>
                <w:tcPr>
                  <w:tcW w:w="932" w:type="dxa"/>
                  <w:vAlign w:val="center"/>
                </w:tcPr>
                <w:p>
                  <w:pPr>
                    <w:jc w:val="center"/>
                    <w:rPr>
                      <w:szCs w:val="21"/>
                    </w:rPr>
                  </w:pPr>
                  <w:r>
                    <w:rPr>
                      <w:rFonts w:hint="eastAsia"/>
                      <w:szCs w:val="21"/>
                    </w:rPr>
                    <w:t>72.7</w:t>
                  </w:r>
                  <w:r>
                    <w:rPr>
                      <w:szCs w:val="21"/>
                    </w:rPr>
                    <w:t>%</w:t>
                  </w:r>
                </w:p>
              </w:tc>
              <w:tc>
                <w:tcPr>
                  <w:tcW w:w="930" w:type="dxa"/>
                  <w:vAlign w:val="center"/>
                </w:tcPr>
                <w:p>
                  <w:pPr>
                    <w:jc w:val="center"/>
                    <w:rPr>
                      <w:szCs w:val="21"/>
                    </w:rPr>
                  </w:pPr>
                  <w:r>
                    <w:rPr>
                      <w:rFonts w:hint="eastAsia"/>
                      <w:szCs w:val="21"/>
                    </w:rPr>
                    <w:t>83.3</w:t>
                  </w: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rPr>
              <w:tc>
                <w:tcPr>
                  <w:tcW w:w="2588" w:type="dxa"/>
                  <w:gridSpan w:val="2"/>
                  <w:vAlign w:val="center"/>
                </w:tcPr>
                <w:p>
                  <w:pPr>
                    <w:widowControl/>
                    <w:jc w:val="center"/>
                    <w:rPr>
                      <w:kern w:val="0"/>
                      <w:sz w:val="18"/>
                      <w:szCs w:val="18"/>
                    </w:rPr>
                  </w:pPr>
                  <w:r>
                    <w:rPr>
                      <w:rFonts w:hint="eastAsia"/>
                      <w:kern w:val="0"/>
                      <w:szCs w:val="21"/>
                    </w:rPr>
                    <w:t>(</w:t>
                  </w:r>
                  <w:r>
                    <w:rPr>
                      <w:kern w:val="0"/>
                      <w:szCs w:val="21"/>
                    </w:rPr>
                    <w:t>GB18918-</w:t>
                  </w:r>
                  <w:r>
                    <w:rPr>
                      <w:rFonts w:hint="eastAsia"/>
                      <w:kern w:val="0"/>
                      <w:szCs w:val="21"/>
                    </w:rPr>
                    <w:t xml:space="preserve"> </w:t>
                  </w:r>
                  <w:r>
                    <w:rPr>
                      <w:kern w:val="0"/>
                      <w:szCs w:val="21"/>
                    </w:rPr>
                    <w:t>2002）一级</w:t>
                  </w:r>
                  <w:r>
                    <w:rPr>
                      <w:rFonts w:hint="eastAsia"/>
                      <w:kern w:val="0"/>
                      <w:szCs w:val="21"/>
                    </w:rPr>
                    <w:t>A</w:t>
                  </w:r>
                  <w:r>
                    <w:rPr>
                      <w:kern w:val="0"/>
                      <w:szCs w:val="21"/>
                    </w:rPr>
                    <w:t>标准</w:t>
                  </w:r>
                </w:p>
              </w:tc>
              <w:tc>
                <w:tcPr>
                  <w:tcW w:w="962" w:type="dxa"/>
                  <w:vAlign w:val="center"/>
                </w:tcPr>
                <w:p>
                  <w:pPr>
                    <w:widowControl/>
                    <w:jc w:val="center"/>
                    <w:rPr>
                      <w:kern w:val="0"/>
                      <w:szCs w:val="21"/>
                    </w:rPr>
                  </w:pPr>
                  <w:r>
                    <w:rPr>
                      <w:kern w:val="0"/>
                      <w:szCs w:val="21"/>
                    </w:rPr>
                    <w:t>≤</w:t>
                  </w:r>
                  <w:r>
                    <w:rPr>
                      <w:rFonts w:hint="eastAsia"/>
                      <w:kern w:val="0"/>
                      <w:szCs w:val="21"/>
                    </w:rPr>
                    <w:t>50</w:t>
                  </w:r>
                </w:p>
              </w:tc>
              <w:tc>
                <w:tcPr>
                  <w:tcW w:w="950" w:type="dxa"/>
                  <w:vAlign w:val="center"/>
                </w:tcPr>
                <w:p>
                  <w:pPr>
                    <w:widowControl/>
                    <w:jc w:val="center"/>
                    <w:rPr>
                      <w:kern w:val="0"/>
                      <w:szCs w:val="21"/>
                    </w:rPr>
                  </w:pPr>
                  <w:r>
                    <w:rPr>
                      <w:kern w:val="0"/>
                      <w:szCs w:val="21"/>
                    </w:rPr>
                    <w:t>≤</w:t>
                  </w:r>
                  <w:r>
                    <w:rPr>
                      <w:rFonts w:hint="eastAsia"/>
                      <w:kern w:val="0"/>
                      <w:szCs w:val="21"/>
                    </w:rPr>
                    <w:t>10</w:t>
                  </w:r>
                </w:p>
              </w:tc>
              <w:tc>
                <w:tcPr>
                  <w:tcW w:w="977" w:type="dxa"/>
                  <w:vAlign w:val="center"/>
                </w:tcPr>
                <w:p>
                  <w:pPr>
                    <w:widowControl/>
                    <w:jc w:val="center"/>
                    <w:rPr>
                      <w:kern w:val="0"/>
                      <w:szCs w:val="21"/>
                    </w:rPr>
                  </w:pPr>
                  <w:r>
                    <w:rPr>
                      <w:kern w:val="0"/>
                      <w:szCs w:val="21"/>
                    </w:rPr>
                    <w:t>≤</w:t>
                  </w:r>
                  <w:r>
                    <w:rPr>
                      <w:rFonts w:hint="eastAsia"/>
                      <w:kern w:val="0"/>
                      <w:szCs w:val="21"/>
                    </w:rPr>
                    <w:t>10</w:t>
                  </w:r>
                </w:p>
              </w:tc>
              <w:tc>
                <w:tcPr>
                  <w:tcW w:w="967" w:type="dxa"/>
                  <w:vAlign w:val="center"/>
                </w:tcPr>
                <w:p>
                  <w:pPr>
                    <w:widowControl/>
                    <w:jc w:val="center"/>
                    <w:rPr>
                      <w:kern w:val="0"/>
                      <w:szCs w:val="21"/>
                    </w:rPr>
                  </w:pPr>
                  <w:r>
                    <w:rPr>
                      <w:kern w:val="0"/>
                      <w:szCs w:val="21"/>
                    </w:rPr>
                    <w:t>≤</w:t>
                  </w:r>
                  <w:r>
                    <w:rPr>
                      <w:rFonts w:hint="eastAsia"/>
                      <w:kern w:val="0"/>
                      <w:szCs w:val="21"/>
                    </w:rPr>
                    <w:t>5</w:t>
                  </w:r>
                </w:p>
              </w:tc>
              <w:tc>
                <w:tcPr>
                  <w:tcW w:w="932" w:type="dxa"/>
                  <w:vAlign w:val="center"/>
                </w:tcPr>
                <w:p>
                  <w:pPr>
                    <w:widowControl/>
                    <w:jc w:val="center"/>
                    <w:rPr>
                      <w:kern w:val="0"/>
                      <w:szCs w:val="21"/>
                    </w:rPr>
                  </w:pPr>
                  <w:r>
                    <w:rPr>
                      <w:kern w:val="0"/>
                      <w:szCs w:val="21"/>
                    </w:rPr>
                    <w:t>≤</w:t>
                  </w:r>
                  <w:r>
                    <w:rPr>
                      <w:rFonts w:hint="eastAsia"/>
                      <w:kern w:val="0"/>
                      <w:szCs w:val="21"/>
                    </w:rPr>
                    <w:t>15</w:t>
                  </w:r>
                </w:p>
              </w:tc>
              <w:tc>
                <w:tcPr>
                  <w:tcW w:w="930" w:type="dxa"/>
                  <w:vAlign w:val="center"/>
                </w:tcPr>
                <w:p>
                  <w:pPr>
                    <w:widowControl/>
                    <w:jc w:val="center"/>
                    <w:rPr>
                      <w:kern w:val="0"/>
                      <w:szCs w:val="21"/>
                    </w:rPr>
                  </w:pPr>
                  <w:r>
                    <w:rPr>
                      <w:kern w:val="0"/>
                      <w:szCs w:val="21"/>
                    </w:rPr>
                    <w:t>≤</w:t>
                  </w:r>
                  <w:r>
                    <w:rPr>
                      <w:rFonts w:hint="eastAsia"/>
                      <w:kern w:val="0"/>
                      <w:szCs w:val="21"/>
                    </w:rPr>
                    <w:t>0.5</w:t>
                  </w:r>
                </w:p>
              </w:tc>
            </w:tr>
          </w:tbl>
          <w:p>
            <w:pPr>
              <w:spacing w:line="360" w:lineRule="auto"/>
              <w:ind w:firstLine="480" w:firstLineChars="200"/>
              <w:rPr>
                <w:rFonts w:hAnsi="宋体"/>
                <w:bCs/>
                <w:kern w:val="28"/>
                <w:sz w:val="24"/>
              </w:rPr>
            </w:pPr>
            <w:r>
              <w:rPr>
                <w:rFonts w:hint="eastAsia" w:hAnsi="宋体"/>
                <w:bCs/>
                <w:kern w:val="28"/>
                <w:sz w:val="24"/>
              </w:rPr>
              <w:t>由表66可知，项目主要处理生活污水，进水污染物浓度较低，多级生物接触氧化工艺各个构筑物处理效率可使出水达标排放。</w:t>
            </w:r>
          </w:p>
          <w:p>
            <w:pPr>
              <w:spacing w:line="360" w:lineRule="auto"/>
              <w:ind w:firstLine="480" w:firstLineChars="200"/>
              <w:rPr>
                <w:rFonts w:hAnsi="宋体"/>
                <w:kern w:val="28"/>
                <w:sz w:val="24"/>
              </w:rPr>
            </w:pPr>
            <w:r>
              <w:rPr>
                <w:rFonts w:hint="eastAsia" w:hAnsi="宋体"/>
                <w:bCs/>
                <w:kern w:val="28"/>
                <w:sz w:val="24"/>
              </w:rPr>
              <w:t>根据工程分析，项目</w:t>
            </w:r>
            <w:r>
              <w:rPr>
                <w:rFonts w:hAnsi="宋体"/>
                <w:bCs/>
                <w:kern w:val="28"/>
                <w:sz w:val="24"/>
              </w:rPr>
              <w:t>COD</w:t>
            </w:r>
            <w:r>
              <w:rPr>
                <w:rFonts w:hAnsi="宋体"/>
                <w:bCs/>
                <w:kern w:val="28"/>
                <w:sz w:val="24"/>
                <w:vertAlign w:val="subscript"/>
              </w:rPr>
              <w:t>Cr</w:t>
            </w:r>
            <w:r>
              <w:rPr>
                <w:rFonts w:hint="eastAsia" w:hAnsi="宋体"/>
                <w:bCs/>
                <w:kern w:val="28"/>
                <w:sz w:val="24"/>
              </w:rPr>
              <w:t>、</w:t>
            </w:r>
            <w:r>
              <w:rPr>
                <w:rFonts w:hAnsi="宋体"/>
                <w:bCs/>
                <w:kern w:val="28"/>
                <w:sz w:val="24"/>
              </w:rPr>
              <w:t>BOD</w:t>
            </w:r>
            <w:r>
              <w:rPr>
                <w:rFonts w:hAnsi="宋体"/>
                <w:bCs/>
                <w:kern w:val="28"/>
                <w:sz w:val="24"/>
                <w:vertAlign w:val="subscript"/>
              </w:rPr>
              <w:t>5</w:t>
            </w:r>
            <w:r>
              <w:rPr>
                <w:rFonts w:hint="eastAsia" w:hAnsi="宋体"/>
                <w:bCs/>
                <w:kern w:val="28"/>
                <w:sz w:val="24"/>
              </w:rPr>
              <w:t>、</w:t>
            </w:r>
            <w:r>
              <w:rPr>
                <w:rFonts w:hAnsi="宋体"/>
                <w:bCs/>
                <w:kern w:val="28"/>
                <w:sz w:val="24"/>
              </w:rPr>
              <w:t>SS</w:t>
            </w:r>
            <w:r>
              <w:rPr>
                <w:rFonts w:hint="eastAsia" w:hAnsi="宋体"/>
                <w:bCs/>
                <w:kern w:val="28"/>
                <w:sz w:val="24"/>
              </w:rPr>
              <w:t>、</w:t>
            </w:r>
            <w:r>
              <w:rPr>
                <w:rFonts w:hAnsi="宋体"/>
                <w:bCs/>
                <w:kern w:val="28"/>
                <w:sz w:val="24"/>
              </w:rPr>
              <w:t>NH</w:t>
            </w:r>
            <w:r>
              <w:rPr>
                <w:rFonts w:hAnsi="宋体"/>
                <w:bCs/>
                <w:kern w:val="28"/>
                <w:sz w:val="24"/>
                <w:vertAlign w:val="subscript"/>
              </w:rPr>
              <w:t>3</w:t>
            </w:r>
            <w:r>
              <w:rPr>
                <w:rFonts w:hAnsi="宋体"/>
                <w:bCs/>
                <w:kern w:val="28"/>
                <w:sz w:val="24"/>
              </w:rPr>
              <w:t>-N</w:t>
            </w:r>
            <w:r>
              <w:rPr>
                <w:rFonts w:hint="eastAsia" w:hAnsi="宋体"/>
                <w:bCs/>
                <w:kern w:val="28"/>
                <w:sz w:val="24"/>
              </w:rPr>
              <w:t>、</w:t>
            </w:r>
            <w:r>
              <w:rPr>
                <w:rFonts w:hAnsi="宋体"/>
                <w:bCs/>
                <w:kern w:val="28"/>
                <w:sz w:val="24"/>
              </w:rPr>
              <w:t>TN</w:t>
            </w:r>
            <w:r>
              <w:rPr>
                <w:rFonts w:hint="eastAsia" w:hAnsi="宋体"/>
                <w:bCs/>
                <w:kern w:val="28"/>
                <w:sz w:val="24"/>
              </w:rPr>
              <w:t>、</w:t>
            </w:r>
            <w:r>
              <w:rPr>
                <w:rFonts w:hAnsi="宋体"/>
                <w:bCs/>
                <w:kern w:val="28"/>
                <w:sz w:val="24"/>
              </w:rPr>
              <w:t>TP</w:t>
            </w:r>
            <w:r>
              <w:rPr>
                <w:rFonts w:hint="eastAsia" w:hAnsi="宋体"/>
                <w:bCs/>
                <w:kern w:val="28"/>
                <w:sz w:val="24"/>
              </w:rPr>
              <w:t>的去除率分别为83.3%、92.8%、94.4%、84.3%、57.1%、83.3%，处理后出水水质可满足</w:t>
            </w:r>
            <w:r>
              <w:rPr>
                <w:rFonts w:hAnsi="宋体"/>
                <w:kern w:val="28"/>
                <w:sz w:val="24"/>
              </w:rPr>
              <w:t>《城镇污水处理厂污染物排放标准》（GB18918-2002）一级</w:t>
            </w:r>
            <w:r>
              <w:rPr>
                <w:rFonts w:hint="eastAsia" w:hAnsi="宋体"/>
                <w:kern w:val="28"/>
                <w:sz w:val="24"/>
              </w:rPr>
              <w:t>A</w:t>
            </w:r>
            <w:r>
              <w:rPr>
                <w:rFonts w:hAnsi="宋体"/>
                <w:kern w:val="28"/>
                <w:sz w:val="24"/>
              </w:rPr>
              <w:t>标准</w:t>
            </w:r>
            <w:r>
              <w:rPr>
                <w:rFonts w:hint="eastAsia" w:hAnsi="宋体"/>
                <w:kern w:val="28"/>
                <w:sz w:val="24"/>
              </w:rPr>
              <w:t>要求。</w:t>
            </w:r>
          </w:p>
          <w:p>
            <w:pPr>
              <w:spacing w:line="360" w:lineRule="auto"/>
              <w:ind w:firstLine="480" w:firstLineChars="200"/>
              <w:rPr>
                <w:rFonts w:hAnsi="宋体"/>
                <w:kern w:val="28"/>
                <w:sz w:val="24"/>
              </w:rPr>
            </w:pPr>
            <w:r>
              <w:rPr>
                <w:rFonts w:hint="eastAsia" w:hAnsi="宋体"/>
                <w:kern w:val="28"/>
                <w:sz w:val="24"/>
              </w:rPr>
              <w:t>公路地面径流需采取以下措施：</w:t>
            </w:r>
          </w:p>
          <w:p>
            <w:pPr>
              <w:spacing w:line="360" w:lineRule="auto"/>
              <w:ind w:firstLine="480" w:firstLineChars="200"/>
              <w:rPr>
                <w:rFonts w:hAnsi="宋体"/>
                <w:kern w:val="28"/>
                <w:sz w:val="24"/>
              </w:rPr>
            </w:pPr>
            <w:r>
              <w:rPr>
                <w:rFonts w:hAnsi="宋体"/>
                <w:kern w:val="28"/>
                <w:sz w:val="24"/>
              </w:rPr>
              <w:t xml:space="preserve">⑴加强日常道路清扫和管理，减少进入路面径流的污染物量； </w:t>
            </w:r>
          </w:p>
          <w:p>
            <w:pPr>
              <w:spacing w:line="360" w:lineRule="auto"/>
              <w:ind w:firstLine="480" w:firstLineChars="200"/>
              <w:rPr>
                <w:rFonts w:hAnsi="宋体"/>
                <w:kern w:val="28"/>
                <w:sz w:val="24"/>
              </w:rPr>
            </w:pPr>
            <w:r>
              <w:rPr>
                <w:rFonts w:hAnsi="宋体"/>
                <w:kern w:val="28"/>
                <w:sz w:val="24"/>
              </w:rPr>
              <w:t xml:space="preserve">⑵加强对道路货物运输的管理，减少抛洒； </w:t>
            </w:r>
          </w:p>
          <w:p>
            <w:pPr>
              <w:spacing w:line="360" w:lineRule="auto"/>
              <w:ind w:firstLine="480" w:firstLineChars="200"/>
              <w:rPr>
                <w:rFonts w:hAnsi="宋体"/>
                <w:kern w:val="28"/>
                <w:sz w:val="24"/>
              </w:rPr>
            </w:pPr>
            <w:r>
              <w:rPr>
                <w:rFonts w:hAnsi="宋体"/>
                <w:kern w:val="28"/>
                <w:sz w:val="24"/>
              </w:rPr>
              <w:t>⑶定期检查道路沿线的集水设施，确保排水通畅</w:t>
            </w:r>
            <w:r>
              <w:rPr>
                <w:rFonts w:hint="eastAsia" w:hAnsi="宋体"/>
                <w:kern w:val="28"/>
                <w:sz w:val="24"/>
              </w:rPr>
              <w:t>，禁止漫流</w:t>
            </w:r>
            <w:r>
              <w:rPr>
                <w:rFonts w:hAnsi="宋体"/>
                <w:kern w:val="28"/>
                <w:sz w:val="24"/>
              </w:rPr>
              <w:t>。</w:t>
            </w:r>
          </w:p>
          <w:p>
            <w:pPr>
              <w:spacing w:line="360" w:lineRule="auto"/>
              <w:ind w:firstLine="480" w:firstLineChars="200"/>
              <w:rPr>
                <w:rFonts w:hAnsi="宋体"/>
                <w:kern w:val="28"/>
                <w:sz w:val="24"/>
              </w:rPr>
            </w:pPr>
            <w:r>
              <w:rPr>
                <w:rFonts w:hint="eastAsia" w:hAnsi="宋体"/>
                <w:kern w:val="28"/>
                <w:sz w:val="24"/>
              </w:rPr>
              <w:t>项目新建896m雨水管，结合原有雨污合流管网，组成雨水管网系统，太昌乡镇街道雨水经雨水管网导排，禁止漫流。</w:t>
            </w:r>
          </w:p>
          <w:p>
            <w:pPr>
              <w:spacing w:line="360" w:lineRule="auto"/>
              <w:ind w:firstLine="482" w:firstLineChars="200"/>
              <w:jc w:val="left"/>
              <w:rPr>
                <w:b/>
                <w:kern w:val="28"/>
                <w:sz w:val="24"/>
              </w:rPr>
            </w:pPr>
            <w:r>
              <w:rPr>
                <w:rFonts w:hint="eastAsia"/>
                <w:b/>
                <w:kern w:val="28"/>
                <w:sz w:val="24"/>
              </w:rPr>
              <w:t>2、废气污染防治措施</w:t>
            </w:r>
          </w:p>
          <w:p>
            <w:pPr>
              <w:spacing w:line="360" w:lineRule="auto"/>
              <w:ind w:firstLine="480" w:firstLineChars="200"/>
              <w:jc w:val="left"/>
              <w:rPr>
                <w:kern w:val="28"/>
                <w:sz w:val="24"/>
              </w:rPr>
            </w:pPr>
            <w:r>
              <w:rPr>
                <w:rFonts w:hint="eastAsia"/>
                <w:kern w:val="28"/>
                <w:sz w:val="24"/>
              </w:rPr>
              <w:t>（1）污水站恶臭</w:t>
            </w:r>
          </w:p>
          <w:p>
            <w:pPr>
              <w:spacing w:line="360" w:lineRule="auto"/>
              <w:ind w:firstLine="480" w:firstLineChars="200"/>
              <w:jc w:val="left"/>
              <w:rPr>
                <w:kern w:val="28"/>
                <w:sz w:val="24"/>
              </w:rPr>
            </w:pPr>
            <w:r>
              <w:rPr>
                <w:kern w:val="28"/>
                <w:sz w:val="24"/>
              </w:rPr>
              <w:t>在污水处理工艺过程中产生气味的物质主要由碳、氮和硫元素组成，只有少数的气味物质是无机化合物（比如氨（NH</w:t>
            </w:r>
            <w:r>
              <w:rPr>
                <w:kern w:val="28"/>
                <w:sz w:val="24"/>
                <w:vertAlign w:val="subscript"/>
              </w:rPr>
              <w:t>3</w:t>
            </w:r>
            <w:r>
              <w:rPr>
                <w:kern w:val="28"/>
                <w:sz w:val="24"/>
              </w:rPr>
              <w:t>）、膦（PH</w:t>
            </w:r>
            <w:r>
              <w:rPr>
                <w:kern w:val="28"/>
                <w:sz w:val="24"/>
                <w:vertAlign w:val="subscript"/>
              </w:rPr>
              <w:t>3</w:t>
            </w:r>
            <w:r>
              <w:rPr>
                <w:kern w:val="28"/>
                <w:sz w:val="24"/>
              </w:rPr>
              <w:t>）和硫化氢（H</w:t>
            </w:r>
            <w:r>
              <w:rPr>
                <w:kern w:val="28"/>
                <w:sz w:val="24"/>
                <w:vertAlign w:val="subscript"/>
              </w:rPr>
              <w:t>2</w:t>
            </w:r>
            <w:r>
              <w:rPr>
                <w:kern w:val="28"/>
                <w:sz w:val="24"/>
              </w:rPr>
              <w:t>S）），大多数是有机物（比如低分子脂肪酸、胺类、杂环的氮或硫化物）。</w:t>
            </w:r>
          </w:p>
          <w:p>
            <w:pPr>
              <w:spacing w:line="360" w:lineRule="auto"/>
              <w:ind w:firstLine="480" w:firstLineChars="200"/>
              <w:jc w:val="left"/>
              <w:rPr>
                <w:bCs/>
                <w:kern w:val="28"/>
                <w:sz w:val="24"/>
              </w:rPr>
            </w:pPr>
            <w:r>
              <w:rPr>
                <w:rFonts w:hint="eastAsia"/>
                <w:kern w:val="28"/>
                <w:sz w:val="24"/>
              </w:rPr>
              <w:t>根据现场调查，拟建项目选址位于太昌镇街道南侧，于主导风向的侧风向，本次</w:t>
            </w:r>
            <w:r>
              <w:rPr>
                <w:kern w:val="28"/>
                <w:sz w:val="24"/>
              </w:rPr>
              <w:t>拟建污水处理</w:t>
            </w:r>
            <w:r>
              <w:rPr>
                <w:rFonts w:hint="eastAsia"/>
                <w:kern w:val="28"/>
                <w:sz w:val="24"/>
              </w:rPr>
              <w:t>设施均为封闭地埋式设施，均有加盖封闭措施。兼职工作人员</w:t>
            </w:r>
            <w:r>
              <w:rPr>
                <w:rFonts w:hint="eastAsia"/>
                <w:bCs/>
                <w:kern w:val="28"/>
                <w:sz w:val="24"/>
              </w:rPr>
              <w:t>巡查维修，不得出现破损逸散废气情况。</w:t>
            </w:r>
            <w:r>
              <w:rPr>
                <w:rFonts w:hint="eastAsia"/>
                <w:kern w:val="28"/>
                <w:sz w:val="24"/>
              </w:rPr>
              <w:t>经过预测分析，恶臭逸出无组织排放能够达到</w:t>
            </w:r>
            <w:r>
              <w:rPr>
                <w:bCs/>
                <w:kern w:val="28"/>
                <w:sz w:val="24"/>
              </w:rPr>
              <w:t>《城镇污水处理厂污染物排放标准》（GB18918-2002）中表4</w:t>
            </w:r>
            <w:r>
              <w:rPr>
                <w:rFonts w:hint="eastAsia"/>
                <w:bCs/>
                <w:kern w:val="28"/>
                <w:sz w:val="24"/>
              </w:rPr>
              <w:t>浓度限值要求。本次环评建议建设单位根据实际建设条件，可在污水站周围布置绿化，降低废气对周围环境的影响。</w:t>
            </w:r>
          </w:p>
          <w:p>
            <w:pPr>
              <w:adjustRightInd w:val="0"/>
              <w:snapToGrid w:val="0"/>
              <w:spacing w:line="360" w:lineRule="auto"/>
              <w:ind w:firstLine="480" w:firstLineChars="200"/>
              <w:rPr>
                <w:bCs/>
                <w:kern w:val="28"/>
                <w:sz w:val="24"/>
              </w:rPr>
            </w:pPr>
            <w:r>
              <w:rPr>
                <w:rFonts w:hint="eastAsia"/>
                <w:bCs/>
                <w:kern w:val="28"/>
                <w:sz w:val="24"/>
              </w:rPr>
              <w:t>（2）道路汽车尾气及扬尘</w:t>
            </w:r>
          </w:p>
          <w:p>
            <w:pPr>
              <w:spacing w:line="360" w:lineRule="auto"/>
              <w:ind w:firstLine="480" w:firstLineChars="200"/>
              <w:jc w:val="left"/>
              <w:rPr>
                <w:bCs/>
                <w:kern w:val="28"/>
                <w:sz w:val="24"/>
              </w:rPr>
            </w:pPr>
            <w:r>
              <w:rPr>
                <w:rFonts w:hint="eastAsia"/>
                <w:bCs/>
                <w:kern w:val="28"/>
                <w:sz w:val="24"/>
              </w:rPr>
              <w:t>街道公路运营期对大气环境</w:t>
            </w:r>
            <w:r>
              <w:rPr>
                <w:bCs/>
                <w:kern w:val="28"/>
                <w:sz w:val="24"/>
              </w:rPr>
              <w:t>的影响主要是汽车尾气的污染，应采取如下措施：</w:t>
            </w:r>
          </w:p>
          <w:p>
            <w:pPr>
              <w:spacing w:line="360" w:lineRule="auto"/>
              <w:ind w:firstLine="480" w:firstLineChars="200"/>
              <w:jc w:val="left"/>
              <w:rPr>
                <w:bCs/>
                <w:kern w:val="28"/>
                <w:sz w:val="24"/>
              </w:rPr>
            </w:pPr>
            <w:r>
              <w:rPr>
                <w:rFonts w:hint="eastAsia" w:ascii="宋体" w:hAnsi="宋体" w:cs="宋体"/>
                <w:bCs/>
                <w:kern w:val="28"/>
                <w:sz w:val="24"/>
              </w:rPr>
              <w:t>⑴</w:t>
            </w:r>
            <w:r>
              <w:rPr>
                <w:bCs/>
                <w:kern w:val="28"/>
                <w:sz w:val="24"/>
              </w:rPr>
              <w:t xml:space="preserve">加强公路运行管理，严格车管制度，限制尾气超标车辆、无遮盖措施的装载散装物料的车辆上路； </w:t>
            </w:r>
          </w:p>
          <w:p>
            <w:pPr>
              <w:spacing w:line="360" w:lineRule="auto"/>
              <w:ind w:firstLine="480" w:firstLineChars="200"/>
              <w:jc w:val="left"/>
              <w:rPr>
                <w:bCs/>
                <w:kern w:val="28"/>
                <w:sz w:val="24"/>
              </w:rPr>
            </w:pPr>
            <w:r>
              <w:rPr>
                <w:rFonts w:hint="eastAsia" w:ascii="宋体" w:hAnsi="宋体" w:cs="宋体"/>
                <w:bCs/>
                <w:kern w:val="28"/>
                <w:sz w:val="24"/>
              </w:rPr>
              <w:t>⑵</w:t>
            </w:r>
            <w:r>
              <w:rPr>
                <w:bCs/>
                <w:kern w:val="28"/>
                <w:sz w:val="24"/>
              </w:rPr>
              <w:t xml:space="preserve">加强路面养护和清洁，维护良好的路况，减少扬尘和汽车尾气污染； </w:t>
            </w:r>
          </w:p>
          <w:p>
            <w:pPr>
              <w:spacing w:line="360" w:lineRule="auto"/>
              <w:ind w:firstLine="480" w:firstLineChars="200"/>
              <w:jc w:val="left"/>
              <w:rPr>
                <w:bCs/>
                <w:kern w:val="28"/>
                <w:sz w:val="24"/>
              </w:rPr>
            </w:pPr>
            <w:r>
              <w:rPr>
                <w:rFonts w:hint="eastAsia" w:ascii="宋体" w:hAnsi="宋体" w:cs="宋体"/>
                <w:bCs/>
                <w:kern w:val="28"/>
                <w:sz w:val="24"/>
              </w:rPr>
              <w:t>⑶</w:t>
            </w:r>
            <w:r>
              <w:rPr>
                <w:bCs/>
                <w:kern w:val="28"/>
                <w:sz w:val="24"/>
              </w:rPr>
              <w:t>配备</w:t>
            </w:r>
            <w:r>
              <w:rPr>
                <w:bCs/>
                <w:kern w:val="28"/>
                <w:sz w:val="24"/>
                <w:highlight w:val="lightGray"/>
              </w:rPr>
              <w:t>洒水</w:t>
            </w:r>
            <w:r>
              <w:rPr>
                <w:rFonts w:hint="eastAsia"/>
                <w:bCs/>
                <w:kern w:val="28"/>
                <w:sz w:val="24"/>
                <w:highlight w:val="lightGray"/>
              </w:rPr>
              <w:t>设施</w:t>
            </w:r>
            <w:r>
              <w:rPr>
                <w:bCs/>
                <w:kern w:val="28"/>
                <w:sz w:val="24"/>
                <w:highlight w:val="lightGray"/>
              </w:rPr>
              <w:t>，</w:t>
            </w:r>
            <w:r>
              <w:rPr>
                <w:bCs/>
                <w:kern w:val="28"/>
                <w:sz w:val="24"/>
              </w:rPr>
              <w:t xml:space="preserve">由环卫部门定期对道路实施洒水；尤其在夏冬两季，气候干燥且风力较大时，应增加洒水次数以降低起尘量； </w:t>
            </w:r>
          </w:p>
          <w:p>
            <w:pPr>
              <w:spacing w:line="360" w:lineRule="auto"/>
              <w:ind w:firstLine="480" w:firstLineChars="200"/>
              <w:jc w:val="left"/>
              <w:rPr>
                <w:bCs/>
                <w:kern w:val="28"/>
                <w:sz w:val="24"/>
              </w:rPr>
            </w:pPr>
            <w:r>
              <w:rPr>
                <w:rFonts w:hint="eastAsia" w:ascii="宋体" w:hAnsi="宋体" w:cs="宋体"/>
                <w:bCs/>
                <w:kern w:val="28"/>
                <w:sz w:val="24"/>
              </w:rPr>
              <w:t>⑷</w:t>
            </w:r>
            <w:r>
              <w:rPr>
                <w:bCs/>
                <w:kern w:val="28"/>
                <w:sz w:val="24"/>
              </w:rPr>
              <w:t xml:space="preserve">对于性能较差的汽车或即将淘汰的汽车，需加装尾气净化装置，定期由交通主管部门监测尾气排放情况，对于无法实现尾气达标排放的车辆严禁上路； </w:t>
            </w:r>
          </w:p>
          <w:p>
            <w:pPr>
              <w:spacing w:line="360" w:lineRule="auto"/>
              <w:ind w:firstLine="480" w:firstLineChars="200"/>
              <w:jc w:val="left"/>
              <w:rPr>
                <w:bCs/>
                <w:kern w:val="28"/>
                <w:sz w:val="24"/>
              </w:rPr>
            </w:pPr>
            <w:r>
              <w:rPr>
                <w:rFonts w:hint="eastAsia" w:ascii="宋体" w:hAnsi="宋体" w:cs="宋体"/>
                <w:bCs/>
                <w:kern w:val="28"/>
                <w:sz w:val="24"/>
              </w:rPr>
              <w:t>⑸</w:t>
            </w:r>
            <w:r>
              <w:rPr>
                <w:bCs/>
                <w:kern w:val="28"/>
                <w:sz w:val="24"/>
              </w:rPr>
              <w:t xml:space="preserve">加强车辆管理制度，严禁大型载重车辆、无标车辆驶入，避免大气污染物增加； </w:t>
            </w:r>
          </w:p>
          <w:p>
            <w:pPr>
              <w:spacing w:line="360" w:lineRule="auto"/>
              <w:ind w:firstLine="480" w:firstLineChars="200"/>
              <w:jc w:val="left"/>
              <w:rPr>
                <w:kern w:val="28"/>
                <w:sz w:val="24"/>
              </w:rPr>
            </w:pPr>
            <w:r>
              <w:rPr>
                <w:rFonts w:hint="eastAsia" w:ascii="宋体" w:hAnsi="宋体" w:cs="宋体"/>
                <w:bCs/>
                <w:kern w:val="28"/>
                <w:sz w:val="24"/>
              </w:rPr>
              <w:t>⑹</w:t>
            </w:r>
            <w:r>
              <w:rPr>
                <w:bCs/>
                <w:kern w:val="28"/>
                <w:sz w:val="24"/>
              </w:rPr>
              <w:t>建议根据当地的气候和土壤特点在靠近道路两侧种植乡土物种的乔、灌木，并加强对道路沿线绿化的养护。</w:t>
            </w:r>
          </w:p>
          <w:p>
            <w:pPr>
              <w:spacing w:line="360" w:lineRule="auto"/>
              <w:ind w:firstLine="482" w:firstLineChars="200"/>
              <w:jc w:val="left"/>
              <w:rPr>
                <w:rFonts w:hAnsi="宋体"/>
                <w:b/>
                <w:kern w:val="28"/>
                <w:sz w:val="24"/>
              </w:rPr>
            </w:pPr>
            <w:r>
              <w:rPr>
                <w:rFonts w:hint="eastAsia"/>
                <w:b/>
                <w:kern w:val="28"/>
                <w:sz w:val="24"/>
              </w:rPr>
              <w:t>3</w:t>
            </w:r>
            <w:r>
              <w:rPr>
                <w:rFonts w:hint="eastAsia" w:hAnsi="宋体"/>
                <w:b/>
                <w:kern w:val="28"/>
                <w:sz w:val="24"/>
              </w:rPr>
              <w:t>、噪声排放与防治措施</w:t>
            </w:r>
          </w:p>
          <w:p>
            <w:pPr>
              <w:spacing w:line="360" w:lineRule="auto"/>
              <w:ind w:firstLine="480" w:firstLineChars="200"/>
              <w:jc w:val="left"/>
              <w:rPr>
                <w:rFonts w:hAnsi="宋体"/>
                <w:bCs/>
                <w:kern w:val="28"/>
                <w:sz w:val="24"/>
              </w:rPr>
            </w:pPr>
            <w:r>
              <w:rPr>
                <w:rFonts w:hAnsi="宋体"/>
                <w:bCs/>
                <w:kern w:val="28"/>
                <w:sz w:val="24"/>
              </w:rPr>
              <w:t>污水</w:t>
            </w:r>
            <w:r>
              <w:rPr>
                <w:rFonts w:hint="eastAsia" w:hAnsi="宋体"/>
                <w:bCs/>
                <w:kern w:val="28"/>
                <w:sz w:val="24"/>
              </w:rPr>
              <w:t>处理站</w:t>
            </w:r>
            <w:r>
              <w:rPr>
                <w:rFonts w:hAnsi="宋体"/>
                <w:bCs/>
                <w:kern w:val="28"/>
                <w:sz w:val="24"/>
              </w:rPr>
              <w:t>运行期间主要噪声源均为泵类和鼓风机等设备，根据设备特征和噪声特性，项目采取以下措施：</w:t>
            </w:r>
          </w:p>
          <w:p>
            <w:pPr>
              <w:spacing w:line="360" w:lineRule="auto"/>
              <w:ind w:firstLine="480" w:firstLineChars="200"/>
              <w:jc w:val="left"/>
              <w:rPr>
                <w:rFonts w:hAnsi="宋体"/>
                <w:bCs/>
                <w:kern w:val="28"/>
                <w:sz w:val="24"/>
              </w:rPr>
            </w:pPr>
            <w:r>
              <w:rPr>
                <w:rFonts w:hint="eastAsia" w:hAnsi="宋体"/>
                <w:bCs/>
                <w:kern w:val="28"/>
                <w:sz w:val="24"/>
              </w:rPr>
              <w:t>（1）</w:t>
            </w:r>
            <w:r>
              <w:rPr>
                <w:rFonts w:hAnsi="宋体"/>
                <w:bCs/>
                <w:kern w:val="28"/>
                <w:sz w:val="24"/>
              </w:rPr>
              <w:t>设备选型时，在考虑性价比的同时，应注意其噪声指标值。</w:t>
            </w:r>
          </w:p>
          <w:p>
            <w:pPr>
              <w:spacing w:line="360" w:lineRule="auto"/>
              <w:ind w:firstLine="480" w:firstLineChars="200"/>
              <w:jc w:val="left"/>
              <w:rPr>
                <w:rFonts w:hAnsi="宋体"/>
                <w:bCs/>
                <w:kern w:val="28"/>
                <w:sz w:val="24"/>
              </w:rPr>
            </w:pPr>
            <w:r>
              <w:rPr>
                <w:rFonts w:hint="eastAsia" w:hAnsi="宋体"/>
                <w:bCs/>
                <w:kern w:val="28"/>
                <w:sz w:val="24"/>
              </w:rPr>
              <w:t>（2）</w:t>
            </w:r>
            <w:r>
              <w:rPr>
                <w:rFonts w:hAnsi="宋体"/>
                <w:bCs/>
                <w:kern w:val="28"/>
                <w:sz w:val="24"/>
              </w:rPr>
              <w:t>噪声源应设消音、吸音设施，机组设分离基础和橡胶垫片减震；</w:t>
            </w:r>
          </w:p>
          <w:p>
            <w:pPr>
              <w:spacing w:line="360" w:lineRule="auto"/>
              <w:ind w:firstLine="480" w:firstLineChars="200"/>
              <w:jc w:val="left"/>
              <w:rPr>
                <w:rFonts w:hAnsi="宋体"/>
                <w:bCs/>
                <w:kern w:val="28"/>
                <w:sz w:val="24"/>
              </w:rPr>
            </w:pPr>
            <w:r>
              <w:rPr>
                <w:rFonts w:hint="eastAsia" w:hAnsi="宋体"/>
                <w:bCs/>
                <w:kern w:val="28"/>
                <w:sz w:val="24"/>
              </w:rPr>
              <w:t>（3）</w:t>
            </w:r>
            <w:r>
              <w:rPr>
                <w:rFonts w:hAnsi="宋体"/>
                <w:bCs/>
                <w:kern w:val="28"/>
                <w:sz w:val="24"/>
              </w:rPr>
              <w:t>噪声源外加强绿化，厂界四周布置绿化隔离带，建议根据当地气候和土壤特点种植杨树、柳树等乔木。</w:t>
            </w:r>
          </w:p>
          <w:p>
            <w:pPr>
              <w:spacing w:line="360" w:lineRule="auto"/>
              <w:ind w:firstLine="480" w:firstLineChars="200"/>
              <w:jc w:val="left"/>
              <w:rPr>
                <w:rFonts w:hAnsi="宋体"/>
                <w:bCs/>
                <w:kern w:val="28"/>
                <w:sz w:val="24"/>
              </w:rPr>
            </w:pPr>
            <w:r>
              <w:rPr>
                <w:rFonts w:hint="eastAsia" w:hAnsi="宋体"/>
                <w:bCs/>
                <w:kern w:val="28"/>
                <w:sz w:val="24"/>
              </w:rPr>
              <w:t>（4）</w:t>
            </w:r>
            <w:r>
              <w:rPr>
                <w:rFonts w:hAnsi="宋体"/>
                <w:bCs/>
                <w:kern w:val="28"/>
                <w:sz w:val="24"/>
              </w:rPr>
              <w:t>注意设备的日常维护、管理、确保设备的正常运行，减少设备异常运转的噪声影响。</w:t>
            </w:r>
          </w:p>
          <w:p>
            <w:pPr>
              <w:spacing w:line="360" w:lineRule="auto"/>
              <w:ind w:firstLine="480" w:firstLineChars="200"/>
              <w:jc w:val="left"/>
              <w:rPr>
                <w:rFonts w:hAnsi="宋体"/>
                <w:bCs/>
                <w:kern w:val="28"/>
                <w:sz w:val="24"/>
              </w:rPr>
            </w:pPr>
            <w:r>
              <w:rPr>
                <w:rFonts w:hint="eastAsia" w:hAnsi="宋体"/>
                <w:bCs/>
                <w:kern w:val="28"/>
                <w:sz w:val="24"/>
              </w:rPr>
              <w:t>（5）</w:t>
            </w:r>
            <w:r>
              <w:rPr>
                <w:rFonts w:hAnsi="宋体"/>
                <w:bCs/>
                <w:kern w:val="28"/>
                <w:sz w:val="24"/>
              </w:rPr>
              <w:t>合理布局高噪声设备，使高噪声设备远离居民点等声环境敏感点。</w:t>
            </w:r>
          </w:p>
          <w:p>
            <w:pPr>
              <w:spacing w:line="360" w:lineRule="auto"/>
              <w:ind w:firstLine="480" w:firstLineChars="200"/>
              <w:jc w:val="left"/>
              <w:rPr>
                <w:rFonts w:hAnsi="宋体"/>
                <w:kern w:val="28"/>
                <w:sz w:val="24"/>
              </w:rPr>
            </w:pPr>
            <w:r>
              <w:rPr>
                <w:rFonts w:hAnsi="宋体"/>
                <w:kern w:val="28"/>
                <w:sz w:val="24"/>
              </w:rPr>
              <w:t>拟建项目噪声源经吸声、隔声、消声、减震等措施后，厂界处贡献值噪声均满足《工业企业厂界环境噪声排放标准》（GB12348-2008）中2类区要求。</w:t>
            </w:r>
          </w:p>
          <w:p>
            <w:pPr>
              <w:spacing w:line="360" w:lineRule="auto"/>
              <w:ind w:firstLine="480" w:firstLineChars="200"/>
              <w:jc w:val="left"/>
              <w:rPr>
                <w:rFonts w:hAnsi="宋体"/>
                <w:kern w:val="28"/>
                <w:sz w:val="24"/>
              </w:rPr>
            </w:pPr>
            <w:r>
              <w:rPr>
                <w:rFonts w:hint="eastAsia" w:hAnsi="宋体"/>
                <w:kern w:val="28"/>
                <w:sz w:val="24"/>
              </w:rPr>
              <w:t>街道车辆交通噪声，采取如下管理措施：</w:t>
            </w:r>
          </w:p>
          <w:p>
            <w:pPr>
              <w:spacing w:line="360" w:lineRule="auto"/>
              <w:ind w:firstLine="480" w:firstLineChars="200"/>
              <w:jc w:val="left"/>
              <w:rPr>
                <w:rFonts w:hAnsi="宋体"/>
                <w:kern w:val="28"/>
                <w:sz w:val="24"/>
              </w:rPr>
            </w:pPr>
            <w:r>
              <w:rPr>
                <w:rFonts w:hint="eastAsia" w:hAnsi="宋体"/>
                <w:kern w:val="28"/>
                <w:sz w:val="24"/>
              </w:rPr>
              <w:t>①经常维护路面的平整度，避免应路况不佳造成车辆颠簸而引起交通噪声的增大。</w:t>
            </w:r>
          </w:p>
          <w:p>
            <w:pPr>
              <w:spacing w:line="360" w:lineRule="auto"/>
              <w:ind w:firstLine="480" w:firstLineChars="200"/>
              <w:jc w:val="left"/>
              <w:rPr>
                <w:rFonts w:hAnsi="宋体"/>
                <w:kern w:val="28"/>
                <w:sz w:val="24"/>
              </w:rPr>
            </w:pPr>
            <w:r>
              <w:rPr>
                <w:rFonts w:hint="eastAsia" w:hAnsi="宋体"/>
                <w:kern w:val="28"/>
                <w:sz w:val="24"/>
              </w:rPr>
              <w:t>②加强监控，安装超速监控设施，防止车辆超速行驶。</w:t>
            </w:r>
          </w:p>
          <w:p>
            <w:pPr>
              <w:spacing w:line="360" w:lineRule="auto"/>
              <w:ind w:firstLine="480" w:firstLineChars="200"/>
              <w:jc w:val="left"/>
              <w:rPr>
                <w:rFonts w:hAnsi="宋体"/>
                <w:kern w:val="28"/>
                <w:sz w:val="24"/>
              </w:rPr>
            </w:pPr>
            <w:r>
              <w:rPr>
                <w:rFonts w:hint="eastAsia" w:hAnsi="宋体"/>
                <w:kern w:val="28"/>
                <w:sz w:val="24"/>
              </w:rPr>
              <w:t>③设置禁鸣标志，并加强管理和监督，避免由鸣笛导致的交通噪声增大情况。</w:t>
            </w:r>
          </w:p>
          <w:p>
            <w:pPr>
              <w:spacing w:line="360" w:lineRule="auto"/>
              <w:ind w:firstLine="480" w:firstLineChars="200"/>
              <w:jc w:val="left"/>
              <w:rPr>
                <w:rFonts w:hAnsi="宋体"/>
                <w:kern w:val="28"/>
                <w:sz w:val="24"/>
              </w:rPr>
            </w:pPr>
            <w:r>
              <w:rPr>
                <w:rFonts w:hint="eastAsia" w:hAnsi="宋体"/>
                <w:kern w:val="28"/>
                <w:sz w:val="24"/>
              </w:rPr>
              <w:t>④在道路临近东风村等居民点处设置限速禁鸣警示牌，严禁通行车辆鸣笛、超速行驶，设置减速带。</w:t>
            </w:r>
          </w:p>
          <w:p>
            <w:pPr>
              <w:spacing w:line="360" w:lineRule="auto"/>
              <w:ind w:firstLine="480" w:firstLineChars="200"/>
              <w:jc w:val="left"/>
              <w:rPr>
                <w:rFonts w:hAnsi="宋体"/>
                <w:kern w:val="28"/>
                <w:sz w:val="24"/>
              </w:rPr>
            </w:pPr>
            <w:r>
              <w:rPr>
                <w:rFonts w:hAnsi="宋体"/>
                <w:kern w:val="28"/>
                <w:sz w:val="24"/>
              </w:rPr>
              <w:t>综上所述，噪声治理措施是可行的。</w:t>
            </w:r>
          </w:p>
          <w:p>
            <w:pPr>
              <w:spacing w:line="360" w:lineRule="auto"/>
              <w:ind w:firstLine="482" w:firstLineChars="200"/>
              <w:jc w:val="left"/>
              <w:rPr>
                <w:rFonts w:hAnsi="宋体"/>
                <w:b/>
                <w:kern w:val="28"/>
                <w:sz w:val="24"/>
              </w:rPr>
            </w:pPr>
            <w:r>
              <w:rPr>
                <w:rFonts w:hint="eastAsia" w:hAnsi="宋体"/>
                <w:b/>
                <w:kern w:val="28"/>
                <w:sz w:val="24"/>
              </w:rPr>
              <w:t>4、固废排放与防治措施</w:t>
            </w:r>
          </w:p>
          <w:p>
            <w:pPr>
              <w:spacing w:line="360" w:lineRule="auto"/>
              <w:ind w:firstLine="480" w:firstLineChars="200"/>
              <w:rPr>
                <w:rFonts w:hAnsi="宋体"/>
                <w:sz w:val="24"/>
              </w:rPr>
            </w:pPr>
            <w:r>
              <w:rPr>
                <w:rFonts w:hAnsi="宋体"/>
                <w:sz w:val="24"/>
              </w:rPr>
              <w:t>拟建项目营运后，固体废弃物主要</w:t>
            </w:r>
            <w:r>
              <w:rPr>
                <w:rFonts w:hint="eastAsia" w:hAnsi="宋体"/>
                <w:sz w:val="24"/>
              </w:rPr>
              <w:t>有</w:t>
            </w:r>
            <w:r>
              <w:rPr>
                <w:rFonts w:hint="eastAsia"/>
                <w:sz w:val="24"/>
              </w:rPr>
              <w:t>污水站污水处理产生的格栅渣、剩余污泥和废滤料，公路上</w:t>
            </w:r>
            <w:r>
              <w:rPr>
                <w:rFonts w:hint="eastAsia"/>
                <w:bCs/>
                <w:sz w:val="24"/>
              </w:rPr>
              <w:t>行人与乘客随意抛洒的生活垃圾、落叶等；广场娱乐活动产生的生活垃圾；雨污水管网淤泥。</w:t>
            </w:r>
          </w:p>
          <w:p>
            <w:pPr>
              <w:spacing w:line="360" w:lineRule="auto"/>
              <w:ind w:firstLine="480" w:firstLineChars="200"/>
              <w:rPr>
                <w:rFonts w:hAnsi="宋体"/>
                <w:sz w:val="24"/>
              </w:rPr>
            </w:pPr>
            <w:r>
              <w:rPr>
                <w:rFonts w:hint="eastAsia" w:hAnsi="宋体"/>
                <w:sz w:val="24"/>
              </w:rPr>
              <w:t>（1）</w:t>
            </w:r>
            <w:r>
              <w:rPr>
                <w:rFonts w:hAnsi="宋体"/>
                <w:sz w:val="24"/>
              </w:rPr>
              <w:t>栅渣</w:t>
            </w:r>
          </w:p>
          <w:p>
            <w:pPr>
              <w:spacing w:line="360" w:lineRule="auto"/>
              <w:ind w:firstLine="480" w:firstLineChars="200"/>
              <w:rPr>
                <w:rFonts w:hAnsi="宋体"/>
                <w:sz w:val="24"/>
              </w:rPr>
            </w:pPr>
            <w:r>
              <w:rPr>
                <w:rFonts w:hAnsi="宋体"/>
                <w:sz w:val="24"/>
              </w:rPr>
              <w:t>废渣处理主要是通过格栅来完成，并</w:t>
            </w:r>
            <w:r>
              <w:rPr>
                <w:rFonts w:hint="eastAsia" w:hAnsi="宋体"/>
                <w:sz w:val="24"/>
              </w:rPr>
              <w:t>定期</w:t>
            </w:r>
            <w:r>
              <w:rPr>
                <w:rFonts w:hAnsi="宋体"/>
                <w:sz w:val="24"/>
              </w:rPr>
              <w:t>将其外运至</w:t>
            </w:r>
            <w:r>
              <w:rPr>
                <w:rFonts w:hint="eastAsia"/>
                <w:sz w:val="24"/>
              </w:rPr>
              <w:t>宁县和盛镇生活垃圾填埋场</w:t>
            </w:r>
            <w:r>
              <w:rPr>
                <w:rFonts w:hAnsi="宋体"/>
                <w:sz w:val="24"/>
              </w:rPr>
              <w:t>卫生填埋。</w:t>
            </w:r>
          </w:p>
          <w:p>
            <w:pPr>
              <w:spacing w:line="360" w:lineRule="auto"/>
              <w:ind w:firstLine="480" w:firstLineChars="200"/>
              <w:rPr>
                <w:rFonts w:hAnsi="宋体"/>
                <w:sz w:val="24"/>
              </w:rPr>
            </w:pPr>
            <w:r>
              <w:rPr>
                <w:rFonts w:hint="eastAsia" w:hAnsi="宋体"/>
                <w:sz w:val="24"/>
              </w:rPr>
              <w:t>（2）</w:t>
            </w:r>
            <w:r>
              <w:rPr>
                <w:rFonts w:hAnsi="宋体"/>
                <w:sz w:val="24"/>
              </w:rPr>
              <w:t>污泥</w:t>
            </w:r>
          </w:p>
          <w:p>
            <w:pPr>
              <w:spacing w:line="360" w:lineRule="auto"/>
              <w:ind w:firstLine="480" w:firstLineChars="200"/>
              <w:rPr>
                <w:sz w:val="24"/>
              </w:rPr>
            </w:pPr>
            <w:r>
              <w:rPr>
                <w:rFonts w:hint="eastAsia"/>
                <w:sz w:val="24"/>
              </w:rPr>
              <w:t>项目污水站剩余污泥</w:t>
            </w:r>
            <w:r>
              <w:rPr>
                <w:rFonts w:hint="eastAsia"/>
                <w:bCs/>
                <w:sz w:val="24"/>
              </w:rPr>
              <w:t>近期交由有资质单位处理，远期建设深度处理，至含水率低于60%送</w:t>
            </w:r>
            <w:r>
              <w:rPr>
                <w:rFonts w:hint="eastAsia"/>
                <w:sz w:val="24"/>
              </w:rPr>
              <w:t>宁县和盛镇生活垃圾填埋场</w:t>
            </w:r>
            <w:r>
              <w:rPr>
                <w:rFonts w:hint="eastAsia"/>
                <w:bCs/>
                <w:sz w:val="24"/>
              </w:rPr>
              <w:t>卫生填埋。</w:t>
            </w:r>
          </w:p>
          <w:p>
            <w:pPr>
              <w:spacing w:line="360" w:lineRule="auto"/>
              <w:ind w:firstLine="480" w:firstLineChars="200"/>
              <w:rPr>
                <w:sz w:val="24"/>
              </w:rPr>
            </w:pPr>
            <w:r>
              <w:rPr>
                <w:rFonts w:hint="eastAsia"/>
                <w:sz w:val="24"/>
              </w:rPr>
              <w:t>（3）废滤料</w:t>
            </w:r>
          </w:p>
          <w:p>
            <w:pPr>
              <w:spacing w:line="360" w:lineRule="auto"/>
              <w:ind w:firstLine="480" w:firstLineChars="200"/>
              <w:rPr>
                <w:sz w:val="24"/>
              </w:rPr>
            </w:pPr>
            <w:r>
              <w:rPr>
                <w:rFonts w:hint="eastAsia"/>
                <w:sz w:val="24"/>
              </w:rPr>
              <w:t>项目污水处理工艺会产生废滤料，外运至宁县和盛镇生活垃圾填埋场卫生填埋。</w:t>
            </w:r>
          </w:p>
          <w:p>
            <w:pPr>
              <w:adjustRightInd w:val="0"/>
              <w:snapToGrid w:val="0"/>
              <w:spacing w:line="360" w:lineRule="auto"/>
              <w:ind w:firstLine="480" w:firstLineChars="200"/>
              <w:rPr>
                <w:sz w:val="24"/>
              </w:rPr>
            </w:pPr>
            <w:r>
              <w:rPr>
                <w:rFonts w:hint="eastAsia"/>
                <w:sz w:val="24"/>
              </w:rPr>
              <w:t>（4）路面垃圾</w:t>
            </w:r>
          </w:p>
          <w:p>
            <w:pPr>
              <w:adjustRightInd w:val="0"/>
              <w:snapToGrid w:val="0"/>
              <w:spacing w:line="360" w:lineRule="auto"/>
              <w:ind w:firstLine="480" w:firstLineChars="200"/>
              <w:rPr>
                <w:sz w:val="24"/>
              </w:rPr>
            </w:pPr>
            <w:r>
              <w:rPr>
                <w:rFonts w:hint="eastAsia"/>
                <w:sz w:val="24"/>
              </w:rPr>
              <w:t>项目公路为太昌镇街道主干道，街道路面生活垃圾清理</w:t>
            </w:r>
            <w:r>
              <w:rPr>
                <w:sz w:val="24"/>
              </w:rPr>
              <w:t>集中收集送至政府指定的生活垃圾填埋场处置，另外公路养护和维修过程中也将产生一定数量的筑路废料</w:t>
            </w:r>
            <w:r>
              <w:rPr>
                <w:rFonts w:hint="eastAsia"/>
                <w:sz w:val="24"/>
              </w:rPr>
              <w:t>，</w:t>
            </w:r>
            <w:r>
              <w:rPr>
                <w:sz w:val="24"/>
              </w:rPr>
              <w:t>用于修建乡村道路等进行综合利用，</w:t>
            </w:r>
          </w:p>
          <w:p>
            <w:pPr>
              <w:adjustRightInd w:val="0"/>
              <w:snapToGrid w:val="0"/>
              <w:spacing w:line="360" w:lineRule="auto"/>
              <w:ind w:firstLine="480" w:firstLineChars="200"/>
              <w:rPr>
                <w:bCs/>
                <w:sz w:val="24"/>
              </w:rPr>
            </w:pPr>
            <w:r>
              <w:rPr>
                <w:rFonts w:hint="eastAsia"/>
                <w:bCs/>
                <w:sz w:val="24"/>
              </w:rPr>
              <w:t>（5）广场垃圾</w:t>
            </w:r>
          </w:p>
          <w:p>
            <w:pPr>
              <w:adjustRightInd w:val="0"/>
              <w:snapToGrid w:val="0"/>
              <w:spacing w:line="360" w:lineRule="auto"/>
              <w:ind w:firstLine="480" w:firstLineChars="200"/>
              <w:rPr>
                <w:bCs/>
                <w:sz w:val="24"/>
              </w:rPr>
            </w:pPr>
            <w:r>
              <w:rPr>
                <w:rFonts w:hint="eastAsia"/>
                <w:bCs/>
                <w:sz w:val="24"/>
              </w:rPr>
              <w:t>广场娱乐活动产生的生活垃圾由环卫部门雇佣附近居民统一清理集中收集后，运至</w:t>
            </w:r>
            <w:r>
              <w:rPr>
                <w:sz w:val="24"/>
              </w:rPr>
              <w:t>政府指定的生活垃圾填埋场处置</w:t>
            </w:r>
            <w:r>
              <w:rPr>
                <w:rFonts w:hint="eastAsia"/>
                <w:sz w:val="24"/>
              </w:rPr>
              <w:t>。</w:t>
            </w:r>
          </w:p>
          <w:p>
            <w:pPr>
              <w:adjustRightInd w:val="0"/>
              <w:snapToGrid w:val="0"/>
              <w:spacing w:line="360" w:lineRule="auto"/>
              <w:ind w:firstLine="480" w:firstLineChars="200"/>
              <w:rPr>
                <w:bCs/>
                <w:sz w:val="24"/>
              </w:rPr>
            </w:pPr>
            <w:r>
              <w:rPr>
                <w:rFonts w:hint="eastAsia"/>
                <w:bCs/>
                <w:sz w:val="24"/>
              </w:rPr>
              <w:t>（6）雨污水管网</w:t>
            </w:r>
          </w:p>
          <w:p>
            <w:pPr>
              <w:autoSpaceDE w:val="0"/>
              <w:autoSpaceDN w:val="0"/>
              <w:adjustRightInd w:val="0"/>
              <w:spacing w:before="15" w:line="360" w:lineRule="auto"/>
              <w:ind w:right="68" w:firstLine="480" w:firstLineChars="200"/>
              <w:rPr>
                <w:rFonts w:hAnsi="宋体"/>
                <w:sz w:val="24"/>
              </w:rPr>
            </w:pPr>
            <w:r>
              <w:rPr>
                <w:rFonts w:hint="eastAsia"/>
                <w:bCs/>
                <w:sz w:val="24"/>
              </w:rPr>
              <w:t>项目雨污排水管网中产生的淤泥，每年由建设单位清理一次，和污水站污泥一起处理。</w:t>
            </w:r>
          </w:p>
          <w:p>
            <w:pPr>
              <w:spacing w:line="360" w:lineRule="auto"/>
              <w:ind w:firstLine="480" w:firstLineChars="200"/>
              <w:rPr>
                <w:rFonts w:hAnsi="宋体"/>
                <w:sz w:val="24"/>
              </w:rPr>
            </w:pPr>
            <w:r>
              <w:rPr>
                <w:rFonts w:hAnsi="宋体"/>
                <w:sz w:val="24"/>
              </w:rPr>
              <w:t>综上所述，本项目固体废物均得到妥善处置，固体废物治理措施可行。</w:t>
            </w:r>
          </w:p>
          <w:p>
            <w:pPr>
              <w:spacing w:line="360" w:lineRule="auto"/>
              <w:ind w:firstLine="482" w:firstLineChars="200"/>
              <w:rPr>
                <w:rFonts w:hAnsi="宋体"/>
                <w:b/>
                <w:sz w:val="24"/>
              </w:rPr>
            </w:pPr>
            <w:r>
              <w:rPr>
                <w:rFonts w:hint="eastAsia" w:hAnsi="宋体"/>
                <w:b/>
                <w:sz w:val="24"/>
              </w:rPr>
              <w:t>5、地下水污染防治措施</w:t>
            </w:r>
          </w:p>
          <w:p>
            <w:pPr>
              <w:spacing w:line="360" w:lineRule="auto"/>
              <w:ind w:firstLine="480" w:firstLineChars="200"/>
              <w:rPr>
                <w:rFonts w:hAnsi="宋体"/>
                <w:sz w:val="24"/>
              </w:rPr>
            </w:pPr>
            <w:r>
              <w:rPr>
                <w:rFonts w:hint="eastAsia" w:hAnsi="宋体"/>
                <w:sz w:val="24"/>
              </w:rPr>
              <w:t>拟建项目</w:t>
            </w:r>
            <w:r>
              <w:rPr>
                <w:rFonts w:hAnsi="宋体"/>
                <w:sz w:val="24"/>
              </w:rPr>
              <w:t>应采取以下措施防止项目污染地下水：</w:t>
            </w:r>
          </w:p>
          <w:p>
            <w:pPr>
              <w:spacing w:line="360" w:lineRule="auto"/>
              <w:ind w:firstLine="480" w:firstLineChars="200"/>
              <w:rPr>
                <w:rFonts w:hAnsi="宋体"/>
                <w:sz w:val="24"/>
              </w:rPr>
            </w:pPr>
            <w:r>
              <w:rPr>
                <w:rFonts w:hint="eastAsia" w:hAnsi="宋体"/>
                <w:sz w:val="24"/>
              </w:rPr>
              <w:t>（1）污水处理站各废水处理构筑物以及管网应考虑防渗，设备、污水处理构筑物应采取严格的控制措施，防止污染物的跑、冒、滴、漏，厂区应硬化地表，将污染物泄漏的环境风险事故降到最低限度。环评要求项目厂区进行分区防渗，对于污水处理站各水处理构筑物以及污水管网要求为重点防渗，底部防渗结构为</w:t>
            </w:r>
            <w:r>
              <w:rPr>
                <w:rFonts w:hint="eastAsia" w:hAnsi="宋体"/>
                <w:bCs/>
                <w:sz w:val="24"/>
                <w:szCs w:val="24"/>
              </w:rPr>
              <w:t>“素土夯实+300厚3:7灰土+100厚C10素混凝土垫层+20厚混凝土找平层+冷粘结剂一道+4厚高聚物SBS改性沥青防水卷材两道+20厚1:3水泥砂浆找平层+钢筋混凝土自防水底板+20厚1:3水泥砂浆+2厚水泥基渗透结晶型防水涂料+20厚混合物水泥防水砂浆抹面”，</w:t>
            </w:r>
            <w:r>
              <w:rPr>
                <w:rFonts w:hint="eastAsia" w:hAnsi="宋体"/>
                <w:sz w:val="24"/>
              </w:rPr>
              <w:t>该区采取防渗措施后，</w:t>
            </w:r>
            <w:r>
              <w:rPr>
                <w:rFonts w:hAnsi="宋体"/>
                <w:bCs/>
                <w:sz w:val="24"/>
                <w:szCs w:val="24"/>
              </w:rPr>
              <w:t>抗渗混凝土的渗透系数≤1.0×10</w:t>
            </w:r>
            <w:r>
              <w:rPr>
                <w:rFonts w:hAnsi="宋体"/>
                <w:bCs/>
                <w:sz w:val="24"/>
                <w:szCs w:val="24"/>
                <w:vertAlign w:val="superscript"/>
              </w:rPr>
              <w:t>-</w:t>
            </w:r>
            <w:r>
              <w:rPr>
                <w:rFonts w:hint="eastAsia" w:hAnsi="宋体"/>
                <w:bCs/>
                <w:sz w:val="24"/>
                <w:szCs w:val="24"/>
                <w:vertAlign w:val="superscript"/>
              </w:rPr>
              <w:t>7</w:t>
            </w:r>
            <w:r>
              <w:rPr>
                <w:rFonts w:hAnsi="宋体"/>
                <w:bCs/>
                <w:sz w:val="24"/>
                <w:szCs w:val="24"/>
              </w:rPr>
              <w:t>cm/s</w:t>
            </w:r>
            <w:r>
              <w:rPr>
                <w:rFonts w:hint="eastAsia" w:hAnsi="宋体"/>
                <w:bCs/>
                <w:sz w:val="24"/>
                <w:szCs w:val="24"/>
              </w:rPr>
              <w:t>，</w:t>
            </w:r>
            <w:r>
              <w:rPr>
                <w:rFonts w:hint="eastAsia" w:hAnsi="宋体"/>
                <w:sz w:val="24"/>
              </w:rPr>
              <w:t>厂区其余采用简单防渗。</w:t>
            </w:r>
          </w:p>
          <w:p>
            <w:pPr>
              <w:spacing w:line="360" w:lineRule="auto"/>
              <w:ind w:firstLine="480" w:firstLineChars="200"/>
              <w:rPr>
                <w:rFonts w:hAnsi="宋体"/>
                <w:sz w:val="24"/>
              </w:rPr>
            </w:pPr>
            <w:r>
              <w:rPr>
                <w:rFonts w:hint="eastAsia" w:hAnsi="宋体"/>
                <w:sz w:val="24"/>
              </w:rPr>
              <w:t>（2）</w:t>
            </w:r>
            <w:r>
              <w:rPr>
                <w:rFonts w:hAnsi="宋体"/>
                <w:sz w:val="24"/>
              </w:rPr>
              <w:t>选用优质设备，易损部件要有备用件，在出现事故时能及时更换。</w:t>
            </w:r>
          </w:p>
          <w:p>
            <w:pPr>
              <w:spacing w:line="360" w:lineRule="auto"/>
              <w:ind w:firstLine="480" w:firstLineChars="200"/>
              <w:rPr>
                <w:rFonts w:hAnsi="宋体"/>
                <w:sz w:val="24"/>
              </w:rPr>
            </w:pPr>
            <w:r>
              <w:rPr>
                <w:rFonts w:hint="eastAsia" w:hAnsi="宋体"/>
                <w:sz w:val="24"/>
              </w:rPr>
              <w:t>（3）为及时发现对地下水的污染，应设置地下水环境监测井，环评要求在项目西南侧设置一个浅层地下水监测井，即相对于项目而言，监测井设在浅层地下水下游。</w:t>
            </w:r>
          </w:p>
          <w:p>
            <w:pPr>
              <w:spacing w:line="360" w:lineRule="auto"/>
              <w:ind w:firstLine="480" w:firstLineChars="200"/>
              <w:rPr>
                <w:rFonts w:hAnsi="宋体"/>
                <w:sz w:val="24"/>
              </w:rPr>
            </w:pPr>
            <w:r>
              <w:rPr>
                <w:rFonts w:hint="eastAsia" w:hAnsi="宋体"/>
                <w:sz w:val="24"/>
              </w:rPr>
              <w:t>综上所述，拟建项目采取以上措施后，可以有效防止地下水污染。</w:t>
            </w:r>
          </w:p>
          <w:p>
            <w:pPr>
              <w:spacing w:line="360" w:lineRule="auto"/>
              <w:ind w:firstLine="482" w:firstLineChars="200"/>
              <w:rPr>
                <w:rFonts w:hAnsi="宋体"/>
                <w:b/>
                <w:sz w:val="24"/>
              </w:rPr>
            </w:pPr>
            <w:r>
              <w:rPr>
                <w:rFonts w:hint="eastAsia" w:hAnsi="宋体"/>
                <w:b/>
                <w:sz w:val="24"/>
              </w:rPr>
              <w:t>6、绿化措施</w:t>
            </w:r>
          </w:p>
          <w:p>
            <w:pPr>
              <w:spacing w:line="360" w:lineRule="auto"/>
              <w:ind w:firstLine="480" w:firstLineChars="200"/>
              <w:rPr>
                <w:rFonts w:hAnsi="宋体"/>
                <w:sz w:val="24"/>
              </w:rPr>
            </w:pPr>
            <w:r>
              <w:rPr>
                <w:rFonts w:hAnsi="宋体"/>
                <w:sz w:val="24"/>
              </w:rPr>
              <w:t>拟建项目绿化工程植物配置以乡土树种为主，疏密适当，高低错落，形成一定的层次感，主要以常绿树种作为背景，四季不同花色的花灌木进行搭配，尽量避免裸露地面，广泛进行垂直绿化以及各种灌木和草本类花卉加以点缀，使厂区达到四</w:t>
            </w:r>
            <w:r>
              <w:rPr>
                <w:rFonts w:hint="eastAsia" w:hAnsi="宋体"/>
                <w:sz w:val="24"/>
              </w:rPr>
              <w:t>季</w:t>
            </w:r>
            <w:r>
              <w:rPr>
                <w:rFonts w:hAnsi="宋体"/>
                <w:sz w:val="24"/>
              </w:rPr>
              <w:t>常绿。</w:t>
            </w:r>
          </w:p>
          <w:p>
            <w:pPr>
              <w:spacing w:line="360" w:lineRule="auto"/>
              <w:ind w:firstLine="480" w:firstLineChars="200"/>
              <w:rPr>
                <w:rFonts w:hAnsi="宋体"/>
                <w:sz w:val="24"/>
              </w:rPr>
            </w:pPr>
            <w:r>
              <w:rPr>
                <w:rFonts w:hAnsi="宋体"/>
                <w:sz w:val="24"/>
              </w:rPr>
              <w:t>（1）苗木选择</w:t>
            </w:r>
          </w:p>
          <w:p>
            <w:pPr>
              <w:spacing w:line="360" w:lineRule="auto"/>
              <w:ind w:firstLine="480" w:firstLineChars="200"/>
              <w:rPr>
                <w:rFonts w:hAnsi="宋体"/>
                <w:sz w:val="24"/>
              </w:rPr>
            </w:pPr>
            <w:r>
              <w:rPr>
                <w:rFonts w:hAnsi="宋体"/>
                <w:sz w:val="24"/>
              </w:rPr>
              <w:t>本次环评建议绿化树种选用适地适树，耐贫瘠、抗旱性强、管理粗放的乡土树种为主，可适当选用一些适应性强、观赏价值高的外地植物，结合种植速生树种，绿化可选择紫穗槐、合欢、国槐、龙爪槐、红叶李、红叶小檗、雪松、小叶黄杨等植物。</w:t>
            </w:r>
          </w:p>
          <w:p>
            <w:pPr>
              <w:spacing w:line="360" w:lineRule="auto"/>
              <w:ind w:firstLine="480" w:firstLineChars="200"/>
              <w:rPr>
                <w:rFonts w:hAnsi="宋体"/>
                <w:sz w:val="24"/>
              </w:rPr>
            </w:pPr>
            <w:r>
              <w:rPr>
                <w:rFonts w:hAnsi="宋体"/>
                <w:sz w:val="24"/>
              </w:rPr>
              <w:t>（2）绿地换土及土壤改良</w:t>
            </w:r>
          </w:p>
          <w:p>
            <w:pPr>
              <w:spacing w:line="360" w:lineRule="auto"/>
              <w:ind w:firstLine="480" w:firstLineChars="200"/>
              <w:rPr>
                <w:rFonts w:hAnsi="宋体"/>
                <w:sz w:val="24"/>
              </w:rPr>
            </w:pPr>
            <w:r>
              <w:rPr>
                <w:rFonts w:hAnsi="宋体"/>
                <w:sz w:val="24"/>
              </w:rPr>
              <w:t>绿地换土深度为50cm，乔木树穴换土深度为1.5m，花灌木树穴换土深度为60cm，将拟建项目表土剥离的土用于绿地换土。种植土回填后，经浸水沉降，距道牙平面以下10cm为准；为保证植物的更好生产，故还需进行土壤改良，施农家肥。</w:t>
            </w:r>
          </w:p>
          <w:p>
            <w:pPr>
              <w:spacing w:line="360" w:lineRule="auto"/>
              <w:ind w:firstLine="480" w:firstLineChars="200"/>
              <w:rPr>
                <w:rFonts w:hAnsi="宋体"/>
                <w:sz w:val="24"/>
              </w:rPr>
            </w:pPr>
            <w:r>
              <w:rPr>
                <w:rFonts w:hAnsi="宋体"/>
                <w:sz w:val="24"/>
              </w:rPr>
              <w:t>（3）树木种植方式</w:t>
            </w:r>
          </w:p>
          <w:p>
            <w:pPr>
              <w:spacing w:line="360" w:lineRule="auto"/>
              <w:ind w:firstLine="480" w:firstLineChars="200"/>
              <w:rPr>
                <w:rFonts w:hAnsi="宋体"/>
                <w:sz w:val="24"/>
              </w:rPr>
            </w:pPr>
            <w:r>
              <w:rPr>
                <w:rFonts w:hAnsi="宋体"/>
                <w:sz w:val="24"/>
              </w:rPr>
              <w:t>栽树采用圆型植树穴（穴径50cm，穴深50cm），植树穴挖好后，换入种植土，采用</w:t>
            </w:r>
            <w:r>
              <w:rPr>
                <w:rFonts w:hint="eastAsia" w:hAnsi="宋体"/>
                <w:sz w:val="24"/>
              </w:rPr>
              <w:t>“</w:t>
            </w:r>
            <w:r>
              <w:rPr>
                <w:rFonts w:hAnsi="宋体"/>
                <w:sz w:val="24"/>
              </w:rPr>
              <w:t>一提二踩三覆土”的栽植方式，采用孤植方式栽植，株距不大于4m，特殊地形密度可适当调整，根据天气情况适时浇水。</w:t>
            </w:r>
          </w:p>
          <w:p>
            <w:pPr>
              <w:spacing w:line="360" w:lineRule="auto"/>
              <w:ind w:firstLine="480" w:firstLineChars="200"/>
              <w:rPr>
                <w:rFonts w:hAnsi="宋体"/>
                <w:sz w:val="24"/>
              </w:rPr>
            </w:pPr>
            <w:r>
              <w:rPr>
                <w:rFonts w:hAnsi="宋体"/>
                <w:sz w:val="24"/>
              </w:rPr>
              <w:t>（4）其他</w:t>
            </w:r>
          </w:p>
          <w:p>
            <w:pPr>
              <w:spacing w:line="360" w:lineRule="auto"/>
              <w:ind w:firstLine="480" w:firstLineChars="200"/>
              <w:rPr>
                <w:rFonts w:hAnsi="宋体"/>
                <w:sz w:val="24"/>
              </w:rPr>
            </w:pPr>
            <w:r>
              <w:rPr>
                <w:rFonts w:hAnsi="宋体"/>
                <w:sz w:val="24"/>
              </w:rPr>
              <w:t>花卉选择月季等，载种月季前要施足肥，还应对土方消毒，将药物撒于表面，并与表土充分拌均匀，然后用塑料薄膜密封，栽植时将植株立于栽植沟，使根系向四周三开，覆土压实后，浇透水，栽植深度将将接口埋于地下2-3cm。</w:t>
            </w:r>
          </w:p>
          <w:p>
            <w:pPr>
              <w:spacing w:line="360" w:lineRule="auto"/>
              <w:ind w:firstLine="482" w:firstLineChars="200"/>
              <w:rPr>
                <w:rFonts w:hAnsi="宋体"/>
                <w:b/>
                <w:sz w:val="24"/>
              </w:rPr>
            </w:pPr>
            <w:r>
              <w:rPr>
                <w:rFonts w:hint="eastAsia" w:hAnsi="宋体"/>
                <w:b/>
                <w:sz w:val="24"/>
              </w:rPr>
              <w:t>7、本项目污水处理站化学药品管理要求</w:t>
            </w:r>
          </w:p>
          <w:p>
            <w:pPr>
              <w:spacing w:line="360" w:lineRule="auto"/>
              <w:ind w:firstLine="480" w:firstLineChars="200"/>
              <w:rPr>
                <w:rFonts w:hAnsi="宋体"/>
                <w:bCs/>
                <w:sz w:val="24"/>
              </w:rPr>
            </w:pPr>
            <w:r>
              <w:rPr>
                <w:rFonts w:hint="eastAsia" w:hAnsi="宋体"/>
                <w:bCs/>
                <w:sz w:val="24"/>
              </w:rPr>
              <w:t xml:space="preserve"> </w:t>
            </w:r>
            <w:r>
              <w:rPr>
                <w:rFonts w:hAnsi="宋体"/>
                <w:bCs/>
                <w:sz w:val="24"/>
              </w:rPr>
              <w:t xml:space="preserve"> </w:t>
            </w:r>
            <w:r>
              <w:rPr>
                <w:rFonts w:hint="eastAsia" w:hAnsi="宋体"/>
                <w:bCs/>
                <w:sz w:val="24"/>
              </w:rPr>
              <w:t>&lt;1&gt;</w:t>
            </w:r>
            <w:r>
              <w:rPr>
                <w:rFonts w:hAnsi="宋体"/>
                <w:bCs/>
                <w:sz w:val="24"/>
              </w:rPr>
              <w:t>化学品的理化性质</w:t>
            </w:r>
          </w:p>
          <w:p>
            <w:pPr>
              <w:spacing w:line="360" w:lineRule="auto"/>
              <w:ind w:firstLine="480" w:firstLineChars="200"/>
              <w:rPr>
                <w:rFonts w:hAnsi="宋体"/>
                <w:bCs/>
                <w:sz w:val="24"/>
              </w:rPr>
            </w:pPr>
            <w:r>
              <w:rPr>
                <w:rFonts w:hAnsi="宋体"/>
                <w:bCs/>
                <w:sz w:val="24"/>
              </w:rPr>
              <w:t>（</w:t>
            </w:r>
            <w:r>
              <w:rPr>
                <w:rFonts w:hint="eastAsia" w:hAnsi="宋体"/>
                <w:bCs/>
                <w:sz w:val="24"/>
              </w:rPr>
              <w:t>1</w:t>
            </w:r>
            <w:r>
              <w:rPr>
                <w:rFonts w:hAnsi="宋体"/>
                <w:bCs/>
                <w:sz w:val="24"/>
              </w:rPr>
              <w:t>）聚丙烯酰胺（PAM）：白色粉状物，密度为1.320g/cm。(23℃)，玻璃化温度为188℃，无毒，分子量高，水溶性强，可以引进各种离子基团并调节分子量以得到特定的性能，对许多固体表面和溶解物质有良好的粘附力， 能和分散于溶液中的悬浮粒子吸着和架桥，使悬浮粒子絮凝，便于过滤和分离。软化温度近于210℃，一般方法干燥时含有少量的水。干时又会很快从环境中吸取水分。用冷冻干燥法分离的均聚物是白色松软的非结晶固体，但是当从溶液中沉淀并干燥后则为玻璃状部分透明的固体。完全干燥的（PAM）聚丙烯酰胺是脆性的白色固体。商品聚丙烯酰胺干粉通常是在适度的条件下干燥的，一般含水量为5%～15%。浇铸在玻璃板上制备的高分子膜，则是透明、坚硬、易碎的固体。</w:t>
            </w:r>
          </w:p>
          <w:p>
            <w:pPr>
              <w:spacing w:line="360" w:lineRule="auto"/>
              <w:rPr>
                <w:rFonts w:hAnsi="宋体"/>
                <w:bCs/>
                <w:sz w:val="24"/>
              </w:rPr>
            </w:pPr>
            <w:r>
              <w:rPr>
                <w:rFonts w:hint="eastAsia" w:hAnsi="宋体"/>
                <w:bCs/>
                <w:sz w:val="24"/>
              </w:rPr>
              <w:t xml:space="preserve">    （2）</w:t>
            </w:r>
            <w:r>
              <w:rPr>
                <w:rFonts w:hAnsi="宋体"/>
                <w:bCs/>
                <w:sz w:val="24"/>
              </w:rPr>
              <w:t>聚合氯化铝（PAC）：又称碱式氯化铝(basic aluminium chloride)。化学通式(Al</w:t>
            </w:r>
            <w:r>
              <w:rPr>
                <w:rFonts w:hAnsi="宋体"/>
                <w:bCs/>
                <w:sz w:val="24"/>
                <w:vertAlign w:val="subscript"/>
              </w:rPr>
              <w:t>2</w:t>
            </w:r>
            <w:r>
              <w:rPr>
                <w:rFonts w:hAnsi="宋体"/>
                <w:bCs/>
                <w:sz w:val="24"/>
              </w:rPr>
              <w:t>(OH)nCl</w:t>
            </w:r>
            <w:r>
              <w:rPr>
                <w:rFonts w:hAnsi="宋体"/>
                <w:bCs/>
                <w:sz w:val="24"/>
                <w:vertAlign w:val="subscript"/>
              </w:rPr>
              <w:t>6-n</w:t>
            </w:r>
            <w:r>
              <w:rPr>
                <w:rFonts w:hAnsi="宋体"/>
                <w:bCs/>
                <w:sz w:val="24"/>
              </w:rPr>
              <w:t>)m，是一种新型无机高分子絮凝剂，由OH-离子的架桥作用和多价阴离子，多核阳离子聚合而成，固体产品外观为黄色粉末或褐色粉末，它是一种无机高分子混凝剂，通过压缩双层、吸附电中和、吸附架桥、沉淀物网捕等机理作用，使水中细微悬浮粒子和胶体粒子脱稳，聚集、絮凝、混凝、沉淀，达到净化处理效果。分子量大，电荷较高，具有良好的凝聚和絮凝、沉浆作用。广泛适用于城镇给水、排水以及化工、冶金、电力、油田、印染、造纸、制药、工业污水处理等领域，是目前最理想的水质净化絮凝剂及过滤填料。</w:t>
            </w:r>
          </w:p>
          <w:p>
            <w:pPr>
              <w:spacing w:line="360" w:lineRule="auto"/>
              <w:ind w:firstLine="480" w:firstLineChars="200"/>
              <w:rPr>
                <w:rFonts w:hAnsi="宋体"/>
                <w:bCs/>
                <w:sz w:val="24"/>
              </w:rPr>
            </w:pPr>
            <w:r>
              <w:rPr>
                <w:rFonts w:hint="eastAsia" w:hAnsi="宋体"/>
                <w:bCs/>
                <w:sz w:val="24"/>
              </w:rPr>
              <w:t>&lt;2&gt;</w:t>
            </w:r>
            <w:r>
              <w:rPr>
                <w:rFonts w:hAnsi="宋体"/>
                <w:bCs/>
                <w:sz w:val="24"/>
              </w:rPr>
              <w:t>贮存环境</w:t>
            </w:r>
          </w:p>
          <w:p>
            <w:pPr>
              <w:spacing w:line="360" w:lineRule="auto"/>
              <w:ind w:firstLine="480" w:firstLineChars="200"/>
              <w:rPr>
                <w:rFonts w:hAnsi="宋体"/>
                <w:bCs/>
                <w:sz w:val="24"/>
              </w:rPr>
            </w:pPr>
            <w:r>
              <w:rPr>
                <w:rFonts w:hAnsi="宋体"/>
                <w:bCs/>
                <w:sz w:val="24"/>
              </w:rPr>
              <w:t>（1）化学药品应单独贮藏于专用的贮存室内，该贮存室应阴凉避光防止由于阳光照射及室温偏高造成试剂变质</w:t>
            </w:r>
            <w:r>
              <w:rPr>
                <w:rFonts w:hint="eastAsia" w:hAnsi="宋体"/>
                <w:bCs/>
                <w:sz w:val="24"/>
              </w:rPr>
              <w:t>、</w:t>
            </w:r>
            <w:r>
              <w:rPr>
                <w:rFonts w:hAnsi="宋体"/>
                <w:bCs/>
                <w:sz w:val="24"/>
              </w:rPr>
              <w:t>失效</w:t>
            </w:r>
            <w:r>
              <w:rPr>
                <w:rFonts w:hint="eastAsia" w:hAnsi="宋体"/>
                <w:bCs/>
                <w:sz w:val="24"/>
              </w:rPr>
              <w:t>，本项目药品储存在设备间单独隔间内</w:t>
            </w:r>
            <w:r>
              <w:rPr>
                <w:rFonts w:hAnsi="宋体"/>
                <w:bCs/>
                <w:sz w:val="24"/>
              </w:rPr>
              <w:t>；</w:t>
            </w:r>
          </w:p>
          <w:p>
            <w:pPr>
              <w:spacing w:line="360" w:lineRule="auto"/>
              <w:ind w:firstLine="480" w:firstLineChars="200"/>
              <w:rPr>
                <w:rFonts w:hAnsi="宋体"/>
                <w:bCs/>
                <w:sz w:val="24"/>
              </w:rPr>
            </w:pPr>
            <w:r>
              <w:rPr>
                <w:rFonts w:hAnsi="宋体"/>
                <w:bCs/>
                <w:sz w:val="24"/>
              </w:rPr>
              <w:t>（2）化学药品贮存室应设在安全位置，远离办公室。室内严禁明火，消防灭火设施器材完备，以防一旦事故发生造成伤害和损失；</w:t>
            </w:r>
          </w:p>
          <w:p>
            <w:pPr>
              <w:spacing w:line="360" w:lineRule="auto"/>
              <w:ind w:firstLine="480" w:firstLineChars="200"/>
              <w:rPr>
                <w:rFonts w:hAnsi="宋体"/>
                <w:bCs/>
                <w:sz w:val="24"/>
              </w:rPr>
            </w:pPr>
            <w:r>
              <w:rPr>
                <w:rFonts w:hAnsi="宋体"/>
                <w:bCs/>
                <w:sz w:val="24"/>
              </w:rPr>
              <w:t>（3）化学药品贮藏室应有良好的耐腐蚀，室温一般以5-25℃，相对湿度以50-75%为宜。盛放化学药品的贮存柜需用防尘，耐腐蚀避光的材质制成，取用方便。</w:t>
            </w:r>
          </w:p>
          <w:p>
            <w:pPr>
              <w:spacing w:line="360" w:lineRule="auto"/>
              <w:ind w:firstLine="480" w:firstLineChars="200"/>
              <w:rPr>
                <w:rFonts w:hAnsi="宋体"/>
                <w:bCs/>
                <w:sz w:val="24"/>
              </w:rPr>
            </w:pPr>
            <w:r>
              <w:rPr>
                <w:rFonts w:hint="eastAsia" w:hAnsi="宋体"/>
                <w:bCs/>
                <w:sz w:val="24"/>
              </w:rPr>
              <w:t>&lt;3&gt;</w:t>
            </w:r>
            <w:r>
              <w:rPr>
                <w:rFonts w:hAnsi="宋体"/>
                <w:bCs/>
                <w:sz w:val="24"/>
              </w:rPr>
              <w:t>化学药品的贮存</w:t>
            </w:r>
          </w:p>
          <w:p>
            <w:pPr>
              <w:spacing w:line="360" w:lineRule="auto"/>
              <w:ind w:firstLine="480" w:firstLineChars="200"/>
              <w:rPr>
                <w:rFonts w:hAnsi="宋体"/>
                <w:bCs/>
                <w:sz w:val="24"/>
              </w:rPr>
            </w:pPr>
            <w:r>
              <w:rPr>
                <w:rFonts w:hAnsi="宋体"/>
                <w:bCs/>
                <w:sz w:val="24"/>
              </w:rPr>
              <w:t>（1）化学药品的贮存由专人负责；</w:t>
            </w:r>
          </w:p>
          <w:p>
            <w:pPr>
              <w:spacing w:line="360" w:lineRule="auto"/>
              <w:ind w:firstLine="480" w:firstLineChars="200"/>
              <w:rPr>
                <w:rFonts w:hAnsi="宋体"/>
                <w:bCs/>
                <w:sz w:val="24"/>
              </w:rPr>
            </w:pPr>
            <w:r>
              <w:rPr>
                <w:rFonts w:hAnsi="宋体"/>
                <w:bCs/>
                <w:sz w:val="24"/>
              </w:rPr>
              <w:t>（2）注意避免阳光直射和室内通风，注意室内温湿度变化；</w:t>
            </w:r>
          </w:p>
          <w:p>
            <w:pPr>
              <w:spacing w:line="360" w:lineRule="auto"/>
              <w:ind w:firstLine="480" w:firstLineChars="200"/>
              <w:rPr>
                <w:rFonts w:hAnsi="宋体"/>
                <w:bCs/>
                <w:sz w:val="24"/>
              </w:rPr>
            </w:pPr>
            <w:r>
              <w:rPr>
                <w:rFonts w:hAnsi="宋体"/>
                <w:bCs/>
                <w:sz w:val="24"/>
              </w:rPr>
              <w:t>（3）各种药品均应包装完好、封口严密、标签完整、内容清晰、贮存条件明确；</w:t>
            </w:r>
          </w:p>
          <w:p>
            <w:pPr>
              <w:spacing w:line="360" w:lineRule="auto"/>
              <w:ind w:firstLine="480" w:firstLineChars="200"/>
              <w:rPr>
                <w:rFonts w:hAnsi="宋体"/>
                <w:bCs/>
                <w:sz w:val="24"/>
              </w:rPr>
            </w:pPr>
            <w:r>
              <w:rPr>
                <w:rFonts w:hAnsi="宋体"/>
                <w:bCs/>
                <w:sz w:val="24"/>
              </w:rPr>
              <w:t>（4）</w:t>
            </w:r>
            <w:r>
              <w:rPr>
                <w:rFonts w:hint="eastAsia" w:hAnsi="宋体"/>
                <w:bCs/>
                <w:sz w:val="24"/>
              </w:rPr>
              <w:t>管理人员</w:t>
            </w:r>
            <w:r>
              <w:rPr>
                <w:rFonts w:hAnsi="宋体"/>
                <w:bCs/>
                <w:sz w:val="24"/>
              </w:rPr>
              <w:t>必须每周检查一次温、湿度表，并记录，超出规定范围应及时调整；</w:t>
            </w:r>
          </w:p>
          <w:p>
            <w:pPr>
              <w:spacing w:line="360" w:lineRule="auto"/>
              <w:ind w:firstLine="480" w:firstLineChars="200"/>
              <w:rPr>
                <w:rFonts w:hAnsi="宋体"/>
                <w:bCs/>
                <w:sz w:val="24"/>
              </w:rPr>
            </w:pPr>
            <w:r>
              <w:rPr>
                <w:rFonts w:hAnsi="宋体"/>
                <w:bCs/>
                <w:sz w:val="24"/>
              </w:rPr>
              <w:t>（5）保持室内清洁，通风和温湿度，保证所贮试剂的实际贮存条件符合规定要求。</w:t>
            </w: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rPr>
                <w:b/>
                <w:sz w:val="24"/>
                <w:szCs w:val="24"/>
              </w:rPr>
            </w:pPr>
            <w:r>
              <w:rPr>
                <w:rFonts w:hint="eastAsia"/>
                <w:b/>
                <w:sz w:val="24"/>
                <w:szCs w:val="24"/>
              </w:rPr>
              <w:t>环境管理与监控计划</w:t>
            </w:r>
          </w:p>
          <w:p>
            <w:pPr>
              <w:autoSpaceDE w:val="0"/>
              <w:autoSpaceDN w:val="0"/>
              <w:adjustRightInd w:val="0"/>
              <w:spacing w:line="360" w:lineRule="auto"/>
              <w:ind w:firstLine="480" w:firstLineChars="200"/>
              <w:rPr>
                <w:rFonts w:ascii="??" w:hAnsi="??" w:cs="??"/>
                <w:kern w:val="0"/>
                <w:sz w:val="24"/>
                <w:szCs w:val="24"/>
              </w:rPr>
            </w:pPr>
            <w:r>
              <w:rPr>
                <w:rFonts w:ascii="??" w:hAnsi="??" w:cs="??"/>
                <w:kern w:val="0"/>
                <w:sz w:val="24"/>
                <w:szCs w:val="24"/>
              </w:rPr>
              <w:t>项目的环境管理与监控是指建设单位、设计单位、施工单位在项目的可行性研究、项目设计、项目施工和运营阶段遵守国家、省、市的有关环境保护法律、法规、政策、标准，落实环境影响报</w:t>
            </w:r>
            <w:r>
              <w:rPr>
                <w:rFonts w:hint="eastAsia" w:ascii="??" w:hAnsi="??" w:cs="??"/>
                <w:kern w:val="0"/>
                <w:sz w:val="24"/>
                <w:szCs w:val="24"/>
              </w:rPr>
              <w:t>告</w:t>
            </w:r>
            <w:r>
              <w:rPr>
                <w:rFonts w:ascii="??" w:hAnsi="??" w:cs="??"/>
                <w:kern w:val="0"/>
                <w:sz w:val="24"/>
                <w:szCs w:val="24"/>
              </w:rPr>
              <w:t>表中拟定采取的各种减缓措施，确保项目的环境保护设施正常运转，落实有关的环保规定。环境管理计划是根据建设项目的特点，制定环保机构建设、防护职责、实施进度、监测内容和报告程序等内容，以及确定资金投入和来源。建设单位运营期接受</w:t>
            </w:r>
            <w:r>
              <w:rPr>
                <w:rFonts w:hint="eastAsia" w:ascii="??" w:hAnsi="??" w:cs="??"/>
                <w:kern w:val="0"/>
                <w:sz w:val="24"/>
                <w:szCs w:val="24"/>
              </w:rPr>
              <w:t>宁</w:t>
            </w:r>
            <w:r>
              <w:rPr>
                <w:rFonts w:ascii="??" w:hAnsi="??" w:cs="??"/>
                <w:kern w:val="0"/>
                <w:sz w:val="24"/>
                <w:szCs w:val="24"/>
              </w:rPr>
              <w:t>县环境保护主管部门的监督和</w:t>
            </w:r>
            <w:r>
              <w:rPr>
                <w:rFonts w:hint="eastAsia" w:ascii="??" w:hAnsi="??" w:cs="??"/>
                <w:kern w:val="0"/>
                <w:sz w:val="24"/>
                <w:szCs w:val="24"/>
              </w:rPr>
              <w:t>指导</w:t>
            </w:r>
            <w:r>
              <w:rPr>
                <w:rFonts w:ascii="??" w:hAnsi="??" w:cs="??"/>
                <w:kern w:val="0"/>
                <w:sz w:val="24"/>
                <w:szCs w:val="24"/>
              </w:rPr>
              <w:t>，配合环境保护主管部门完成对建设项目的</w:t>
            </w:r>
            <w:r>
              <w:rPr>
                <w:rFonts w:hint="eastAsia" w:ascii="??" w:hAnsi="??" w:cs="??"/>
                <w:kern w:val="0"/>
                <w:sz w:val="24"/>
                <w:szCs w:val="24"/>
              </w:rPr>
              <w:t>“</w:t>
            </w:r>
            <w:r>
              <w:rPr>
                <w:rFonts w:ascii="??" w:hAnsi="??" w:cs="??"/>
                <w:kern w:val="0"/>
                <w:sz w:val="24"/>
                <w:szCs w:val="24"/>
              </w:rPr>
              <w:t>三同时</w:t>
            </w:r>
            <w:r>
              <w:rPr>
                <w:rFonts w:hint="eastAsia" w:ascii="??" w:hAnsi="??" w:cs="??"/>
                <w:kern w:val="0"/>
                <w:sz w:val="24"/>
                <w:szCs w:val="24"/>
              </w:rPr>
              <w:t>”</w:t>
            </w:r>
            <w:r>
              <w:rPr>
                <w:rFonts w:ascii="??" w:hAnsi="??" w:cs="??"/>
                <w:kern w:val="0"/>
                <w:sz w:val="24"/>
                <w:szCs w:val="24"/>
              </w:rPr>
              <w:t>审查。</w:t>
            </w:r>
          </w:p>
          <w:p>
            <w:pPr>
              <w:autoSpaceDE w:val="0"/>
              <w:autoSpaceDN w:val="0"/>
              <w:adjustRightInd w:val="0"/>
              <w:spacing w:line="360" w:lineRule="auto"/>
              <w:ind w:firstLine="480" w:firstLineChars="200"/>
              <w:rPr>
                <w:rFonts w:ascii="??" w:hAnsi="??" w:cs="??"/>
                <w:kern w:val="0"/>
                <w:sz w:val="24"/>
                <w:szCs w:val="24"/>
              </w:rPr>
            </w:pPr>
            <w:bookmarkStart w:id="38" w:name="_Toc325383239"/>
            <w:bookmarkStart w:id="39" w:name="_Toc375168237"/>
            <w:bookmarkStart w:id="40" w:name="_Toc376190189"/>
            <w:bookmarkStart w:id="41" w:name="_Toc360540101"/>
            <w:r>
              <w:rPr>
                <w:rFonts w:hint="eastAsia" w:ascii="??" w:hAnsi="??" w:cs="??"/>
                <w:kern w:val="0"/>
                <w:sz w:val="24"/>
                <w:szCs w:val="24"/>
              </w:rPr>
              <w:t>1、</w:t>
            </w:r>
            <w:r>
              <w:rPr>
                <w:rFonts w:ascii="??" w:hAnsi="??" w:cs="??"/>
                <w:kern w:val="0"/>
                <w:sz w:val="24"/>
                <w:szCs w:val="24"/>
              </w:rPr>
              <w:t>环境管理目标</w:t>
            </w:r>
            <w:bookmarkEnd w:id="38"/>
            <w:bookmarkEnd w:id="39"/>
            <w:bookmarkEnd w:id="40"/>
            <w:bookmarkEnd w:id="41"/>
            <w:r>
              <w:rPr>
                <w:rFonts w:ascii="??" w:hAnsi="??" w:cs="??"/>
                <w:kern w:val="0"/>
                <w:sz w:val="24"/>
                <w:szCs w:val="24"/>
              </w:rPr>
              <w:t xml:space="preserve"> </w:t>
            </w:r>
          </w:p>
          <w:p>
            <w:pPr>
              <w:autoSpaceDE w:val="0"/>
              <w:autoSpaceDN w:val="0"/>
              <w:adjustRightInd w:val="0"/>
              <w:spacing w:line="360" w:lineRule="auto"/>
              <w:ind w:firstLine="480" w:firstLineChars="200"/>
              <w:rPr>
                <w:rFonts w:ascii="??" w:hAnsi="??" w:cs="??"/>
                <w:kern w:val="0"/>
                <w:sz w:val="24"/>
                <w:szCs w:val="24"/>
              </w:rPr>
            </w:pPr>
            <w:r>
              <w:rPr>
                <w:rFonts w:ascii="??" w:hAnsi="??" w:cs="??"/>
                <w:kern w:val="0"/>
                <w:sz w:val="24"/>
                <w:szCs w:val="24"/>
              </w:rPr>
              <w:t>（1）削减污染物的产生和排放量，降低资源和能源消耗；</w:t>
            </w:r>
          </w:p>
          <w:p>
            <w:pPr>
              <w:autoSpaceDE w:val="0"/>
              <w:autoSpaceDN w:val="0"/>
              <w:adjustRightInd w:val="0"/>
              <w:spacing w:line="360" w:lineRule="auto"/>
              <w:ind w:firstLine="480" w:firstLineChars="200"/>
              <w:rPr>
                <w:rFonts w:ascii="??" w:hAnsi="??" w:cs="??"/>
                <w:kern w:val="0"/>
                <w:sz w:val="24"/>
                <w:szCs w:val="24"/>
              </w:rPr>
            </w:pPr>
            <w:r>
              <w:rPr>
                <w:rFonts w:ascii="??" w:hAnsi="??" w:cs="??"/>
                <w:kern w:val="0"/>
                <w:sz w:val="24"/>
                <w:szCs w:val="24"/>
              </w:rPr>
              <w:t>（2）通过有效的环境管理，将施工期环境影响降至最低；</w:t>
            </w:r>
          </w:p>
          <w:p>
            <w:pPr>
              <w:autoSpaceDE w:val="0"/>
              <w:autoSpaceDN w:val="0"/>
              <w:adjustRightInd w:val="0"/>
              <w:spacing w:line="360" w:lineRule="auto"/>
              <w:ind w:firstLine="480" w:firstLineChars="200"/>
              <w:rPr>
                <w:rFonts w:ascii="??" w:hAnsi="??" w:cs="??"/>
                <w:kern w:val="0"/>
                <w:sz w:val="24"/>
                <w:szCs w:val="24"/>
              </w:rPr>
            </w:pPr>
            <w:r>
              <w:rPr>
                <w:rFonts w:ascii="??" w:hAnsi="??" w:cs="??"/>
                <w:kern w:val="0"/>
                <w:sz w:val="24"/>
                <w:szCs w:val="24"/>
              </w:rPr>
              <w:t>（3）通过合理布局和资源配置，达到环境配置最优化；</w:t>
            </w:r>
          </w:p>
          <w:p>
            <w:pPr>
              <w:autoSpaceDE w:val="0"/>
              <w:autoSpaceDN w:val="0"/>
              <w:adjustRightInd w:val="0"/>
              <w:spacing w:line="360" w:lineRule="auto"/>
              <w:ind w:firstLine="480" w:firstLineChars="200"/>
              <w:rPr>
                <w:rFonts w:ascii="??" w:hAnsi="??" w:cs="??"/>
                <w:kern w:val="0"/>
                <w:sz w:val="24"/>
                <w:szCs w:val="24"/>
              </w:rPr>
            </w:pPr>
            <w:r>
              <w:rPr>
                <w:rFonts w:ascii="??" w:hAnsi="??" w:cs="??"/>
                <w:kern w:val="0"/>
                <w:sz w:val="24"/>
                <w:szCs w:val="24"/>
              </w:rPr>
              <w:t>（4）建立公众参与机制，严格依法管理区域的环境质量；</w:t>
            </w:r>
          </w:p>
          <w:p>
            <w:pPr>
              <w:autoSpaceDE w:val="0"/>
              <w:autoSpaceDN w:val="0"/>
              <w:adjustRightInd w:val="0"/>
              <w:spacing w:line="360" w:lineRule="auto"/>
              <w:ind w:firstLine="480" w:firstLineChars="200"/>
              <w:rPr>
                <w:rFonts w:ascii="??" w:hAnsi="??" w:cs="??"/>
                <w:kern w:val="0"/>
                <w:sz w:val="24"/>
                <w:szCs w:val="24"/>
              </w:rPr>
            </w:pPr>
            <w:r>
              <w:rPr>
                <w:rFonts w:ascii="??" w:hAnsi="??" w:cs="??"/>
                <w:kern w:val="0"/>
                <w:sz w:val="24"/>
                <w:szCs w:val="24"/>
              </w:rPr>
              <w:t>（5）加强环境管理能力建设，提高环境管理现代化水平。</w:t>
            </w:r>
          </w:p>
          <w:p>
            <w:pPr>
              <w:autoSpaceDE w:val="0"/>
              <w:autoSpaceDN w:val="0"/>
              <w:adjustRightInd w:val="0"/>
              <w:spacing w:line="360" w:lineRule="auto"/>
              <w:ind w:firstLine="480" w:firstLineChars="200"/>
              <w:rPr>
                <w:rFonts w:ascii="??" w:hAnsi="??" w:cs="??"/>
                <w:kern w:val="0"/>
                <w:sz w:val="24"/>
                <w:szCs w:val="24"/>
              </w:rPr>
            </w:pPr>
            <w:bookmarkStart w:id="42" w:name="_Toc325383240"/>
            <w:bookmarkStart w:id="43" w:name="_Toc376190190"/>
            <w:bookmarkStart w:id="44" w:name="_Toc360540102"/>
            <w:bookmarkStart w:id="45" w:name="_Toc375168238"/>
            <w:r>
              <w:rPr>
                <w:rFonts w:hint="eastAsia" w:ascii="??" w:hAnsi="??" w:cs="??"/>
                <w:kern w:val="0"/>
                <w:sz w:val="24"/>
                <w:szCs w:val="24"/>
              </w:rPr>
              <w:t>2、</w:t>
            </w:r>
            <w:r>
              <w:rPr>
                <w:rFonts w:ascii="??" w:hAnsi="??" w:cs="??"/>
                <w:kern w:val="0"/>
                <w:sz w:val="24"/>
                <w:szCs w:val="24"/>
              </w:rPr>
              <w:t>环境管理机构与职责</w:t>
            </w:r>
            <w:bookmarkEnd w:id="42"/>
            <w:bookmarkEnd w:id="43"/>
            <w:bookmarkEnd w:id="44"/>
            <w:bookmarkEnd w:id="45"/>
            <w:r>
              <w:rPr>
                <w:rFonts w:ascii="??" w:hAnsi="??" w:cs="??"/>
                <w:kern w:val="0"/>
                <w:sz w:val="24"/>
                <w:szCs w:val="24"/>
              </w:rPr>
              <w:t xml:space="preserve"> </w:t>
            </w:r>
          </w:p>
          <w:p>
            <w:pPr>
              <w:autoSpaceDE w:val="0"/>
              <w:autoSpaceDN w:val="0"/>
              <w:adjustRightInd w:val="0"/>
              <w:spacing w:line="360" w:lineRule="auto"/>
              <w:ind w:firstLine="480" w:firstLineChars="200"/>
              <w:rPr>
                <w:rFonts w:ascii="??" w:hAnsi="??" w:cs="??"/>
                <w:kern w:val="0"/>
                <w:sz w:val="24"/>
                <w:szCs w:val="24"/>
              </w:rPr>
            </w:pPr>
            <w:r>
              <w:rPr>
                <w:rFonts w:ascii="??" w:hAnsi="??" w:cs="??"/>
                <w:kern w:val="0"/>
                <w:sz w:val="24"/>
                <w:szCs w:val="24"/>
              </w:rPr>
              <w:t>拟建项目的环境保护工作相关机构分为管理机构和监督执行机构。</w:t>
            </w:r>
          </w:p>
          <w:p>
            <w:pPr>
              <w:autoSpaceDE w:val="0"/>
              <w:autoSpaceDN w:val="0"/>
              <w:adjustRightInd w:val="0"/>
              <w:spacing w:line="360" w:lineRule="auto"/>
              <w:ind w:firstLine="480" w:firstLineChars="200"/>
              <w:rPr>
                <w:rFonts w:ascii="??" w:hAnsi="??" w:cs="??"/>
                <w:bCs/>
                <w:kern w:val="0"/>
                <w:sz w:val="24"/>
                <w:szCs w:val="24"/>
              </w:rPr>
            </w:pPr>
            <w:bookmarkStart w:id="46" w:name="_Toc325013030"/>
            <w:bookmarkStart w:id="47" w:name="_Toc325383241"/>
            <w:r>
              <w:rPr>
                <w:rFonts w:hint="eastAsia" w:ascii="??" w:hAnsi="??" w:cs="??"/>
                <w:bCs/>
                <w:kern w:val="0"/>
                <w:sz w:val="24"/>
                <w:szCs w:val="24"/>
              </w:rPr>
              <w:t>（1）</w:t>
            </w:r>
            <w:r>
              <w:rPr>
                <w:rFonts w:ascii="??" w:hAnsi="??" w:cs="??"/>
                <w:bCs/>
                <w:kern w:val="0"/>
                <w:sz w:val="24"/>
                <w:szCs w:val="24"/>
              </w:rPr>
              <w:t>可行性研究阶段</w:t>
            </w:r>
            <w:bookmarkEnd w:id="46"/>
            <w:bookmarkEnd w:id="47"/>
          </w:p>
          <w:p>
            <w:pPr>
              <w:autoSpaceDE w:val="0"/>
              <w:autoSpaceDN w:val="0"/>
              <w:adjustRightInd w:val="0"/>
              <w:spacing w:line="360" w:lineRule="auto"/>
              <w:ind w:firstLine="480" w:firstLineChars="200"/>
              <w:rPr>
                <w:rFonts w:ascii="??" w:hAnsi="??" w:cs="??"/>
                <w:kern w:val="0"/>
                <w:sz w:val="24"/>
                <w:szCs w:val="24"/>
              </w:rPr>
            </w:pPr>
            <w:r>
              <w:rPr>
                <w:rFonts w:hint="eastAsia" w:ascii="??" w:hAnsi="??" w:cs="??"/>
                <w:kern w:val="0"/>
                <w:sz w:val="24"/>
                <w:szCs w:val="24"/>
              </w:rPr>
              <w:t>宁</w:t>
            </w:r>
            <w:r>
              <w:rPr>
                <w:rFonts w:ascii="??" w:hAnsi="??" w:cs="??"/>
                <w:kern w:val="0"/>
                <w:sz w:val="24"/>
                <w:szCs w:val="24"/>
              </w:rPr>
              <w:t>县环保局负责对拟建项目环境工作的</w:t>
            </w:r>
            <w:r>
              <w:rPr>
                <w:rFonts w:hint="eastAsia" w:ascii="??" w:hAnsi="??" w:cs="??"/>
                <w:kern w:val="0"/>
                <w:sz w:val="24"/>
                <w:szCs w:val="24"/>
              </w:rPr>
              <w:t>监管</w:t>
            </w:r>
            <w:r>
              <w:rPr>
                <w:rFonts w:ascii="??" w:hAnsi="??" w:cs="??"/>
                <w:kern w:val="0"/>
                <w:sz w:val="24"/>
                <w:szCs w:val="24"/>
              </w:rPr>
              <w:t>，</w:t>
            </w:r>
            <w:r>
              <w:rPr>
                <w:rFonts w:hint="eastAsia" w:ascii="??" w:hAnsi="??" w:cs="??"/>
                <w:kern w:val="0"/>
                <w:sz w:val="24"/>
                <w:szCs w:val="24"/>
              </w:rPr>
              <w:t>监督</w:t>
            </w:r>
            <w:r>
              <w:rPr>
                <w:rFonts w:ascii="??" w:hAnsi="??" w:cs="??"/>
                <w:kern w:val="0"/>
                <w:sz w:val="24"/>
                <w:szCs w:val="24"/>
              </w:rPr>
              <w:t>有关机构为项目环境保护工作服务；监督项目环境行动计划的实施；确认项目应执行的环境管理法规和标准。</w:t>
            </w:r>
          </w:p>
          <w:p>
            <w:pPr>
              <w:autoSpaceDE w:val="0"/>
              <w:autoSpaceDN w:val="0"/>
              <w:adjustRightInd w:val="0"/>
              <w:spacing w:line="360" w:lineRule="auto"/>
              <w:ind w:firstLine="480" w:firstLineChars="200"/>
              <w:rPr>
                <w:rFonts w:ascii="??" w:hAnsi="??" w:cs="??"/>
                <w:bCs/>
                <w:kern w:val="0"/>
                <w:sz w:val="24"/>
                <w:szCs w:val="24"/>
              </w:rPr>
            </w:pPr>
            <w:bookmarkStart w:id="48" w:name="_Toc325383242"/>
            <w:bookmarkStart w:id="49" w:name="_Toc325013031"/>
            <w:r>
              <w:rPr>
                <w:rFonts w:hint="eastAsia" w:ascii="??" w:hAnsi="??" w:cs="??"/>
                <w:bCs/>
                <w:kern w:val="0"/>
                <w:sz w:val="24"/>
                <w:szCs w:val="24"/>
              </w:rPr>
              <w:t>（2）</w:t>
            </w:r>
            <w:r>
              <w:rPr>
                <w:rFonts w:ascii="??" w:hAnsi="??" w:cs="??"/>
                <w:bCs/>
                <w:kern w:val="0"/>
                <w:sz w:val="24"/>
                <w:szCs w:val="24"/>
              </w:rPr>
              <w:t xml:space="preserve"> 设计阶段</w:t>
            </w:r>
            <w:bookmarkEnd w:id="48"/>
            <w:bookmarkEnd w:id="49"/>
          </w:p>
          <w:p>
            <w:pPr>
              <w:autoSpaceDE w:val="0"/>
              <w:autoSpaceDN w:val="0"/>
              <w:adjustRightInd w:val="0"/>
              <w:spacing w:line="360" w:lineRule="auto"/>
              <w:ind w:firstLine="480" w:firstLineChars="200"/>
              <w:rPr>
                <w:rFonts w:ascii="??" w:hAnsi="??" w:cs="??"/>
                <w:kern w:val="0"/>
                <w:sz w:val="24"/>
                <w:szCs w:val="24"/>
              </w:rPr>
            </w:pPr>
            <w:r>
              <w:rPr>
                <w:rFonts w:ascii="??" w:hAnsi="??" w:cs="??"/>
                <w:kern w:val="0"/>
                <w:sz w:val="24"/>
                <w:szCs w:val="24"/>
              </w:rPr>
              <w:t>由</w:t>
            </w:r>
            <w:r>
              <w:rPr>
                <w:rFonts w:hint="eastAsia" w:ascii="??" w:hAnsi="??" w:cs="??"/>
                <w:bCs/>
                <w:kern w:val="0"/>
                <w:sz w:val="24"/>
                <w:szCs w:val="24"/>
              </w:rPr>
              <w:t>建设单位—宁县太昌镇人民政府</w:t>
            </w:r>
            <w:r>
              <w:rPr>
                <w:rFonts w:ascii="??" w:hAnsi="??" w:cs="??"/>
                <w:kern w:val="0"/>
                <w:sz w:val="24"/>
                <w:szCs w:val="24"/>
              </w:rPr>
              <w:t>负责，需将本次环评报告表及环评批复意见中要求的环境保护措施落实到设计文件中。</w:t>
            </w:r>
            <w:bookmarkStart w:id="50" w:name="_Toc325013032"/>
            <w:bookmarkStart w:id="51" w:name="_Toc325383243"/>
          </w:p>
          <w:p>
            <w:pPr>
              <w:autoSpaceDE w:val="0"/>
              <w:autoSpaceDN w:val="0"/>
              <w:adjustRightInd w:val="0"/>
              <w:spacing w:line="360" w:lineRule="auto"/>
              <w:ind w:firstLine="480" w:firstLineChars="200"/>
              <w:rPr>
                <w:rFonts w:ascii="??" w:hAnsi="??" w:cs="??"/>
                <w:bCs/>
                <w:kern w:val="0"/>
                <w:sz w:val="24"/>
                <w:szCs w:val="24"/>
              </w:rPr>
            </w:pPr>
            <w:r>
              <w:rPr>
                <w:rFonts w:hint="eastAsia" w:ascii="??" w:hAnsi="??" w:cs="??"/>
                <w:bCs/>
                <w:kern w:val="0"/>
                <w:sz w:val="24"/>
                <w:szCs w:val="24"/>
              </w:rPr>
              <w:t>（3）</w:t>
            </w:r>
            <w:r>
              <w:rPr>
                <w:rFonts w:ascii="??" w:hAnsi="??" w:cs="??"/>
                <w:bCs/>
                <w:kern w:val="0"/>
                <w:sz w:val="24"/>
                <w:szCs w:val="24"/>
              </w:rPr>
              <w:t>施工阶段</w:t>
            </w:r>
            <w:bookmarkEnd w:id="50"/>
            <w:bookmarkEnd w:id="51"/>
          </w:p>
          <w:p>
            <w:pPr>
              <w:autoSpaceDE w:val="0"/>
              <w:autoSpaceDN w:val="0"/>
              <w:adjustRightInd w:val="0"/>
              <w:spacing w:line="360" w:lineRule="auto"/>
              <w:ind w:firstLine="480" w:firstLineChars="200"/>
              <w:rPr>
                <w:rFonts w:ascii="??" w:hAnsi="??" w:cs="??"/>
                <w:kern w:val="0"/>
                <w:sz w:val="24"/>
                <w:szCs w:val="24"/>
              </w:rPr>
            </w:pPr>
            <w:r>
              <w:rPr>
                <w:rFonts w:hint="eastAsia" w:ascii="??" w:hAnsi="??" w:cs="??"/>
                <w:kern w:val="0"/>
                <w:sz w:val="24"/>
                <w:szCs w:val="24"/>
              </w:rPr>
              <w:t>①</w:t>
            </w:r>
            <w:r>
              <w:rPr>
                <w:rFonts w:ascii="??" w:hAnsi="??" w:cs="??"/>
                <w:kern w:val="0"/>
                <w:sz w:val="24"/>
                <w:szCs w:val="24"/>
              </w:rPr>
              <w:t>环境管理机构</w:t>
            </w:r>
          </w:p>
          <w:p>
            <w:pPr>
              <w:autoSpaceDE w:val="0"/>
              <w:autoSpaceDN w:val="0"/>
              <w:adjustRightInd w:val="0"/>
              <w:spacing w:line="360" w:lineRule="auto"/>
              <w:ind w:firstLine="480" w:firstLineChars="200"/>
              <w:rPr>
                <w:rFonts w:ascii="??" w:hAnsi="??" w:cs="??"/>
                <w:kern w:val="0"/>
                <w:sz w:val="24"/>
                <w:szCs w:val="24"/>
              </w:rPr>
            </w:pPr>
            <w:r>
              <w:rPr>
                <w:rFonts w:hint="eastAsia" w:ascii="??" w:hAnsi="??" w:cs="??"/>
                <w:kern w:val="0"/>
                <w:sz w:val="24"/>
                <w:szCs w:val="24"/>
              </w:rPr>
              <w:t>宁</w:t>
            </w:r>
            <w:r>
              <w:rPr>
                <w:rFonts w:ascii="??" w:hAnsi="??" w:cs="??"/>
                <w:kern w:val="0"/>
                <w:sz w:val="24"/>
                <w:szCs w:val="24"/>
              </w:rPr>
              <w:t>县环保局监督建设</w:t>
            </w:r>
            <w:r>
              <w:rPr>
                <w:rFonts w:hint="eastAsia" w:ascii="??" w:hAnsi="??" w:cs="??"/>
                <w:kern w:val="0"/>
                <w:sz w:val="24"/>
                <w:szCs w:val="24"/>
              </w:rPr>
              <w:t>单位</w:t>
            </w:r>
            <w:r>
              <w:rPr>
                <w:rFonts w:ascii="??" w:hAnsi="??" w:cs="??"/>
                <w:kern w:val="0"/>
                <w:sz w:val="24"/>
                <w:szCs w:val="24"/>
              </w:rPr>
              <w:t>和施工单位实施环境管理行动计划，执行有关环境管理的法规、标准</w:t>
            </w:r>
            <w:r>
              <w:rPr>
                <w:rFonts w:hint="eastAsia" w:ascii="??" w:hAnsi="??" w:cs="??"/>
                <w:kern w:val="0"/>
                <w:sz w:val="24"/>
                <w:szCs w:val="24"/>
              </w:rPr>
              <w:t>、</w:t>
            </w:r>
            <w:r>
              <w:rPr>
                <w:rFonts w:ascii="??" w:hAnsi="??" w:cs="??"/>
                <w:kern w:val="0"/>
                <w:sz w:val="24"/>
                <w:szCs w:val="24"/>
              </w:rPr>
              <w:t>运行检查、监督管理</w:t>
            </w:r>
            <w:r>
              <w:rPr>
                <w:rFonts w:hint="eastAsia" w:ascii="??" w:hAnsi="??" w:cs="??"/>
                <w:kern w:val="0"/>
                <w:sz w:val="24"/>
                <w:szCs w:val="24"/>
              </w:rPr>
              <w:t>，</w:t>
            </w:r>
            <w:r>
              <w:rPr>
                <w:rFonts w:ascii="??" w:hAnsi="??" w:cs="??"/>
                <w:kern w:val="0"/>
                <w:sz w:val="24"/>
                <w:szCs w:val="24"/>
              </w:rPr>
              <w:t>协调各部门之间做好环保工作。</w:t>
            </w:r>
          </w:p>
          <w:p>
            <w:pPr>
              <w:autoSpaceDE w:val="0"/>
              <w:autoSpaceDN w:val="0"/>
              <w:adjustRightInd w:val="0"/>
              <w:spacing w:line="360" w:lineRule="auto"/>
              <w:ind w:firstLine="480" w:firstLineChars="200"/>
              <w:rPr>
                <w:rFonts w:ascii="??" w:hAnsi="??" w:cs="??"/>
                <w:kern w:val="0"/>
                <w:sz w:val="24"/>
                <w:szCs w:val="24"/>
              </w:rPr>
            </w:pPr>
            <w:r>
              <w:rPr>
                <w:rFonts w:hint="eastAsia" w:ascii="??" w:hAnsi="??" w:cs="??"/>
                <w:kern w:val="0"/>
                <w:sz w:val="24"/>
                <w:szCs w:val="24"/>
              </w:rPr>
              <w:t>②</w:t>
            </w:r>
            <w:r>
              <w:rPr>
                <w:rFonts w:ascii="??" w:hAnsi="??" w:cs="??"/>
                <w:kern w:val="0"/>
                <w:sz w:val="24"/>
                <w:szCs w:val="24"/>
              </w:rPr>
              <w:t>施工期环境管理职责</w:t>
            </w:r>
          </w:p>
          <w:p>
            <w:pPr>
              <w:autoSpaceDE w:val="0"/>
              <w:autoSpaceDN w:val="0"/>
              <w:adjustRightInd w:val="0"/>
              <w:spacing w:line="360" w:lineRule="auto"/>
              <w:ind w:firstLine="480" w:firstLineChars="200"/>
              <w:rPr>
                <w:rFonts w:ascii="??" w:hAnsi="??" w:cs="??"/>
                <w:kern w:val="0"/>
                <w:sz w:val="24"/>
                <w:szCs w:val="24"/>
              </w:rPr>
            </w:pPr>
            <w:r>
              <w:rPr>
                <w:rFonts w:ascii="??" w:hAnsi="??" w:cs="??"/>
                <w:kern w:val="0"/>
                <w:sz w:val="24"/>
                <w:szCs w:val="24"/>
              </w:rPr>
              <w:t>施工期环境管理主要包括：根据国家有关的施工管理条例和操作规范，结合拟建项目的具体施工计划和本报告提出的污染防治措施，制定有针对性的环境保护管理办法和详细的环保管理计划，特别是制定和实施工程承包商。</w:t>
            </w:r>
          </w:p>
          <w:p>
            <w:pPr>
              <w:autoSpaceDE w:val="0"/>
              <w:autoSpaceDN w:val="0"/>
              <w:adjustRightInd w:val="0"/>
              <w:spacing w:line="360" w:lineRule="auto"/>
              <w:ind w:firstLine="480" w:firstLineChars="200"/>
              <w:rPr>
                <w:rFonts w:ascii="??" w:hAnsi="??" w:cs="??"/>
                <w:kern w:val="0"/>
                <w:sz w:val="24"/>
                <w:szCs w:val="24"/>
              </w:rPr>
            </w:pPr>
            <w:r>
              <w:rPr>
                <w:rFonts w:ascii="??" w:hAnsi="??" w:cs="??"/>
                <w:kern w:val="0"/>
                <w:sz w:val="24"/>
                <w:szCs w:val="24"/>
              </w:rPr>
              <w:t>定期对施工现场进行检查，监督施工单位对环境保护和管理办法的执行情况，及时制止和纠正不符合管理办法的施工行为。调查、处理施工过程中出现的扰民或污染问题。向当地环境保护行政主管部门提交环境管理阶段报告。</w:t>
            </w:r>
          </w:p>
          <w:p>
            <w:pPr>
              <w:autoSpaceDE w:val="0"/>
              <w:autoSpaceDN w:val="0"/>
              <w:adjustRightInd w:val="0"/>
              <w:spacing w:line="360" w:lineRule="auto"/>
              <w:ind w:firstLine="480" w:firstLineChars="200"/>
              <w:rPr>
                <w:rFonts w:ascii="??" w:hAnsi="??" w:cs="??"/>
                <w:kern w:val="0"/>
                <w:sz w:val="24"/>
                <w:szCs w:val="24"/>
              </w:rPr>
            </w:pPr>
            <w:r>
              <w:rPr>
                <w:rFonts w:hint="eastAsia" w:ascii="??" w:hAnsi="??" w:cs="??"/>
                <w:kern w:val="0"/>
                <w:sz w:val="24"/>
                <w:szCs w:val="24"/>
              </w:rPr>
              <w:t>③</w:t>
            </w:r>
            <w:r>
              <w:rPr>
                <w:rFonts w:ascii="??" w:hAnsi="??" w:cs="??"/>
                <w:kern w:val="0"/>
                <w:sz w:val="24"/>
                <w:szCs w:val="24"/>
              </w:rPr>
              <w:t>施工期环境管理内容</w:t>
            </w:r>
          </w:p>
          <w:p>
            <w:pPr>
              <w:autoSpaceDE w:val="0"/>
              <w:autoSpaceDN w:val="0"/>
              <w:adjustRightInd w:val="0"/>
              <w:spacing w:line="360" w:lineRule="auto"/>
              <w:ind w:firstLine="480" w:firstLineChars="200"/>
              <w:rPr>
                <w:rFonts w:ascii="??" w:hAnsi="??" w:cs="??"/>
                <w:kern w:val="0"/>
                <w:sz w:val="24"/>
                <w:szCs w:val="24"/>
              </w:rPr>
            </w:pPr>
            <w:r>
              <w:rPr>
                <w:rFonts w:hint="eastAsia" w:ascii="宋体" w:hAnsi="宋体" w:cs="宋体"/>
                <w:kern w:val="0"/>
                <w:sz w:val="24"/>
                <w:szCs w:val="24"/>
              </w:rPr>
              <w:t>⒈</w:t>
            </w:r>
            <w:r>
              <w:rPr>
                <w:rFonts w:ascii="??" w:hAnsi="??" w:cs="??"/>
                <w:kern w:val="0"/>
                <w:sz w:val="24"/>
                <w:szCs w:val="24"/>
              </w:rPr>
              <w:t>为有效地控制工程施工期间的环境污染，项目在建设施工阶段，不但要对项目的施工质量、进度进行管理，同时必须对施工的文明程度，环境影响减缓措施的落实情况，以及环境保护方面合同条款的执行情况进行监督检查。</w:t>
            </w:r>
          </w:p>
          <w:p>
            <w:pPr>
              <w:autoSpaceDE w:val="0"/>
              <w:autoSpaceDN w:val="0"/>
              <w:adjustRightInd w:val="0"/>
              <w:spacing w:line="360" w:lineRule="auto"/>
              <w:ind w:firstLine="480" w:firstLineChars="200"/>
              <w:rPr>
                <w:rFonts w:ascii="??" w:hAnsi="??" w:cs="??"/>
                <w:kern w:val="0"/>
                <w:sz w:val="24"/>
                <w:szCs w:val="24"/>
              </w:rPr>
            </w:pPr>
            <w:r>
              <w:rPr>
                <w:rFonts w:hint="eastAsia" w:ascii="宋体" w:hAnsi="宋体" w:cs="宋体"/>
                <w:kern w:val="0"/>
                <w:sz w:val="24"/>
                <w:szCs w:val="24"/>
              </w:rPr>
              <w:t>⒉</w:t>
            </w:r>
            <w:r>
              <w:rPr>
                <w:rFonts w:ascii="??" w:hAnsi="??" w:cs="??"/>
                <w:kern w:val="0"/>
                <w:sz w:val="24"/>
                <w:szCs w:val="24"/>
              </w:rPr>
              <w:t>建设单位在工程总体发包时将施工期环境保护措施列入合同文本，要求施工单位严格执行，并实行奖惩制度。</w:t>
            </w:r>
          </w:p>
          <w:p>
            <w:pPr>
              <w:autoSpaceDE w:val="0"/>
              <w:autoSpaceDN w:val="0"/>
              <w:adjustRightInd w:val="0"/>
              <w:spacing w:line="360" w:lineRule="auto"/>
              <w:ind w:firstLine="480" w:firstLineChars="200"/>
              <w:rPr>
                <w:rFonts w:ascii="??" w:hAnsi="??" w:cs="??"/>
                <w:kern w:val="0"/>
                <w:sz w:val="24"/>
                <w:szCs w:val="24"/>
              </w:rPr>
            </w:pPr>
            <w:r>
              <w:rPr>
                <w:rFonts w:hint="eastAsia" w:ascii="宋体" w:hAnsi="宋体" w:cs="宋体"/>
                <w:kern w:val="0"/>
                <w:sz w:val="24"/>
                <w:szCs w:val="24"/>
              </w:rPr>
              <w:t>⒊</w:t>
            </w:r>
            <w:r>
              <w:rPr>
                <w:rFonts w:ascii="??" w:hAnsi="??" w:cs="??"/>
                <w:kern w:val="0"/>
                <w:sz w:val="24"/>
                <w:szCs w:val="24"/>
              </w:rPr>
              <w:t>施工单位应按照工程合同的要求按照国家和地方政府制定的各项环保、环卫法组织施工，并按环评报告表提出的各项环境保护措施文明施工、保护环境。施工单位应在各施工场地配专（兼）职环境管理人员，负责各类污染源的现场控制与管理。尤其对高噪声施工设备应严格控制其施工时间。</w:t>
            </w:r>
          </w:p>
          <w:p>
            <w:pPr>
              <w:autoSpaceDE w:val="0"/>
              <w:autoSpaceDN w:val="0"/>
              <w:adjustRightInd w:val="0"/>
              <w:spacing w:line="360" w:lineRule="auto"/>
              <w:ind w:firstLine="480" w:firstLineChars="200"/>
              <w:rPr>
                <w:rFonts w:ascii="??" w:hAnsi="??" w:cs="??"/>
                <w:kern w:val="0"/>
                <w:sz w:val="24"/>
                <w:szCs w:val="24"/>
              </w:rPr>
            </w:pPr>
            <w:r>
              <w:rPr>
                <w:rFonts w:hint="eastAsia" w:ascii="宋体" w:hAnsi="宋体" w:cs="宋体"/>
                <w:kern w:val="0"/>
                <w:sz w:val="24"/>
                <w:szCs w:val="24"/>
              </w:rPr>
              <w:t>⒋</w:t>
            </w:r>
            <w:r>
              <w:rPr>
                <w:rFonts w:ascii="??" w:hAnsi="??" w:cs="??"/>
                <w:kern w:val="0"/>
                <w:sz w:val="24"/>
                <w:szCs w:val="24"/>
              </w:rPr>
              <w:t>做好宣传工作。由于技术条件和施工环境的限制，及时采取相应的控制措施，施工时带来的环境污染仍然是避免不了的。因此要想周围及受影响区域的居民做好宣传工作，以提高人们对不利环境影响的心理承受能力，取得理解，克服暂时困难，配合施工单位顺利完成工程的建设任务。</w:t>
            </w:r>
          </w:p>
          <w:p>
            <w:pPr>
              <w:autoSpaceDE w:val="0"/>
              <w:autoSpaceDN w:val="0"/>
              <w:adjustRightInd w:val="0"/>
              <w:spacing w:line="360" w:lineRule="auto"/>
              <w:ind w:firstLine="480" w:firstLineChars="200"/>
              <w:rPr>
                <w:rFonts w:ascii="??" w:hAnsi="??" w:cs="??"/>
                <w:bCs/>
                <w:kern w:val="0"/>
                <w:sz w:val="24"/>
                <w:szCs w:val="24"/>
              </w:rPr>
            </w:pPr>
            <w:bookmarkStart w:id="52" w:name="_Toc325383244"/>
            <w:bookmarkStart w:id="53" w:name="_Toc325013033"/>
            <w:r>
              <w:rPr>
                <w:rFonts w:hint="eastAsia" w:ascii="??" w:hAnsi="??" w:cs="??"/>
                <w:bCs/>
                <w:kern w:val="0"/>
                <w:sz w:val="24"/>
                <w:szCs w:val="24"/>
              </w:rPr>
              <w:t>（4）</w:t>
            </w:r>
            <w:r>
              <w:rPr>
                <w:rFonts w:ascii="??" w:hAnsi="??" w:cs="??"/>
                <w:bCs/>
                <w:kern w:val="0"/>
                <w:sz w:val="24"/>
                <w:szCs w:val="24"/>
              </w:rPr>
              <w:t>运营阶段</w:t>
            </w:r>
            <w:bookmarkEnd w:id="52"/>
            <w:bookmarkEnd w:id="53"/>
          </w:p>
          <w:p>
            <w:pPr>
              <w:autoSpaceDE w:val="0"/>
              <w:autoSpaceDN w:val="0"/>
              <w:adjustRightInd w:val="0"/>
              <w:spacing w:line="360" w:lineRule="auto"/>
              <w:ind w:firstLine="480" w:firstLineChars="200"/>
              <w:rPr>
                <w:rFonts w:ascii="??" w:hAnsi="??" w:cs="??"/>
                <w:kern w:val="0"/>
                <w:sz w:val="24"/>
                <w:szCs w:val="24"/>
              </w:rPr>
            </w:pPr>
            <w:r>
              <w:rPr>
                <w:rFonts w:hint="eastAsia" w:ascii="??" w:hAnsi="??" w:cs="??"/>
                <w:kern w:val="0"/>
                <w:sz w:val="24"/>
                <w:szCs w:val="24"/>
              </w:rPr>
              <w:t>①</w:t>
            </w:r>
            <w:r>
              <w:rPr>
                <w:rFonts w:ascii="??" w:hAnsi="??" w:cs="??"/>
                <w:kern w:val="0"/>
                <w:sz w:val="24"/>
                <w:szCs w:val="24"/>
              </w:rPr>
              <w:t>环境管理机构</w:t>
            </w:r>
          </w:p>
          <w:p>
            <w:pPr>
              <w:autoSpaceDE w:val="0"/>
              <w:autoSpaceDN w:val="0"/>
              <w:adjustRightInd w:val="0"/>
              <w:spacing w:line="360" w:lineRule="auto"/>
              <w:ind w:firstLine="480" w:firstLineChars="200"/>
              <w:rPr>
                <w:rFonts w:ascii="??" w:hAnsi="??" w:cs="??"/>
                <w:kern w:val="0"/>
                <w:sz w:val="24"/>
                <w:szCs w:val="24"/>
              </w:rPr>
            </w:pPr>
            <w:r>
              <w:rPr>
                <w:rFonts w:ascii="??" w:hAnsi="??" w:cs="??"/>
                <w:kern w:val="0"/>
                <w:sz w:val="24"/>
                <w:szCs w:val="24"/>
              </w:rPr>
              <w:t>运营期环境</w:t>
            </w:r>
            <w:r>
              <w:rPr>
                <w:rFonts w:hint="eastAsia" w:ascii="??" w:hAnsi="??" w:cs="??"/>
                <w:kern w:val="0"/>
                <w:sz w:val="24"/>
                <w:szCs w:val="24"/>
              </w:rPr>
              <w:t>监管</w:t>
            </w:r>
            <w:r>
              <w:rPr>
                <w:rFonts w:ascii="??" w:hAnsi="??" w:cs="??"/>
                <w:kern w:val="0"/>
                <w:sz w:val="24"/>
                <w:szCs w:val="24"/>
              </w:rPr>
              <w:t>机构为</w:t>
            </w:r>
            <w:r>
              <w:rPr>
                <w:rFonts w:hint="eastAsia" w:ascii="??" w:hAnsi="??" w:cs="??"/>
                <w:bCs/>
                <w:kern w:val="0"/>
                <w:sz w:val="24"/>
                <w:szCs w:val="24"/>
              </w:rPr>
              <w:t>宁县环境保护局</w:t>
            </w:r>
            <w:r>
              <w:rPr>
                <w:rFonts w:ascii="??" w:hAnsi="??" w:cs="??"/>
                <w:kern w:val="0"/>
                <w:sz w:val="24"/>
                <w:szCs w:val="24"/>
              </w:rPr>
              <w:t>。</w:t>
            </w:r>
            <w:r>
              <w:rPr>
                <w:rFonts w:hint="eastAsia" w:ascii="??" w:hAnsi="??" w:cs="??"/>
                <w:kern w:val="0"/>
                <w:sz w:val="24"/>
                <w:szCs w:val="24"/>
              </w:rPr>
              <w:t>环境管理部门为宁县太昌镇人民政府，建设单位</w:t>
            </w:r>
            <w:r>
              <w:rPr>
                <w:rFonts w:ascii="??" w:hAnsi="??" w:cs="??"/>
                <w:kern w:val="0"/>
                <w:sz w:val="24"/>
                <w:szCs w:val="24"/>
              </w:rPr>
              <w:t>需设置专人主管环保工作，负责拟建项目环境保护措施的实施与日常环保工作。环境监测委托</w:t>
            </w:r>
            <w:r>
              <w:rPr>
                <w:rFonts w:hint="eastAsia" w:ascii="??" w:hAnsi="??" w:cs="??"/>
                <w:kern w:val="0"/>
                <w:sz w:val="24"/>
                <w:szCs w:val="24"/>
              </w:rPr>
              <w:t>有资质的检测机构</w:t>
            </w:r>
            <w:r>
              <w:rPr>
                <w:rFonts w:ascii="??" w:hAnsi="??" w:cs="??"/>
                <w:kern w:val="0"/>
                <w:sz w:val="24"/>
                <w:szCs w:val="24"/>
              </w:rPr>
              <w:t>进行，主要</w:t>
            </w:r>
            <w:r>
              <w:rPr>
                <w:rFonts w:hint="eastAsia" w:ascii="??" w:hAnsi="??" w:cs="??"/>
                <w:kern w:val="0"/>
                <w:sz w:val="24"/>
                <w:szCs w:val="24"/>
              </w:rPr>
              <w:t>监测废水</w:t>
            </w:r>
            <w:r>
              <w:rPr>
                <w:rFonts w:ascii="??" w:hAnsi="??" w:cs="??"/>
                <w:kern w:val="0"/>
                <w:sz w:val="24"/>
                <w:szCs w:val="24"/>
              </w:rPr>
              <w:t>、</w:t>
            </w:r>
            <w:r>
              <w:rPr>
                <w:rFonts w:hint="eastAsia" w:ascii="??" w:hAnsi="??" w:cs="??"/>
                <w:kern w:val="0"/>
                <w:sz w:val="24"/>
                <w:szCs w:val="24"/>
              </w:rPr>
              <w:t>声环境</w:t>
            </w:r>
            <w:r>
              <w:rPr>
                <w:rFonts w:ascii="??" w:hAnsi="??" w:cs="??"/>
                <w:kern w:val="0"/>
                <w:sz w:val="24"/>
                <w:szCs w:val="24"/>
              </w:rPr>
              <w:t>情况。运营期环保措施的实施和管理，制定详细的管理目标和指标。定期进行环境管理人员的环保安全知识和技术培训和环保宣传教育工作。</w:t>
            </w:r>
          </w:p>
          <w:p>
            <w:pPr>
              <w:autoSpaceDE w:val="0"/>
              <w:autoSpaceDN w:val="0"/>
              <w:adjustRightInd w:val="0"/>
              <w:spacing w:line="360" w:lineRule="auto"/>
              <w:ind w:firstLine="480" w:firstLineChars="200"/>
              <w:rPr>
                <w:rFonts w:ascii="??" w:hAnsi="??" w:cs="??"/>
                <w:kern w:val="0"/>
                <w:sz w:val="24"/>
                <w:szCs w:val="24"/>
              </w:rPr>
            </w:pPr>
            <w:r>
              <w:rPr>
                <w:rFonts w:hint="eastAsia" w:ascii="??" w:hAnsi="??" w:cs="??"/>
                <w:kern w:val="0"/>
                <w:sz w:val="24"/>
                <w:szCs w:val="24"/>
              </w:rPr>
              <w:t>②</w:t>
            </w:r>
            <w:r>
              <w:rPr>
                <w:rFonts w:ascii="??" w:hAnsi="??" w:cs="??"/>
                <w:kern w:val="0"/>
                <w:sz w:val="24"/>
                <w:szCs w:val="24"/>
              </w:rPr>
              <w:t>环境管理职责</w:t>
            </w:r>
          </w:p>
          <w:p>
            <w:pPr>
              <w:autoSpaceDE w:val="0"/>
              <w:autoSpaceDN w:val="0"/>
              <w:adjustRightInd w:val="0"/>
              <w:spacing w:line="360" w:lineRule="auto"/>
              <w:ind w:firstLine="480" w:firstLineChars="200"/>
              <w:rPr>
                <w:rFonts w:ascii="??" w:hAnsi="??" w:cs="??"/>
                <w:kern w:val="0"/>
                <w:sz w:val="24"/>
                <w:szCs w:val="24"/>
              </w:rPr>
            </w:pPr>
            <w:r>
              <w:rPr>
                <w:rFonts w:hint="eastAsia" w:ascii="宋体" w:hAnsi="宋体" w:cs="宋体"/>
                <w:kern w:val="0"/>
                <w:sz w:val="24"/>
                <w:szCs w:val="24"/>
              </w:rPr>
              <w:t>⒈</w:t>
            </w:r>
            <w:r>
              <w:rPr>
                <w:rFonts w:ascii="??" w:hAnsi="??" w:cs="??"/>
                <w:kern w:val="0"/>
                <w:sz w:val="24"/>
                <w:szCs w:val="24"/>
              </w:rPr>
              <w:t>贯彻执行国家、省级、地方各项环保政策、法规、标准，根据拟建项目实际，编制环境保护规划和实施细则，并组织实施，监督执行。</w:t>
            </w:r>
          </w:p>
          <w:p>
            <w:pPr>
              <w:autoSpaceDE w:val="0"/>
              <w:autoSpaceDN w:val="0"/>
              <w:adjustRightInd w:val="0"/>
              <w:spacing w:line="360" w:lineRule="auto"/>
              <w:ind w:firstLine="480" w:firstLineChars="200"/>
              <w:rPr>
                <w:rFonts w:ascii="??" w:hAnsi="??" w:cs="??"/>
                <w:kern w:val="0"/>
                <w:sz w:val="24"/>
                <w:szCs w:val="24"/>
              </w:rPr>
            </w:pPr>
            <w:r>
              <w:rPr>
                <w:rFonts w:hint="eastAsia" w:ascii="宋体" w:hAnsi="宋体" w:cs="宋体"/>
                <w:kern w:val="0"/>
                <w:sz w:val="24"/>
                <w:szCs w:val="24"/>
              </w:rPr>
              <w:t>⒉</w:t>
            </w:r>
            <w:r>
              <w:rPr>
                <w:rFonts w:ascii="??" w:hAnsi="??" w:cs="??"/>
                <w:kern w:val="0"/>
                <w:sz w:val="24"/>
                <w:szCs w:val="24"/>
              </w:rPr>
              <w:t>建立污染源档案，并定期委托</w:t>
            </w:r>
            <w:r>
              <w:rPr>
                <w:rFonts w:hint="eastAsia" w:ascii="??" w:hAnsi="??" w:cs="??"/>
                <w:kern w:val="0"/>
                <w:sz w:val="24"/>
                <w:szCs w:val="24"/>
              </w:rPr>
              <w:t>有资质单位</w:t>
            </w:r>
            <w:r>
              <w:rPr>
                <w:rFonts w:ascii="??" w:hAnsi="??" w:cs="??"/>
                <w:kern w:val="0"/>
                <w:sz w:val="24"/>
                <w:szCs w:val="24"/>
              </w:rPr>
              <w:t>进行监测掌握拟建项目污染源的动态，以便为环境管理和污染防治提供科学依据。</w:t>
            </w:r>
          </w:p>
          <w:p>
            <w:pPr>
              <w:autoSpaceDE w:val="0"/>
              <w:autoSpaceDN w:val="0"/>
              <w:adjustRightInd w:val="0"/>
              <w:spacing w:line="360" w:lineRule="auto"/>
              <w:ind w:firstLine="480" w:firstLineChars="200"/>
              <w:rPr>
                <w:rFonts w:ascii="??" w:hAnsi="??" w:cs="??"/>
                <w:kern w:val="0"/>
                <w:sz w:val="24"/>
                <w:szCs w:val="24"/>
              </w:rPr>
            </w:pPr>
            <w:r>
              <w:rPr>
                <w:rFonts w:hint="eastAsia" w:ascii="宋体" w:hAnsi="宋体" w:cs="宋体"/>
                <w:kern w:val="0"/>
                <w:sz w:val="24"/>
                <w:szCs w:val="24"/>
              </w:rPr>
              <w:t>⒊</w:t>
            </w:r>
            <w:r>
              <w:rPr>
                <w:rFonts w:ascii="??" w:hAnsi="??" w:cs="??"/>
                <w:kern w:val="0"/>
                <w:sz w:val="24"/>
                <w:szCs w:val="24"/>
              </w:rPr>
              <w:t>织织和管理</w:t>
            </w:r>
            <w:r>
              <w:rPr>
                <w:rFonts w:hint="eastAsia" w:ascii="??" w:hAnsi="??" w:cs="??"/>
                <w:bCs/>
                <w:kern w:val="0"/>
                <w:sz w:val="24"/>
                <w:szCs w:val="24"/>
              </w:rPr>
              <w:t>建设单位</w:t>
            </w:r>
            <w:r>
              <w:rPr>
                <w:rFonts w:ascii="??" w:hAnsi="??" w:cs="??"/>
                <w:kern w:val="0"/>
                <w:sz w:val="24"/>
                <w:szCs w:val="24"/>
              </w:rPr>
              <w:t>的污染治理工作，负责环保治理设施的运行及管理工作。定期进行拟建项目环境管理人员的环保安全知识和技术培训工作，定期进行安全环保宣传教育工作。</w:t>
            </w:r>
          </w:p>
          <w:p>
            <w:pPr>
              <w:autoSpaceDE w:val="0"/>
              <w:autoSpaceDN w:val="0"/>
              <w:adjustRightInd w:val="0"/>
              <w:spacing w:line="360" w:lineRule="auto"/>
              <w:ind w:firstLine="480" w:firstLineChars="200"/>
              <w:rPr>
                <w:rFonts w:ascii="??" w:hAnsi="??" w:cs="??"/>
                <w:kern w:val="0"/>
                <w:sz w:val="24"/>
                <w:szCs w:val="24"/>
              </w:rPr>
            </w:pPr>
            <w:r>
              <w:rPr>
                <w:rFonts w:hint="eastAsia" w:ascii="??" w:hAnsi="??" w:cs="??"/>
                <w:kern w:val="0"/>
                <w:sz w:val="24"/>
                <w:szCs w:val="24"/>
              </w:rPr>
              <w:t>③</w:t>
            </w:r>
            <w:r>
              <w:rPr>
                <w:rFonts w:ascii="??" w:hAnsi="??" w:cs="??"/>
                <w:kern w:val="0"/>
                <w:sz w:val="24"/>
                <w:szCs w:val="24"/>
              </w:rPr>
              <w:t>环境管理目标</w:t>
            </w:r>
          </w:p>
          <w:p>
            <w:pPr>
              <w:autoSpaceDE w:val="0"/>
              <w:autoSpaceDN w:val="0"/>
              <w:adjustRightInd w:val="0"/>
              <w:spacing w:line="360" w:lineRule="auto"/>
              <w:ind w:firstLine="480" w:firstLineChars="200"/>
              <w:rPr>
                <w:rFonts w:ascii="??" w:hAnsi="??" w:cs="??"/>
                <w:kern w:val="0"/>
                <w:sz w:val="24"/>
                <w:szCs w:val="24"/>
              </w:rPr>
            </w:pPr>
            <w:r>
              <w:rPr>
                <w:rFonts w:ascii="??" w:hAnsi="??" w:cs="??"/>
                <w:kern w:val="0"/>
                <w:sz w:val="24"/>
                <w:szCs w:val="24"/>
              </w:rPr>
              <w:t>目标应达到国家规定的废气、噪声等的排放标准，确保环境管理的持续改进。</w:t>
            </w:r>
          </w:p>
          <w:p>
            <w:pPr>
              <w:autoSpaceDE w:val="0"/>
              <w:autoSpaceDN w:val="0"/>
              <w:adjustRightInd w:val="0"/>
              <w:spacing w:line="360" w:lineRule="auto"/>
              <w:ind w:firstLine="480" w:firstLineChars="200"/>
              <w:rPr>
                <w:rFonts w:ascii="??" w:hAnsi="??" w:cs="??"/>
                <w:kern w:val="0"/>
                <w:sz w:val="24"/>
                <w:szCs w:val="24"/>
              </w:rPr>
            </w:pPr>
            <w:r>
              <w:rPr>
                <w:rFonts w:ascii="??" w:hAnsi="??" w:cs="??"/>
                <w:kern w:val="0"/>
                <w:sz w:val="24"/>
                <w:szCs w:val="24"/>
              </w:rPr>
              <w:t>废气：恶臭执行</w:t>
            </w:r>
            <w:r>
              <w:rPr>
                <w:rFonts w:ascii="??" w:hAnsi="??" w:cs="??"/>
                <w:bCs/>
                <w:kern w:val="0"/>
                <w:sz w:val="24"/>
                <w:szCs w:val="24"/>
              </w:rPr>
              <w:t>《城镇污水处理厂污染物排放标准》（GB18918-2002）中表4</w:t>
            </w:r>
            <w:r>
              <w:rPr>
                <w:rFonts w:ascii="??" w:hAnsi="??" w:cs="??"/>
                <w:kern w:val="0"/>
                <w:sz w:val="24"/>
                <w:szCs w:val="24"/>
              </w:rPr>
              <w:t>标准限值</w:t>
            </w:r>
            <w:r>
              <w:rPr>
                <w:rFonts w:hint="eastAsia" w:ascii="??" w:hAnsi="??" w:cs="??"/>
                <w:kern w:val="0"/>
                <w:sz w:val="24"/>
                <w:szCs w:val="24"/>
              </w:rPr>
              <w:t>，扬尘执行</w:t>
            </w:r>
            <w:r>
              <w:rPr>
                <w:rFonts w:ascii="??" w:hAnsi="??" w:cs="??"/>
                <w:kern w:val="0"/>
                <w:sz w:val="24"/>
                <w:szCs w:val="24"/>
              </w:rPr>
              <w:t>《大气污染物综合排放标准》（GB16297-1996）</w:t>
            </w:r>
            <w:r>
              <w:rPr>
                <w:rFonts w:hint="eastAsia" w:ascii="??" w:hAnsi="??" w:cs="??"/>
                <w:kern w:val="0"/>
                <w:sz w:val="24"/>
                <w:szCs w:val="24"/>
              </w:rPr>
              <w:t>表2二级</w:t>
            </w:r>
            <w:r>
              <w:rPr>
                <w:rFonts w:ascii="??" w:hAnsi="??" w:cs="??"/>
                <w:kern w:val="0"/>
                <w:sz w:val="24"/>
                <w:szCs w:val="24"/>
              </w:rPr>
              <w:t>排放标准</w:t>
            </w:r>
            <w:r>
              <w:rPr>
                <w:rFonts w:hint="eastAsia" w:ascii="??" w:hAnsi="??" w:cs="??"/>
                <w:kern w:val="0"/>
                <w:sz w:val="24"/>
                <w:szCs w:val="24"/>
              </w:rPr>
              <w:t>。</w:t>
            </w:r>
          </w:p>
          <w:p>
            <w:pPr>
              <w:autoSpaceDE w:val="0"/>
              <w:autoSpaceDN w:val="0"/>
              <w:adjustRightInd w:val="0"/>
              <w:spacing w:line="360" w:lineRule="auto"/>
              <w:ind w:firstLine="480" w:firstLineChars="200"/>
              <w:rPr>
                <w:rFonts w:ascii="??" w:hAnsi="??" w:cs="??"/>
                <w:kern w:val="0"/>
                <w:sz w:val="24"/>
                <w:szCs w:val="24"/>
              </w:rPr>
            </w:pPr>
            <w:r>
              <w:rPr>
                <w:rFonts w:ascii="??" w:hAnsi="??" w:cs="??"/>
                <w:kern w:val="0"/>
                <w:sz w:val="24"/>
                <w:szCs w:val="24"/>
              </w:rPr>
              <w:t>噪声：噪声达到《工业企业厂界环境噪声排放标准》（GB12348—2008）中2类</w:t>
            </w:r>
            <w:r>
              <w:rPr>
                <w:rFonts w:hint="eastAsia" w:ascii="??" w:hAnsi="??" w:cs="??"/>
                <w:kern w:val="0"/>
                <w:sz w:val="24"/>
                <w:szCs w:val="24"/>
              </w:rPr>
              <w:t>和4类</w:t>
            </w:r>
            <w:r>
              <w:rPr>
                <w:rFonts w:ascii="??" w:hAnsi="??" w:cs="??"/>
                <w:kern w:val="0"/>
                <w:sz w:val="24"/>
                <w:szCs w:val="24"/>
              </w:rPr>
              <w:t>标准。</w:t>
            </w:r>
          </w:p>
          <w:p>
            <w:pPr>
              <w:autoSpaceDE w:val="0"/>
              <w:autoSpaceDN w:val="0"/>
              <w:adjustRightInd w:val="0"/>
              <w:spacing w:line="360" w:lineRule="auto"/>
              <w:ind w:firstLine="480" w:firstLineChars="200"/>
              <w:rPr>
                <w:rFonts w:ascii="??" w:hAnsi="??" w:cs="??"/>
                <w:kern w:val="0"/>
                <w:sz w:val="24"/>
                <w:szCs w:val="24"/>
              </w:rPr>
            </w:pPr>
            <w:r>
              <w:rPr>
                <w:rFonts w:hint="eastAsia" w:ascii="??" w:hAnsi="??" w:cs="??"/>
                <w:kern w:val="0"/>
                <w:sz w:val="24"/>
                <w:szCs w:val="24"/>
              </w:rPr>
              <w:t>废水：污水站</w:t>
            </w:r>
            <w:r>
              <w:rPr>
                <w:rFonts w:ascii="??" w:hAnsi="??" w:cs="??"/>
                <w:kern w:val="0"/>
                <w:sz w:val="24"/>
                <w:szCs w:val="24"/>
              </w:rPr>
              <w:t>污水排放执行《城镇污水处理厂污染物排放标准》（GB18918-2002）中一级</w:t>
            </w:r>
            <w:r>
              <w:rPr>
                <w:rFonts w:hint="eastAsia" w:ascii="??" w:hAnsi="??" w:cs="??"/>
                <w:kern w:val="0"/>
                <w:sz w:val="24"/>
                <w:szCs w:val="24"/>
              </w:rPr>
              <w:t>A</w:t>
            </w:r>
            <w:r>
              <w:rPr>
                <w:rFonts w:ascii="??" w:hAnsi="??" w:cs="??"/>
                <w:kern w:val="0"/>
                <w:sz w:val="24"/>
                <w:szCs w:val="24"/>
              </w:rPr>
              <w:t>排放标准</w:t>
            </w:r>
            <w:r>
              <w:rPr>
                <w:rFonts w:hint="eastAsia" w:ascii="??" w:hAnsi="??" w:cs="??"/>
                <w:kern w:val="0"/>
                <w:sz w:val="24"/>
                <w:szCs w:val="24"/>
              </w:rPr>
              <w:t>。</w:t>
            </w:r>
          </w:p>
          <w:p>
            <w:pPr>
              <w:autoSpaceDE w:val="0"/>
              <w:autoSpaceDN w:val="0"/>
              <w:adjustRightInd w:val="0"/>
              <w:spacing w:line="360" w:lineRule="auto"/>
              <w:ind w:firstLine="480" w:firstLineChars="200"/>
              <w:rPr>
                <w:rFonts w:ascii="??" w:hAnsi="??" w:cs="??"/>
                <w:bCs/>
                <w:kern w:val="0"/>
                <w:sz w:val="24"/>
                <w:szCs w:val="24"/>
              </w:rPr>
            </w:pPr>
            <w:bookmarkStart w:id="54" w:name="_Toc325383245"/>
            <w:bookmarkStart w:id="55" w:name="_Toc325013034"/>
            <w:r>
              <w:rPr>
                <w:rFonts w:hint="eastAsia" w:ascii="??" w:hAnsi="??" w:cs="??"/>
                <w:bCs/>
                <w:kern w:val="0"/>
                <w:sz w:val="24"/>
                <w:szCs w:val="24"/>
              </w:rPr>
              <w:t>（5）</w:t>
            </w:r>
            <w:r>
              <w:rPr>
                <w:rFonts w:ascii="??" w:hAnsi="??" w:cs="??"/>
                <w:bCs/>
                <w:kern w:val="0"/>
                <w:sz w:val="24"/>
                <w:szCs w:val="24"/>
              </w:rPr>
              <w:t xml:space="preserve"> 环境保护监督计划</w:t>
            </w:r>
            <w:bookmarkEnd w:id="54"/>
            <w:bookmarkEnd w:id="55"/>
          </w:p>
          <w:p>
            <w:pPr>
              <w:autoSpaceDE w:val="0"/>
              <w:autoSpaceDN w:val="0"/>
              <w:adjustRightInd w:val="0"/>
              <w:spacing w:line="360" w:lineRule="auto"/>
              <w:ind w:firstLine="480" w:firstLineChars="200"/>
              <w:rPr>
                <w:rFonts w:ascii="??" w:hAnsi="??" w:cs="??"/>
                <w:kern w:val="0"/>
                <w:sz w:val="24"/>
                <w:szCs w:val="24"/>
              </w:rPr>
            </w:pPr>
            <w:r>
              <w:rPr>
                <w:rFonts w:ascii="??" w:hAnsi="??" w:cs="??"/>
                <w:kern w:val="0"/>
                <w:sz w:val="24"/>
                <w:szCs w:val="24"/>
              </w:rPr>
              <w:t>拟建项目环境保护监督计划见表</w:t>
            </w:r>
            <w:r>
              <w:rPr>
                <w:rFonts w:hint="eastAsia" w:ascii="??" w:hAnsi="??" w:cs="??"/>
                <w:kern w:val="0"/>
                <w:sz w:val="24"/>
                <w:szCs w:val="24"/>
              </w:rPr>
              <w:t>68</w:t>
            </w:r>
            <w:r>
              <w:rPr>
                <w:rFonts w:ascii="??" w:hAnsi="??" w:cs="??"/>
                <w:kern w:val="0"/>
                <w:sz w:val="24"/>
                <w:szCs w:val="24"/>
              </w:rPr>
              <w:t>。</w:t>
            </w:r>
          </w:p>
          <w:p>
            <w:pPr>
              <w:adjustRightInd w:val="0"/>
              <w:spacing w:line="460" w:lineRule="exact"/>
              <w:ind w:firstLine="413" w:firstLineChars="196"/>
              <w:jc w:val="center"/>
              <w:rPr>
                <w:rFonts w:hAnsi="宋体"/>
                <w:b/>
                <w:szCs w:val="21"/>
              </w:rPr>
            </w:pPr>
            <w:r>
              <w:rPr>
                <w:rFonts w:hAnsi="宋体"/>
                <w:b/>
                <w:szCs w:val="21"/>
              </w:rPr>
              <w:t>表</w:t>
            </w:r>
            <w:r>
              <w:rPr>
                <w:rFonts w:hint="eastAsia" w:hAnsi="宋体"/>
                <w:b/>
                <w:szCs w:val="21"/>
              </w:rPr>
              <w:t>68</w:t>
            </w:r>
            <w:r>
              <w:rPr>
                <w:rFonts w:hAnsi="宋体"/>
                <w:b/>
                <w:szCs w:val="21"/>
              </w:rPr>
              <w:t xml:space="preserve">  拟建项目环境保护监督计划</w:t>
            </w:r>
          </w:p>
          <w:tbl>
            <w:tblPr>
              <w:tblStyle w:val="35"/>
              <w:tblW w:w="8306"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0"/>
              <w:gridCol w:w="851"/>
              <w:gridCol w:w="3543"/>
              <w:gridCol w:w="30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850" w:type="dxa"/>
                  <w:vAlign w:val="center"/>
                </w:tcPr>
                <w:p>
                  <w:pPr>
                    <w:jc w:val="center"/>
                    <w:rPr>
                      <w:b/>
                      <w:szCs w:val="21"/>
                    </w:rPr>
                  </w:pPr>
                  <w:bookmarkStart w:id="56" w:name="_Toc325013035"/>
                  <w:r>
                    <w:rPr>
                      <w:rFonts w:hAnsi="宋体"/>
                      <w:b/>
                      <w:szCs w:val="21"/>
                    </w:rPr>
                    <w:t>阶段</w:t>
                  </w:r>
                  <w:bookmarkEnd w:id="56"/>
                </w:p>
              </w:tc>
              <w:tc>
                <w:tcPr>
                  <w:tcW w:w="851" w:type="dxa"/>
                  <w:vAlign w:val="center"/>
                </w:tcPr>
                <w:p>
                  <w:pPr>
                    <w:jc w:val="center"/>
                    <w:rPr>
                      <w:b/>
                      <w:szCs w:val="21"/>
                    </w:rPr>
                  </w:pPr>
                  <w:bookmarkStart w:id="57" w:name="_Toc325013036"/>
                  <w:r>
                    <w:rPr>
                      <w:rFonts w:hAnsi="宋体"/>
                      <w:b/>
                      <w:szCs w:val="21"/>
                    </w:rPr>
                    <w:t>机构</w:t>
                  </w:r>
                  <w:bookmarkEnd w:id="57"/>
                </w:p>
              </w:tc>
              <w:tc>
                <w:tcPr>
                  <w:tcW w:w="3543" w:type="dxa"/>
                  <w:vAlign w:val="center"/>
                </w:tcPr>
                <w:p>
                  <w:pPr>
                    <w:jc w:val="center"/>
                    <w:rPr>
                      <w:b/>
                      <w:szCs w:val="21"/>
                    </w:rPr>
                  </w:pPr>
                  <w:bookmarkStart w:id="58" w:name="_Toc325013037"/>
                  <w:r>
                    <w:rPr>
                      <w:rFonts w:hAnsi="宋体"/>
                      <w:b/>
                      <w:szCs w:val="21"/>
                    </w:rPr>
                    <w:t>监督内容</w:t>
                  </w:r>
                  <w:bookmarkEnd w:id="58"/>
                </w:p>
              </w:tc>
              <w:tc>
                <w:tcPr>
                  <w:tcW w:w="3062" w:type="dxa"/>
                  <w:vAlign w:val="center"/>
                </w:tcPr>
                <w:p>
                  <w:pPr>
                    <w:jc w:val="center"/>
                    <w:rPr>
                      <w:b/>
                      <w:szCs w:val="21"/>
                    </w:rPr>
                  </w:pPr>
                  <w:bookmarkStart w:id="59" w:name="_Toc325013038"/>
                  <w:r>
                    <w:rPr>
                      <w:rFonts w:hAnsi="宋体"/>
                      <w:b/>
                      <w:szCs w:val="21"/>
                    </w:rPr>
                    <w:t>监督目的</w:t>
                  </w:r>
                  <w:bookmarkEnd w:id="59"/>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0" w:type="dxa"/>
                  <w:vAlign w:val="center"/>
                </w:tcPr>
                <w:p>
                  <w:pPr>
                    <w:jc w:val="center"/>
                    <w:rPr>
                      <w:szCs w:val="21"/>
                    </w:rPr>
                  </w:pPr>
                  <w:bookmarkStart w:id="60" w:name="_Toc325013039"/>
                  <w:r>
                    <w:rPr>
                      <w:rFonts w:hAnsi="宋体"/>
                      <w:szCs w:val="21"/>
                    </w:rPr>
                    <w:t>可行性研究阶段</w:t>
                  </w:r>
                  <w:bookmarkEnd w:id="60"/>
                </w:p>
              </w:tc>
              <w:tc>
                <w:tcPr>
                  <w:tcW w:w="851" w:type="dxa"/>
                  <w:vAlign w:val="center"/>
                </w:tcPr>
                <w:p>
                  <w:pPr>
                    <w:jc w:val="center"/>
                    <w:rPr>
                      <w:szCs w:val="21"/>
                    </w:rPr>
                  </w:pPr>
                  <w:r>
                    <w:rPr>
                      <w:rFonts w:hint="eastAsia" w:hAnsi="宋体"/>
                      <w:bCs/>
                      <w:szCs w:val="21"/>
                    </w:rPr>
                    <w:t>宁</w:t>
                  </w:r>
                  <w:r>
                    <w:rPr>
                      <w:rFonts w:hAnsi="宋体"/>
                      <w:bCs/>
                      <w:szCs w:val="21"/>
                    </w:rPr>
                    <w:t>县环保局</w:t>
                  </w:r>
                </w:p>
              </w:tc>
              <w:tc>
                <w:tcPr>
                  <w:tcW w:w="3543" w:type="dxa"/>
                  <w:vAlign w:val="center"/>
                </w:tcPr>
                <w:p>
                  <w:pPr>
                    <w:jc w:val="center"/>
                    <w:rPr>
                      <w:szCs w:val="21"/>
                    </w:rPr>
                  </w:pPr>
                  <w:bookmarkStart w:id="61" w:name="_Toc325013041"/>
                  <w:r>
                    <w:rPr>
                      <w:rFonts w:hAnsi="宋体"/>
                      <w:szCs w:val="21"/>
                    </w:rPr>
                    <w:t>审查环境影响报告</w:t>
                  </w:r>
                  <w:bookmarkEnd w:id="61"/>
                  <w:r>
                    <w:rPr>
                      <w:rFonts w:hAnsi="宋体"/>
                      <w:szCs w:val="21"/>
                    </w:rPr>
                    <w:t>表</w:t>
                  </w:r>
                </w:p>
              </w:tc>
              <w:tc>
                <w:tcPr>
                  <w:tcW w:w="3062" w:type="dxa"/>
                  <w:vAlign w:val="center"/>
                </w:tcPr>
                <w:p>
                  <w:pPr>
                    <w:jc w:val="center"/>
                    <w:rPr>
                      <w:szCs w:val="21"/>
                    </w:rPr>
                  </w:pPr>
                  <w:bookmarkStart w:id="62" w:name="_Toc325013042"/>
                  <w:r>
                    <w:rPr>
                      <w:rFonts w:hint="eastAsia" w:hAnsi="宋体"/>
                      <w:szCs w:val="21"/>
                    </w:rPr>
                    <w:t>1.</w:t>
                  </w:r>
                  <w:r>
                    <w:rPr>
                      <w:rFonts w:hAnsi="宋体"/>
                      <w:szCs w:val="21"/>
                    </w:rPr>
                    <w:t>环评内容全面、重点突出；</w:t>
                  </w:r>
                  <w:bookmarkEnd w:id="62"/>
                </w:p>
                <w:p>
                  <w:pPr>
                    <w:jc w:val="center"/>
                    <w:rPr>
                      <w:szCs w:val="21"/>
                    </w:rPr>
                  </w:pPr>
                  <w:bookmarkStart w:id="63" w:name="_Toc325013043"/>
                  <w:r>
                    <w:rPr>
                      <w:rFonts w:hint="eastAsia" w:hAnsi="宋体"/>
                      <w:szCs w:val="21"/>
                    </w:rPr>
                    <w:t>2.</w:t>
                  </w:r>
                  <w:r>
                    <w:rPr>
                      <w:rFonts w:hAnsi="宋体"/>
                      <w:szCs w:val="21"/>
                    </w:rPr>
                    <w:t>拟建项目可能产生有重大的、潜在的问题都已得到反映；</w:t>
                  </w:r>
                  <w:bookmarkEnd w:id="63"/>
                </w:p>
                <w:p>
                  <w:pPr>
                    <w:jc w:val="center"/>
                    <w:rPr>
                      <w:szCs w:val="21"/>
                    </w:rPr>
                  </w:pPr>
                  <w:bookmarkStart w:id="64" w:name="_Toc325013044"/>
                  <w:r>
                    <w:rPr>
                      <w:rFonts w:hint="eastAsia" w:hAnsi="宋体"/>
                      <w:szCs w:val="21"/>
                    </w:rPr>
                    <w:t>3.</w:t>
                  </w:r>
                  <w:r>
                    <w:rPr>
                      <w:rFonts w:hAnsi="宋体"/>
                      <w:szCs w:val="21"/>
                    </w:rPr>
                    <w:t>减缓环境影响的措施有具体可行的实施计划。</w:t>
                  </w:r>
                  <w:bookmarkEnd w:id="64"/>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0" w:type="dxa"/>
                  <w:vAlign w:val="center"/>
                </w:tcPr>
                <w:p>
                  <w:pPr>
                    <w:jc w:val="center"/>
                    <w:rPr>
                      <w:szCs w:val="21"/>
                    </w:rPr>
                  </w:pPr>
                  <w:bookmarkStart w:id="65" w:name="_Toc325013045"/>
                  <w:r>
                    <w:rPr>
                      <w:rFonts w:hAnsi="宋体"/>
                      <w:szCs w:val="21"/>
                    </w:rPr>
                    <w:t>设计和施工阶段</w:t>
                  </w:r>
                  <w:bookmarkEnd w:id="65"/>
                </w:p>
              </w:tc>
              <w:tc>
                <w:tcPr>
                  <w:tcW w:w="851" w:type="dxa"/>
                  <w:vAlign w:val="center"/>
                </w:tcPr>
                <w:p>
                  <w:pPr>
                    <w:jc w:val="center"/>
                    <w:rPr>
                      <w:szCs w:val="21"/>
                    </w:rPr>
                  </w:pPr>
                  <w:r>
                    <w:rPr>
                      <w:rFonts w:hint="eastAsia" w:hAnsi="宋体"/>
                      <w:bCs/>
                      <w:szCs w:val="21"/>
                    </w:rPr>
                    <w:t>宁</w:t>
                  </w:r>
                  <w:r>
                    <w:rPr>
                      <w:rFonts w:hAnsi="宋体"/>
                      <w:bCs/>
                      <w:szCs w:val="21"/>
                    </w:rPr>
                    <w:t>县</w:t>
                  </w:r>
                  <w:r>
                    <w:rPr>
                      <w:rFonts w:hint="eastAsia" w:hAnsi="宋体"/>
                      <w:bCs/>
                      <w:szCs w:val="21"/>
                    </w:rPr>
                    <w:t>太昌镇人民政府</w:t>
                  </w:r>
                </w:p>
              </w:tc>
              <w:tc>
                <w:tcPr>
                  <w:tcW w:w="3543" w:type="dxa"/>
                  <w:vAlign w:val="center"/>
                </w:tcPr>
                <w:p>
                  <w:pPr>
                    <w:jc w:val="center"/>
                    <w:rPr>
                      <w:szCs w:val="21"/>
                    </w:rPr>
                  </w:pPr>
                  <w:bookmarkStart w:id="66" w:name="_Toc325013047"/>
                  <w:r>
                    <w:rPr>
                      <w:rFonts w:hint="eastAsia" w:hAnsi="宋体"/>
                      <w:szCs w:val="21"/>
                    </w:rPr>
                    <w:t>1.</w:t>
                  </w:r>
                  <w:r>
                    <w:rPr>
                      <w:rFonts w:hAnsi="宋体"/>
                      <w:szCs w:val="21"/>
                    </w:rPr>
                    <w:t>审核环保初步设计和环境管理计划；</w:t>
                  </w:r>
                  <w:bookmarkEnd w:id="66"/>
                </w:p>
                <w:p>
                  <w:pPr>
                    <w:jc w:val="center"/>
                    <w:rPr>
                      <w:szCs w:val="21"/>
                    </w:rPr>
                  </w:pPr>
                  <w:bookmarkStart w:id="67" w:name="_Toc325013048"/>
                  <w:r>
                    <w:rPr>
                      <w:rFonts w:hint="eastAsia" w:hAnsi="宋体"/>
                      <w:szCs w:val="21"/>
                    </w:rPr>
                    <w:t>2.</w:t>
                  </w:r>
                  <w:r>
                    <w:rPr>
                      <w:rFonts w:hAnsi="宋体"/>
                      <w:szCs w:val="21"/>
                    </w:rPr>
                    <w:t>检查环保投资是否落实；</w:t>
                  </w:r>
                  <w:bookmarkEnd w:id="67"/>
                </w:p>
                <w:p>
                  <w:pPr>
                    <w:jc w:val="center"/>
                    <w:rPr>
                      <w:szCs w:val="21"/>
                    </w:rPr>
                  </w:pPr>
                  <w:bookmarkStart w:id="68" w:name="_Toc325013050"/>
                  <w:r>
                    <w:rPr>
                      <w:rFonts w:hint="eastAsia" w:hAnsi="宋体"/>
                      <w:szCs w:val="21"/>
                    </w:rPr>
                    <w:t>3.</w:t>
                  </w:r>
                  <w:r>
                    <w:rPr>
                      <w:rFonts w:hAnsi="宋体"/>
                      <w:szCs w:val="21"/>
                    </w:rPr>
                    <w:t>检查三废污染控制措施，决定施工时间；</w:t>
                  </w:r>
                  <w:bookmarkEnd w:id="68"/>
                </w:p>
                <w:p>
                  <w:pPr>
                    <w:jc w:val="center"/>
                    <w:rPr>
                      <w:szCs w:val="21"/>
                    </w:rPr>
                  </w:pPr>
                  <w:bookmarkStart w:id="69" w:name="_Toc325013051"/>
                  <w:r>
                    <w:rPr>
                      <w:rFonts w:hint="eastAsia" w:hAnsi="宋体"/>
                      <w:szCs w:val="21"/>
                    </w:rPr>
                    <w:t>4.</w:t>
                  </w:r>
                  <w:r>
                    <w:rPr>
                      <w:rFonts w:hAnsi="宋体"/>
                      <w:szCs w:val="21"/>
                    </w:rPr>
                    <w:t>检查空气污染物的排放；</w:t>
                  </w:r>
                  <w:bookmarkEnd w:id="69"/>
                </w:p>
                <w:p>
                  <w:pPr>
                    <w:jc w:val="center"/>
                    <w:rPr>
                      <w:szCs w:val="21"/>
                    </w:rPr>
                  </w:pPr>
                  <w:bookmarkStart w:id="70" w:name="_Toc325013052"/>
                  <w:r>
                    <w:rPr>
                      <w:rFonts w:hint="eastAsia" w:hAnsi="宋体"/>
                      <w:szCs w:val="21"/>
                    </w:rPr>
                    <w:t>5.</w:t>
                  </w:r>
                  <w:r>
                    <w:rPr>
                      <w:rFonts w:hAnsi="宋体"/>
                      <w:szCs w:val="21"/>
                    </w:rPr>
                    <w:t>检查施工场所废水处理；</w:t>
                  </w:r>
                  <w:bookmarkEnd w:id="70"/>
                </w:p>
                <w:p>
                  <w:pPr>
                    <w:jc w:val="center"/>
                    <w:rPr>
                      <w:szCs w:val="21"/>
                    </w:rPr>
                  </w:pPr>
                  <w:bookmarkStart w:id="71" w:name="_Toc325013053"/>
                  <w:r>
                    <w:rPr>
                      <w:rFonts w:hint="eastAsia" w:hAnsi="宋体"/>
                      <w:szCs w:val="21"/>
                    </w:rPr>
                    <w:t>6.</w:t>
                  </w:r>
                  <w:r>
                    <w:rPr>
                      <w:rFonts w:hAnsi="宋体"/>
                      <w:szCs w:val="21"/>
                    </w:rPr>
                    <w:t>检查建筑垃圾的处置情况；</w:t>
                  </w:r>
                  <w:bookmarkEnd w:id="71"/>
                </w:p>
                <w:p>
                  <w:pPr>
                    <w:jc w:val="center"/>
                    <w:rPr>
                      <w:szCs w:val="21"/>
                    </w:rPr>
                  </w:pPr>
                  <w:bookmarkStart w:id="72" w:name="_Toc325013054"/>
                  <w:r>
                    <w:rPr>
                      <w:rFonts w:hint="eastAsia" w:hAnsi="宋体"/>
                      <w:szCs w:val="21"/>
                    </w:rPr>
                    <w:t>7.</w:t>
                  </w:r>
                  <w:r>
                    <w:rPr>
                      <w:rFonts w:hAnsi="宋体"/>
                      <w:szCs w:val="21"/>
                    </w:rPr>
                    <w:t>检查环保设施</w:t>
                  </w:r>
                  <w:r>
                    <w:rPr>
                      <w:szCs w:val="21"/>
                    </w:rPr>
                    <w:t>“</w:t>
                  </w:r>
                  <w:r>
                    <w:rPr>
                      <w:rFonts w:hAnsi="宋体"/>
                      <w:szCs w:val="21"/>
                    </w:rPr>
                    <w:t>三同时</w:t>
                  </w:r>
                  <w:r>
                    <w:rPr>
                      <w:szCs w:val="21"/>
                    </w:rPr>
                    <w:t>”</w:t>
                  </w:r>
                  <w:r>
                    <w:rPr>
                      <w:rFonts w:hAnsi="宋体"/>
                      <w:szCs w:val="21"/>
                    </w:rPr>
                    <w:t>确定最终完成期限；</w:t>
                  </w:r>
                  <w:bookmarkEnd w:id="72"/>
                </w:p>
                <w:p>
                  <w:pPr>
                    <w:jc w:val="center"/>
                    <w:rPr>
                      <w:szCs w:val="21"/>
                    </w:rPr>
                  </w:pPr>
                  <w:bookmarkStart w:id="73" w:name="_Toc325013055"/>
                  <w:r>
                    <w:rPr>
                      <w:rFonts w:hint="eastAsia" w:hAnsi="宋体"/>
                      <w:szCs w:val="21"/>
                    </w:rPr>
                    <w:t>8.</w:t>
                  </w:r>
                  <w:r>
                    <w:rPr>
                      <w:rFonts w:hAnsi="宋体"/>
                      <w:szCs w:val="21"/>
                    </w:rPr>
                    <w:t>检查环保设施是否达到要求；</w:t>
                  </w:r>
                  <w:bookmarkEnd w:id="73"/>
                </w:p>
              </w:tc>
              <w:tc>
                <w:tcPr>
                  <w:tcW w:w="3062" w:type="dxa"/>
                  <w:vAlign w:val="center"/>
                </w:tcPr>
                <w:p>
                  <w:pPr>
                    <w:jc w:val="center"/>
                    <w:rPr>
                      <w:szCs w:val="21"/>
                    </w:rPr>
                  </w:pPr>
                  <w:bookmarkStart w:id="74" w:name="_Toc325013057"/>
                  <w:r>
                    <w:rPr>
                      <w:rFonts w:hint="eastAsia" w:hAnsi="宋体"/>
                      <w:szCs w:val="21"/>
                    </w:rPr>
                    <w:t>1.</w:t>
                  </w:r>
                  <w:r>
                    <w:rPr>
                      <w:rFonts w:hAnsi="宋体"/>
                      <w:szCs w:val="21"/>
                    </w:rPr>
                    <w:t>严格执行</w:t>
                  </w:r>
                  <w:r>
                    <w:rPr>
                      <w:szCs w:val="21"/>
                    </w:rPr>
                    <w:t>“</w:t>
                  </w:r>
                  <w:r>
                    <w:rPr>
                      <w:rFonts w:hAnsi="宋体"/>
                      <w:szCs w:val="21"/>
                    </w:rPr>
                    <w:t>三同时</w:t>
                  </w:r>
                  <w:r>
                    <w:rPr>
                      <w:szCs w:val="21"/>
                    </w:rPr>
                    <w:t>”</w:t>
                  </w:r>
                  <w:r>
                    <w:rPr>
                      <w:rFonts w:hAnsi="宋体"/>
                      <w:szCs w:val="21"/>
                    </w:rPr>
                    <w:t>制度；</w:t>
                  </w:r>
                  <w:bookmarkEnd w:id="74"/>
                </w:p>
                <w:p>
                  <w:pPr>
                    <w:jc w:val="center"/>
                    <w:rPr>
                      <w:szCs w:val="21"/>
                    </w:rPr>
                  </w:pPr>
                  <w:bookmarkStart w:id="75" w:name="_Toc325013058"/>
                  <w:r>
                    <w:rPr>
                      <w:rFonts w:hint="eastAsia" w:hAnsi="宋体"/>
                      <w:szCs w:val="21"/>
                    </w:rPr>
                    <w:t>2.</w:t>
                  </w:r>
                  <w:r>
                    <w:rPr>
                      <w:rFonts w:hAnsi="宋体"/>
                      <w:szCs w:val="21"/>
                    </w:rPr>
                    <w:t>确保环保投资；</w:t>
                  </w:r>
                  <w:bookmarkEnd w:id="75"/>
                </w:p>
                <w:p>
                  <w:pPr>
                    <w:jc w:val="center"/>
                    <w:rPr>
                      <w:szCs w:val="21"/>
                    </w:rPr>
                  </w:pPr>
                  <w:bookmarkStart w:id="76" w:name="_Toc325013059"/>
                  <w:r>
                    <w:rPr>
                      <w:rFonts w:hint="eastAsia" w:hAnsi="宋体"/>
                      <w:szCs w:val="21"/>
                    </w:rPr>
                    <w:t>3.</w:t>
                  </w:r>
                  <w:r>
                    <w:rPr>
                      <w:rFonts w:hAnsi="宋体"/>
                      <w:szCs w:val="21"/>
                    </w:rPr>
                    <w:t>确保建设用地满足环保要求；</w:t>
                  </w:r>
                  <w:bookmarkEnd w:id="76"/>
                </w:p>
                <w:p>
                  <w:pPr>
                    <w:jc w:val="center"/>
                    <w:rPr>
                      <w:szCs w:val="21"/>
                    </w:rPr>
                  </w:pPr>
                  <w:bookmarkStart w:id="77" w:name="_Toc325013060"/>
                  <w:r>
                    <w:rPr>
                      <w:rFonts w:hint="eastAsia" w:hAnsi="宋体"/>
                      <w:szCs w:val="21"/>
                    </w:rPr>
                    <w:t>4.</w:t>
                  </w:r>
                  <w:r>
                    <w:rPr>
                      <w:rFonts w:hAnsi="宋体"/>
                      <w:szCs w:val="21"/>
                    </w:rPr>
                    <w:t>减少建设对周围环境的影响，执行相关环保法规和标准；</w:t>
                  </w:r>
                  <w:bookmarkEnd w:id="77"/>
                </w:p>
                <w:p>
                  <w:pPr>
                    <w:jc w:val="center"/>
                    <w:rPr>
                      <w:szCs w:val="21"/>
                    </w:rPr>
                  </w:pPr>
                  <w:bookmarkStart w:id="78" w:name="_Toc325013062"/>
                  <w:r>
                    <w:rPr>
                      <w:rFonts w:hint="eastAsia" w:hAnsi="宋体"/>
                      <w:szCs w:val="21"/>
                    </w:rPr>
                    <w:t>5.</w:t>
                  </w:r>
                  <w:r>
                    <w:rPr>
                      <w:rFonts w:hAnsi="宋体"/>
                      <w:szCs w:val="21"/>
                    </w:rPr>
                    <w:t>验收环保设施。</w:t>
                  </w:r>
                  <w:bookmarkEnd w:id="78"/>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628" w:hRule="atLeast"/>
                <w:jc w:val="center"/>
              </w:trPr>
              <w:tc>
                <w:tcPr>
                  <w:tcW w:w="850" w:type="dxa"/>
                  <w:vAlign w:val="center"/>
                </w:tcPr>
                <w:p>
                  <w:pPr>
                    <w:jc w:val="center"/>
                    <w:rPr>
                      <w:szCs w:val="21"/>
                    </w:rPr>
                  </w:pPr>
                  <w:bookmarkStart w:id="79" w:name="_Toc325013063"/>
                  <w:r>
                    <w:rPr>
                      <w:rFonts w:hAnsi="宋体"/>
                      <w:szCs w:val="21"/>
                    </w:rPr>
                    <w:t>运营阶段</w:t>
                  </w:r>
                  <w:bookmarkEnd w:id="79"/>
                </w:p>
              </w:tc>
              <w:tc>
                <w:tcPr>
                  <w:tcW w:w="851" w:type="dxa"/>
                  <w:vAlign w:val="center"/>
                </w:tcPr>
                <w:p>
                  <w:pPr>
                    <w:jc w:val="center"/>
                    <w:rPr>
                      <w:szCs w:val="21"/>
                    </w:rPr>
                  </w:pPr>
                  <w:r>
                    <w:rPr>
                      <w:rFonts w:hint="eastAsia" w:hAnsi="宋体"/>
                      <w:bCs/>
                      <w:szCs w:val="21"/>
                    </w:rPr>
                    <w:t>宁</w:t>
                  </w:r>
                  <w:r>
                    <w:rPr>
                      <w:rFonts w:hAnsi="宋体"/>
                      <w:bCs/>
                      <w:szCs w:val="21"/>
                    </w:rPr>
                    <w:t>县</w:t>
                  </w:r>
                  <w:r>
                    <w:rPr>
                      <w:rFonts w:hint="eastAsia" w:hAnsi="宋体"/>
                      <w:bCs/>
                      <w:szCs w:val="21"/>
                    </w:rPr>
                    <w:t>太昌镇人民政府</w:t>
                  </w:r>
                </w:p>
              </w:tc>
              <w:tc>
                <w:tcPr>
                  <w:tcW w:w="3543" w:type="dxa"/>
                  <w:vAlign w:val="center"/>
                </w:tcPr>
                <w:p>
                  <w:pPr>
                    <w:jc w:val="center"/>
                    <w:rPr>
                      <w:szCs w:val="21"/>
                    </w:rPr>
                  </w:pPr>
                  <w:bookmarkStart w:id="80" w:name="_Toc325013065"/>
                  <w:r>
                    <w:rPr>
                      <w:rFonts w:hint="eastAsia" w:hAnsi="宋体"/>
                      <w:szCs w:val="21"/>
                    </w:rPr>
                    <w:t>1.</w:t>
                  </w:r>
                  <w:r>
                    <w:rPr>
                      <w:rFonts w:hAnsi="宋体"/>
                      <w:szCs w:val="21"/>
                    </w:rPr>
                    <w:t>检查运营期环境管理计划的实施；</w:t>
                  </w:r>
                  <w:bookmarkEnd w:id="80"/>
                </w:p>
                <w:p>
                  <w:pPr>
                    <w:jc w:val="center"/>
                    <w:rPr>
                      <w:szCs w:val="21"/>
                    </w:rPr>
                  </w:pPr>
                  <w:bookmarkStart w:id="81" w:name="_Toc325013066"/>
                  <w:r>
                    <w:rPr>
                      <w:rFonts w:hint="eastAsia" w:hAnsi="宋体"/>
                      <w:szCs w:val="21"/>
                    </w:rPr>
                    <w:t>2.</w:t>
                  </w:r>
                  <w:r>
                    <w:rPr>
                      <w:rFonts w:hAnsi="宋体"/>
                      <w:szCs w:val="21"/>
                    </w:rPr>
                    <w:t>检查监测计划的实施；</w:t>
                  </w:r>
                  <w:bookmarkEnd w:id="81"/>
                </w:p>
                <w:p>
                  <w:pPr>
                    <w:jc w:val="center"/>
                    <w:rPr>
                      <w:szCs w:val="21"/>
                    </w:rPr>
                  </w:pPr>
                  <w:bookmarkStart w:id="82" w:name="_Toc325013067"/>
                  <w:r>
                    <w:rPr>
                      <w:rFonts w:hint="eastAsia" w:hAnsi="宋体"/>
                      <w:szCs w:val="21"/>
                    </w:rPr>
                    <w:t>3.</w:t>
                  </w:r>
                  <w:r>
                    <w:rPr>
                      <w:rFonts w:hAnsi="宋体"/>
                      <w:szCs w:val="21"/>
                    </w:rPr>
                    <w:t>检查有必要采取进一步的环保措施的敏感点；</w:t>
                  </w:r>
                  <w:bookmarkEnd w:id="82"/>
                </w:p>
                <w:p>
                  <w:pPr>
                    <w:jc w:val="center"/>
                    <w:rPr>
                      <w:szCs w:val="21"/>
                    </w:rPr>
                  </w:pPr>
                  <w:bookmarkStart w:id="83" w:name="_Toc325013068"/>
                  <w:r>
                    <w:rPr>
                      <w:rFonts w:hint="eastAsia" w:hAnsi="宋体"/>
                      <w:szCs w:val="21"/>
                    </w:rPr>
                    <w:t>4.</w:t>
                  </w:r>
                  <w:r>
                    <w:rPr>
                      <w:rFonts w:hAnsi="宋体"/>
                      <w:szCs w:val="21"/>
                    </w:rPr>
                    <w:t>检查环境敏感点的环境质量是否满足相应质量标准；</w:t>
                  </w:r>
                  <w:bookmarkEnd w:id="83"/>
                </w:p>
                <w:p>
                  <w:pPr>
                    <w:jc w:val="center"/>
                    <w:rPr>
                      <w:szCs w:val="21"/>
                    </w:rPr>
                  </w:pPr>
                  <w:bookmarkStart w:id="84" w:name="_Toc325013069"/>
                  <w:r>
                    <w:rPr>
                      <w:rFonts w:hint="eastAsia" w:hAnsi="宋体"/>
                      <w:szCs w:val="21"/>
                    </w:rPr>
                    <w:t>5.</w:t>
                  </w:r>
                  <w:r>
                    <w:rPr>
                      <w:rFonts w:hAnsi="宋体"/>
                      <w:szCs w:val="21"/>
                    </w:rPr>
                    <w:t>加强监督，防止突发事故，预先制定紧急事故应急预案，一旦发生事故能及时消除。</w:t>
                  </w:r>
                  <w:bookmarkEnd w:id="84"/>
                </w:p>
              </w:tc>
              <w:tc>
                <w:tcPr>
                  <w:tcW w:w="3062" w:type="dxa"/>
                  <w:vAlign w:val="center"/>
                </w:tcPr>
                <w:p>
                  <w:pPr>
                    <w:jc w:val="center"/>
                    <w:rPr>
                      <w:szCs w:val="21"/>
                    </w:rPr>
                  </w:pPr>
                  <w:bookmarkStart w:id="85" w:name="_Toc325013070"/>
                  <w:r>
                    <w:rPr>
                      <w:rFonts w:hint="eastAsia" w:hAnsi="宋体"/>
                      <w:szCs w:val="21"/>
                    </w:rPr>
                    <w:t>1.</w:t>
                  </w:r>
                  <w:r>
                    <w:rPr>
                      <w:rFonts w:hAnsi="宋体"/>
                      <w:szCs w:val="21"/>
                    </w:rPr>
                    <w:t>落实环境管理计划；</w:t>
                  </w:r>
                  <w:bookmarkEnd w:id="85"/>
                </w:p>
                <w:p>
                  <w:pPr>
                    <w:jc w:val="center"/>
                    <w:rPr>
                      <w:szCs w:val="21"/>
                    </w:rPr>
                  </w:pPr>
                  <w:bookmarkStart w:id="86" w:name="_Toc325013071"/>
                  <w:r>
                    <w:rPr>
                      <w:rFonts w:hint="eastAsia" w:hAnsi="宋体"/>
                      <w:szCs w:val="21"/>
                    </w:rPr>
                    <w:t>2.</w:t>
                  </w:r>
                  <w:r>
                    <w:rPr>
                      <w:rFonts w:hAnsi="宋体"/>
                      <w:szCs w:val="21"/>
                    </w:rPr>
                    <w:t>落实监测计划</w:t>
                  </w:r>
                  <w:bookmarkEnd w:id="86"/>
                  <w:bookmarkStart w:id="87" w:name="_Toc325013072"/>
                  <w:r>
                    <w:rPr>
                      <w:rFonts w:hAnsi="宋体"/>
                      <w:szCs w:val="21"/>
                    </w:rPr>
                    <w:t>。</w:t>
                  </w:r>
                  <w:bookmarkEnd w:id="87"/>
                </w:p>
              </w:tc>
            </w:tr>
          </w:tbl>
          <w:p>
            <w:pPr>
              <w:autoSpaceDE w:val="0"/>
              <w:autoSpaceDN w:val="0"/>
              <w:adjustRightInd w:val="0"/>
              <w:spacing w:line="360" w:lineRule="auto"/>
              <w:ind w:firstLine="480" w:firstLineChars="200"/>
              <w:rPr>
                <w:rFonts w:ascii="??" w:hAnsi="??" w:cs="??"/>
                <w:kern w:val="0"/>
                <w:sz w:val="24"/>
                <w:szCs w:val="24"/>
              </w:rPr>
            </w:pPr>
            <w:r>
              <w:rPr>
                <w:rFonts w:hint="eastAsia" w:ascii="??" w:hAnsi="??" w:cs="??"/>
                <w:kern w:val="0"/>
                <w:sz w:val="24"/>
                <w:szCs w:val="24"/>
              </w:rPr>
              <w:t>3、环境监测计划</w:t>
            </w:r>
          </w:p>
          <w:p>
            <w:pPr>
              <w:autoSpaceDE w:val="0"/>
              <w:autoSpaceDN w:val="0"/>
              <w:adjustRightInd w:val="0"/>
              <w:spacing w:line="360" w:lineRule="auto"/>
              <w:ind w:firstLine="480" w:firstLineChars="200"/>
              <w:rPr>
                <w:rFonts w:ascii="??" w:hAnsi="??" w:cs="??"/>
                <w:bCs/>
                <w:kern w:val="0"/>
                <w:sz w:val="24"/>
                <w:szCs w:val="24"/>
              </w:rPr>
            </w:pPr>
            <w:r>
              <w:rPr>
                <w:rFonts w:hint="eastAsia" w:ascii="??" w:hAnsi="??" w:cs="??"/>
                <w:bCs/>
                <w:kern w:val="0"/>
                <w:sz w:val="24"/>
                <w:szCs w:val="24"/>
              </w:rPr>
              <w:t>（1）</w:t>
            </w:r>
            <w:r>
              <w:rPr>
                <w:rFonts w:ascii="??" w:hAnsi="??" w:cs="??"/>
                <w:bCs/>
                <w:kern w:val="0"/>
                <w:sz w:val="24"/>
                <w:szCs w:val="24"/>
              </w:rPr>
              <w:t>监测目的</w:t>
            </w:r>
          </w:p>
          <w:p>
            <w:pPr>
              <w:autoSpaceDE w:val="0"/>
              <w:autoSpaceDN w:val="0"/>
              <w:adjustRightInd w:val="0"/>
              <w:spacing w:line="360" w:lineRule="auto"/>
              <w:ind w:firstLine="480" w:firstLineChars="200"/>
              <w:rPr>
                <w:rFonts w:ascii="??" w:hAnsi="??" w:cs="??"/>
                <w:kern w:val="0"/>
                <w:sz w:val="24"/>
                <w:szCs w:val="24"/>
              </w:rPr>
            </w:pPr>
            <w:r>
              <w:rPr>
                <w:rFonts w:ascii="??" w:hAnsi="??" w:cs="??"/>
                <w:kern w:val="0"/>
                <w:sz w:val="24"/>
                <w:szCs w:val="24"/>
              </w:rPr>
              <w:t>环境监测包括项目施工期和运营期两个阶段，其目的是为了全面、及时掌握拟建项目污染动态，了解工程建设对项目所在地区的环境质量变化程度、影响范围及运营期的环境质量动态，及时向主管部门反馈信息，为项目的环境管理提供科学依据。</w:t>
            </w:r>
          </w:p>
          <w:p>
            <w:pPr>
              <w:autoSpaceDE w:val="0"/>
              <w:autoSpaceDN w:val="0"/>
              <w:adjustRightInd w:val="0"/>
              <w:spacing w:line="360" w:lineRule="auto"/>
              <w:ind w:firstLine="480" w:firstLineChars="200"/>
              <w:rPr>
                <w:rFonts w:ascii="??" w:hAnsi="??" w:cs="??"/>
                <w:bCs/>
                <w:kern w:val="0"/>
                <w:sz w:val="24"/>
                <w:szCs w:val="24"/>
              </w:rPr>
            </w:pPr>
            <w:bookmarkStart w:id="88" w:name="_Toc325013075"/>
            <w:r>
              <w:rPr>
                <w:rFonts w:hint="eastAsia" w:ascii="??" w:hAnsi="??" w:cs="??"/>
                <w:bCs/>
                <w:kern w:val="0"/>
                <w:sz w:val="24"/>
                <w:szCs w:val="24"/>
              </w:rPr>
              <w:t>（2）</w:t>
            </w:r>
            <w:r>
              <w:rPr>
                <w:rFonts w:ascii="??" w:hAnsi="??" w:cs="??"/>
                <w:bCs/>
                <w:kern w:val="0"/>
                <w:sz w:val="24"/>
                <w:szCs w:val="24"/>
              </w:rPr>
              <w:t>监测机构</w:t>
            </w:r>
            <w:bookmarkEnd w:id="88"/>
          </w:p>
          <w:p>
            <w:pPr>
              <w:autoSpaceDE w:val="0"/>
              <w:autoSpaceDN w:val="0"/>
              <w:adjustRightInd w:val="0"/>
              <w:spacing w:line="360" w:lineRule="auto"/>
              <w:ind w:firstLine="480" w:firstLineChars="200"/>
              <w:rPr>
                <w:rFonts w:ascii="??" w:hAnsi="??" w:cs="??"/>
                <w:kern w:val="0"/>
                <w:sz w:val="24"/>
                <w:szCs w:val="24"/>
              </w:rPr>
            </w:pPr>
            <w:r>
              <w:rPr>
                <w:rFonts w:ascii="??" w:hAnsi="??" w:cs="??"/>
                <w:kern w:val="0"/>
                <w:sz w:val="24"/>
                <w:szCs w:val="24"/>
              </w:rPr>
              <w:t>运营期的环境监测</w:t>
            </w:r>
            <w:r>
              <w:rPr>
                <w:rFonts w:hint="eastAsia" w:ascii="??" w:hAnsi="??" w:cs="??"/>
                <w:kern w:val="0"/>
                <w:sz w:val="24"/>
                <w:szCs w:val="24"/>
              </w:rPr>
              <w:t>由宁县太昌镇政府委托有资质单位进行实施</w:t>
            </w:r>
            <w:r>
              <w:rPr>
                <w:rFonts w:ascii="??" w:hAnsi="??" w:cs="??"/>
                <w:kern w:val="0"/>
                <w:sz w:val="24"/>
                <w:szCs w:val="24"/>
              </w:rPr>
              <w:t>。</w:t>
            </w:r>
          </w:p>
          <w:p>
            <w:pPr>
              <w:autoSpaceDE w:val="0"/>
              <w:autoSpaceDN w:val="0"/>
              <w:adjustRightInd w:val="0"/>
              <w:spacing w:line="360" w:lineRule="auto"/>
              <w:ind w:firstLine="480" w:firstLineChars="200"/>
              <w:rPr>
                <w:rFonts w:ascii="??" w:hAnsi="??" w:cs="??"/>
                <w:bCs/>
                <w:kern w:val="0"/>
                <w:sz w:val="24"/>
                <w:szCs w:val="24"/>
              </w:rPr>
            </w:pPr>
            <w:bookmarkStart w:id="89" w:name="_Toc325013076"/>
            <w:r>
              <w:rPr>
                <w:rFonts w:hint="eastAsia" w:ascii="??" w:hAnsi="??" w:cs="??"/>
                <w:bCs/>
                <w:kern w:val="0"/>
                <w:sz w:val="24"/>
                <w:szCs w:val="24"/>
              </w:rPr>
              <w:t>（3）</w:t>
            </w:r>
            <w:r>
              <w:rPr>
                <w:rFonts w:ascii="??" w:hAnsi="??" w:cs="??"/>
                <w:bCs/>
                <w:kern w:val="0"/>
                <w:sz w:val="24"/>
                <w:szCs w:val="24"/>
              </w:rPr>
              <w:t>监测内容</w:t>
            </w:r>
            <w:bookmarkEnd w:id="89"/>
          </w:p>
          <w:p>
            <w:pPr>
              <w:autoSpaceDE w:val="0"/>
              <w:autoSpaceDN w:val="0"/>
              <w:adjustRightInd w:val="0"/>
              <w:spacing w:line="360" w:lineRule="auto"/>
              <w:ind w:firstLine="480" w:firstLineChars="200"/>
              <w:rPr>
                <w:rFonts w:ascii="??" w:hAnsi="??" w:cs="??"/>
                <w:kern w:val="0"/>
                <w:sz w:val="24"/>
                <w:szCs w:val="24"/>
              </w:rPr>
            </w:pPr>
            <w:r>
              <w:rPr>
                <w:rFonts w:hint="eastAsia" w:ascii="??" w:hAnsi="??" w:cs="??"/>
                <w:kern w:val="0"/>
                <w:sz w:val="24"/>
                <w:szCs w:val="24"/>
                <w:highlight w:val="lightGray"/>
              </w:rPr>
              <w:t>根据《排污企业自行监测技术指南总则》，本项目未列入重点排污单位清单。根据本项目的排污特点，由具有环境监测资质的监测单位根据环保要求进行检测。</w:t>
            </w:r>
            <w:r>
              <w:rPr>
                <w:rFonts w:ascii="??" w:hAnsi="??" w:cs="??"/>
                <w:kern w:val="0"/>
                <w:sz w:val="24"/>
                <w:szCs w:val="24"/>
              </w:rPr>
              <w:t>运营期环境监测计划</w:t>
            </w:r>
            <w:r>
              <w:rPr>
                <w:rFonts w:hint="eastAsia" w:ascii="??" w:hAnsi="??" w:cs="??"/>
                <w:kern w:val="0"/>
                <w:sz w:val="24"/>
                <w:szCs w:val="24"/>
              </w:rPr>
              <w:t>见表69。</w:t>
            </w:r>
          </w:p>
          <w:p>
            <w:pPr>
              <w:adjustRightInd w:val="0"/>
              <w:spacing w:line="460" w:lineRule="exact"/>
              <w:ind w:firstLine="413" w:firstLineChars="196"/>
              <w:jc w:val="center"/>
              <w:rPr>
                <w:rFonts w:hAnsi="宋体"/>
                <w:b/>
                <w:szCs w:val="21"/>
              </w:rPr>
            </w:pPr>
            <w:r>
              <w:rPr>
                <w:rFonts w:hAnsi="宋体"/>
                <w:b/>
                <w:szCs w:val="21"/>
              </w:rPr>
              <w:t>表</w:t>
            </w:r>
            <w:r>
              <w:rPr>
                <w:rFonts w:hint="eastAsia" w:hAnsi="宋体"/>
                <w:b/>
                <w:szCs w:val="21"/>
              </w:rPr>
              <w:t xml:space="preserve">69  </w:t>
            </w:r>
            <w:r>
              <w:rPr>
                <w:rFonts w:hAnsi="宋体"/>
                <w:b/>
                <w:szCs w:val="21"/>
              </w:rPr>
              <w:t xml:space="preserve"> 运营期环境监测内容一览表</w:t>
            </w:r>
          </w:p>
          <w:tbl>
            <w:tblPr>
              <w:tblStyle w:val="35"/>
              <w:tblW w:w="8306"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52"/>
              <w:gridCol w:w="586"/>
              <w:gridCol w:w="889"/>
              <w:gridCol w:w="1478"/>
              <w:gridCol w:w="982"/>
              <w:gridCol w:w="1043"/>
              <w:gridCol w:w="1934"/>
              <w:gridCol w:w="84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552" w:type="dxa"/>
                  <w:tcMar>
                    <w:left w:w="0" w:type="dxa"/>
                    <w:right w:w="0" w:type="dxa"/>
                  </w:tcMar>
                  <w:vAlign w:val="center"/>
                </w:tcPr>
                <w:p>
                  <w:pPr>
                    <w:jc w:val="center"/>
                    <w:rPr>
                      <w:b/>
                      <w:spacing w:val="-2"/>
                    </w:rPr>
                  </w:pPr>
                  <w:r>
                    <w:rPr>
                      <w:b/>
                      <w:spacing w:val="-2"/>
                    </w:rPr>
                    <w:t>阶段</w:t>
                  </w:r>
                </w:p>
              </w:tc>
              <w:tc>
                <w:tcPr>
                  <w:tcW w:w="586" w:type="dxa"/>
                  <w:vAlign w:val="center"/>
                </w:tcPr>
                <w:p>
                  <w:pPr>
                    <w:jc w:val="center"/>
                    <w:rPr>
                      <w:b/>
                      <w:spacing w:val="-2"/>
                    </w:rPr>
                  </w:pPr>
                  <w:r>
                    <w:rPr>
                      <w:b/>
                      <w:spacing w:val="-2"/>
                    </w:rPr>
                    <w:t>项目</w:t>
                  </w:r>
                </w:p>
              </w:tc>
              <w:tc>
                <w:tcPr>
                  <w:tcW w:w="889" w:type="dxa"/>
                  <w:vAlign w:val="center"/>
                </w:tcPr>
                <w:p>
                  <w:pPr>
                    <w:jc w:val="center"/>
                    <w:rPr>
                      <w:b/>
                      <w:spacing w:val="-2"/>
                    </w:rPr>
                  </w:pPr>
                  <w:r>
                    <w:rPr>
                      <w:b/>
                      <w:spacing w:val="-2"/>
                    </w:rPr>
                    <w:t>监测要素</w:t>
                  </w:r>
                </w:p>
              </w:tc>
              <w:tc>
                <w:tcPr>
                  <w:tcW w:w="1478" w:type="dxa"/>
                  <w:vAlign w:val="center"/>
                </w:tcPr>
                <w:p>
                  <w:pPr>
                    <w:jc w:val="center"/>
                    <w:rPr>
                      <w:b/>
                      <w:spacing w:val="-2"/>
                    </w:rPr>
                  </w:pPr>
                  <w:r>
                    <w:rPr>
                      <w:b/>
                      <w:spacing w:val="-2"/>
                    </w:rPr>
                    <w:t>监测地点</w:t>
                  </w:r>
                </w:p>
              </w:tc>
              <w:tc>
                <w:tcPr>
                  <w:tcW w:w="982" w:type="dxa"/>
                  <w:vAlign w:val="center"/>
                </w:tcPr>
                <w:p>
                  <w:pPr>
                    <w:jc w:val="center"/>
                    <w:rPr>
                      <w:b/>
                      <w:spacing w:val="-2"/>
                    </w:rPr>
                  </w:pPr>
                  <w:r>
                    <w:rPr>
                      <w:b/>
                      <w:spacing w:val="-2"/>
                    </w:rPr>
                    <w:t>监测项目</w:t>
                  </w:r>
                </w:p>
              </w:tc>
              <w:tc>
                <w:tcPr>
                  <w:tcW w:w="1043" w:type="dxa"/>
                  <w:vAlign w:val="center"/>
                </w:tcPr>
                <w:p>
                  <w:pPr>
                    <w:jc w:val="center"/>
                    <w:rPr>
                      <w:b/>
                      <w:spacing w:val="-2"/>
                    </w:rPr>
                  </w:pPr>
                  <w:r>
                    <w:rPr>
                      <w:b/>
                      <w:spacing w:val="-2"/>
                    </w:rPr>
                    <w:t>监测频率</w:t>
                  </w:r>
                </w:p>
              </w:tc>
              <w:tc>
                <w:tcPr>
                  <w:tcW w:w="1934" w:type="dxa"/>
                  <w:vAlign w:val="center"/>
                </w:tcPr>
                <w:p>
                  <w:pPr>
                    <w:jc w:val="center"/>
                    <w:rPr>
                      <w:b/>
                      <w:spacing w:val="-2"/>
                    </w:rPr>
                  </w:pPr>
                  <w:r>
                    <w:rPr>
                      <w:rFonts w:hint="eastAsia"/>
                      <w:b/>
                      <w:spacing w:val="-2"/>
                    </w:rPr>
                    <w:t>控制指标</w:t>
                  </w:r>
                </w:p>
              </w:tc>
              <w:tc>
                <w:tcPr>
                  <w:tcW w:w="842" w:type="dxa"/>
                  <w:vAlign w:val="center"/>
                </w:tcPr>
                <w:p>
                  <w:pPr>
                    <w:jc w:val="center"/>
                    <w:rPr>
                      <w:b/>
                      <w:spacing w:val="-2"/>
                    </w:rPr>
                  </w:pPr>
                  <w:r>
                    <w:rPr>
                      <w:rFonts w:hint="eastAsia"/>
                      <w:b/>
                      <w:spacing w:val="-2"/>
                    </w:rPr>
                    <w:t>监测</w:t>
                  </w:r>
                  <w:r>
                    <w:rPr>
                      <w:b/>
                      <w:spacing w:val="-2"/>
                    </w:rPr>
                    <w:t>机构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534" w:hRule="atLeast"/>
                <w:jc w:val="center"/>
              </w:trPr>
              <w:tc>
                <w:tcPr>
                  <w:tcW w:w="552" w:type="dxa"/>
                  <w:vMerge w:val="restart"/>
                  <w:tcBorders>
                    <w:top w:val="single" w:color="auto" w:sz="4" w:space="0"/>
                  </w:tcBorders>
                  <w:vAlign w:val="center"/>
                </w:tcPr>
                <w:p>
                  <w:pPr>
                    <w:jc w:val="center"/>
                    <w:rPr>
                      <w:spacing w:val="-2"/>
                    </w:rPr>
                  </w:pPr>
                  <w:r>
                    <w:rPr>
                      <w:spacing w:val="-2"/>
                    </w:rPr>
                    <w:t>营运期</w:t>
                  </w:r>
                </w:p>
              </w:tc>
              <w:tc>
                <w:tcPr>
                  <w:tcW w:w="586" w:type="dxa"/>
                  <w:vMerge w:val="restart"/>
                  <w:tcBorders>
                    <w:top w:val="single" w:color="auto" w:sz="4" w:space="0"/>
                  </w:tcBorders>
                  <w:vAlign w:val="center"/>
                </w:tcPr>
                <w:p>
                  <w:pPr>
                    <w:jc w:val="center"/>
                    <w:rPr>
                      <w:spacing w:val="-2"/>
                    </w:rPr>
                  </w:pPr>
                  <w:r>
                    <w:rPr>
                      <w:spacing w:val="-2"/>
                    </w:rPr>
                    <w:t>污染源监测</w:t>
                  </w:r>
                </w:p>
              </w:tc>
              <w:tc>
                <w:tcPr>
                  <w:tcW w:w="889" w:type="dxa"/>
                  <w:vAlign w:val="center"/>
                </w:tcPr>
                <w:p>
                  <w:pPr>
                    <w:jc w:val="center"/>
                    <w:rPr>
                      <w:spacing w:val="-2"/>
                    </w:rPr>
                  </w:pPr>
                  <w:r>
                    <w:rPr>
                      <w:spacing w:val="-2"/>
                    </w:rPr>
                    <w:t>大气</w:t>
                  </w:r>
                </w:p>
              </w:tc>
              <w:tc>
                <w:tcPr>
                  <w:tcW w:w="1478" w:type="dxa"/>
                  <w:vAlign w:val="center"/>
                </w:tcPr>
                <w:p>
                  <w:pPr>
                    <w:jc w:val="center"/>
                    <w:rPr>
                      <w:spacing w:val="-2"/>
                    </w:rPr>
                  </w:pPr>
                  <w:r>
                    <w:rPr>
                      <w:rFonts w:hint="eastAsia"/>
                      <w:spacing w:val="-2"/>
                    </w:rPr>
                    <w:t>污水站周界外浓度最高点</w:t>
                  </w:r>
                </w:p>
              </w:tc>
              <w:tc>
                <w:tcPr>
                  <w:tcW w:w="982" w:type="dxa"/>
                  <w:vAlign w:val="center"/>
                </w:tcPr>
                <w:p>
                  <w:pPr>
                    <w:jc w:val="center"/>
                    <w:rPr>
                      <w:spacing w:val="-2"/>
                    </w:rPr>
                  </w:pPr>
                  <w:r>
                    <w:rPr>
                      <w:rFonts w:hint="eastAsia"/>
                      <w:spacing w:val="-2"/>
                    </w:rPr>
                    <w:t>H</w:t>
                  </w:r>
                  <w:r>
                    <w:rPr>
                      <w:rFonts w:hint="eastAsia"/>
                      <w:spacing w:val="-2"/>
                      <w:vertAlign w:val="subscript"/>
                    </w:rPr>
                    <w:t>2</w:t>
                  </w:r>
                  <w:r>
                    <w:rPr>
                      <w:rFonts w:hint="eastAsia"/>
                      <w:spacing w:val="-2"/>
                    </w:rPr>
                    <w:t>S、NH</w:t>
                  </w:r>
                  <w:r>
                    <w:rPr>
                      <w:rFonts w:hint="eastAsia"/>
                      <w:spacing w:val="-2"/>
                      <w:vertAlign w:val="subscript"/>
                    </w:rPr>
                    <w:t>3</w:t>
                  </w:r>
                  <w:r>
                    <w:rPr>
                      <w:rFonts w:hint="eastAsia"/>
                      <w:spacing w:val="-2"/>
                    </w:rPr>
                    <w:t>、臭气</w:t>
                  </w:r>
                </w:p>
              </w:tc>
              <w:tc>
                <w:tcPr>
                  <w:tcW w:w="1043" w:type="dxa"/>
                  <w:vAlign w:val="center"/>
                </w:tcPr>
                <w:p>
                  <w:pPr>
                    <w:jc w:val="center"/>
                    <w:rPr>
                      <w:spacing w:val="-2"/>
                    </w:rPr>
                  </w:pPr>
                  <w:r>
                    <w:rPr>
                      <w:rFonts w:hint="eastAsia"/>
                      <w:spacing w:val="-2"/>
                      <w:highlight w:val="lightGray"/>
                    </w:rPr>
                    <w:t>每年</w:t>
                  </w:r>
                  <w:r>
                    <w:rPr>
                      <w:spacing w:val="-2"/>
                      <w:highlight w:val="lightGray"/>
                    </w:rPr>
                    <w:t>监测1次</w:t>
                  </w:r>
                </w:p>
              </w:tc>
              <w:tc>
                <w:tcPr>
                  <w:tcW w:w="1934" w:type="dxa"/>
                  <w:vAlign w:val="center"/>
                </w:tcPr>
                <w:p>
                  <w:pPr>
                    <w:jc w:val="center"/>
                    <w:rPr>
                      <w:spacing w:val="-2"/>
                    </w:rPr>
                  </w:pPr>
                  <w:r>
                    <w:rPr>
                      <w:bCs/>
                      <w:spacing w:val="-6"/>
                      <w:w w:val="98"/>
                    </w:rPr>
                    <w:t>《城镇污水处理厂污染物排放标准》（GB18918-2002）中表4</w:t>
                  </w:r>
                  <w:r>
                    <w:rPr>
                      <w:spacing w:val="-6"/>
                      <w:w w:val="98"/>
                    </w:rPr>
                    <w:t>标准</w:t>
                  </w:r>
                </w:p>
              </w:tc>
              <w:tc>
                <w:tcPr>
                  <w:tcW w:w="842" w:type="dxa"/>
                  <w:vMerge w:val="restart"/>
                  <w:tcBorders>
                    <w:top w:val="single" w:color="auto" w:sz="4" w:space="0"/>
                  </w:tcBorders>
                  <w:vAlign w:val="center"/>
                </w:tcPr>
                <w:p>
                  <w:pPr>
                    <w:jc w:val="center"/>
                    <w:rPr>
                      <w:spacing w:val="-2"/>
                    </w:rPr>
                  </w:pPr>
                  <w:r>
                    <w:rPr>
                      <w:rFonts w:hint="eastAsia"/>
                      <w:spacing w:val="-2"/>
                    </w:rPr>
                    <w:t>委托有资质单位监测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552" w:type="dxa"/>
                  <w:vMerge w:val="continue"/>
                  <w:vAlign w:val="center"/>
                </w:tcPr>
                <w:p>
                  <w:pPr>
                    <w:jc w:val="center"/>
                    <w:rPr>
                      <w:spacing w:val="-2"/>
                    </w:rPr>
                  </w:pPr>
                </w:p>
              </w:tc>
              <w:tc>
                <w:tcPr>
                  <w:tcW w:w="586" w:type="dxa"/>
                  <w:vMerge w:val="continue"/>
                  <w:vAlign w:val="center"/>
                </w:tcPr>
                <w:p>
                  <w:pPr>
                    <w:jc w:val="center"/>
                    <w:rPr>
                      <w:spacing w:val="-2"/>
                    </w:rPr>
                  </w:pPr>
                </w:p>
              </w:tc>
              <w:tc>
                <w:tcPr>
                  <w:tcW w:w="889" w:type="dxa"/>
                  <w:vAlign w:val="center"/>
                </w:tcPr>
                <w:p>
                  <w:pPr>
                    <w:jc w:val="center"/>
                    <w:rPr>
                      <w:spacing w:val="-2"/>
                    </w:rPr>
                  </w:pPr>
                  <w:r>
                    <w:rPr>
                      <w:rFonts w:hint="eastAsia"/>
                      <w:spacing w:val="-2"/>
                    </w:rPr>
                    <w:t>噪声</w:t>
                  </w:r>
                </w:p>
              </w:tc>
              <w:tc>
                <w:tcPr>
                  <w:tcW w:w="1478" w:type="dxa"/>
                  <w:vAlign w:val="center"/>
                </w:tcPr>
                <w:p>
                  <w:pPr>
                    <w:jc w:val="center"/>
                    <w:rPr>
                      <w:spacing w:val="-2"/>
                    </w:rPr>
                  </w:pPr>
                  <w:r>
                    <w:rPr>
                      <w:rFonts w:hint="eastAsia"/>
                      <w:spacing w:val="-2"/>
                    </w:rPr>
                    <w:t>污水站</w:t>
                  </w:r>
                </w:p>
              </w:tc>
              <w:tc>
                <w:tcPr>
                  <w:tcW w:w="982" w:type="dxa"/>
                  <w:vAlign w:val="center"/>
                </w:tcPr>
                <w:p>
                  <w:pPr>
                    <w:jc w:val="center"/>
                    <w:rPr>
                      <w:spacing w:val="-2"/>
                    </w:rPr>
                  </w:pPr>
                  <w:r>
                    <w:rPr>
                      <w:spacing w:val="-2"/>
                    </w:rPr>
                    <w:t>Leq(A)</w:t>
                  </w:r>
                </w:p>
              </w:tc>
              <w:tc>
                <w:tcPr>
                  <w:tcW w:w="1043" w:type="dxa"/>
                  <w:vAlign w:val="center"/>
                </w:tcPr>
                <w:p>
                  <w:pPr>
                    <w:jc w:val="center"/>
                    <w:rPr>
                      <w:spacing w:val="-2"/>
                    </w:rPr>
                  </w:pPr>
                  <w:r>
                    <w:rPr>
                      <w:rFonts w:hint="eastAsia"/>
                      <w:spacing w:val="-2"/>
                      <w:highlight w:val="lightGray"/>
                    </w:rPr>
                    <w:t>每年监测1次</w:t>
                  </w:r>
                </w:p>
              </w:tc>
              <w:tc>
                <w:tcPr>
                  <w:tcW w:w="1934" w:type="dxa"/>
                  <w:vAlign w:val="center"/>
                </w:tcPr>
                <w:p>
                  <w:pPr>
                    <w:jc w:val="center"/>
                    <w:rPr>
                      <w:spacing w:val="-2"/>
                    </w:rPr>
                  </w:pPr>
                  <w:r>
                    <w:rPr>
                      <w:spacing w:val="-6"/>
                      <w:w w:val="98"/>
                    </w:rPr>
                    <w:t>《工业企业厂界环境噪声排放标准》（GB12348-2008）2类</w:t>
                  </w:r>
                </w:p>
              </w:tc>
              <w:tc>
                <w:tcPr>
                  <w:tcW w:w="842" w:type="dxa"/>
                  <w:vMerge w:val="continue"/>
                  <w:vAlign w:val="center"/>
                </w:tcPr>
                <w:p>
                  <w:pPr>
                    <w:spacing w:line="240" w:lineRule="exact"/>
                    <w:jc w:val="center"/>
                    <w:rPr>
                      <w:snapToGrid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552" w:type="dxa"/>
                  <w:vMerge w:val="continue"/>
                  <w:vAlign w:val="center"/>
                </w:tcPr>
                <w:p>
                  <w:pPr>
                    <w:jc w:val="center"/>
                    <w:rPr>
                      <w:spacing w:val="-2"/>
                    </w:rPr>
                  </w:pPr>
                </w:p>
              </w:tc>
              <w:tc>
                <w:tcPr>
                  <w:tcW w:w="586" w:type="dxa"/>
                  <w:vMerge w:val="continue"/>
                  <w:vAlign w:val="center"/>
                </w:tcPr>
                <w:p>
                  <w:pPr>
                    <w:jc w:val="center"/>
                    <w:rPr>
                      <w:spacing w:val="-2"/>
                    </w:rPr>
                  </w:pPr>
                </w:p>
              </w:tc>
              <w:tc>
                <w:tcPr>
                  <w:tcW w:w="889" w:type="dxa"/>
                  <w:vAlign w:val="center"/>
                </w:tcPr>
                <w:p>
                  <w:pPr>
                    <w:jc w:val="center"/>
                    <w:rPr>
                      <w:spacing w:val="-2"/>
                    </w:rPr>
                  </w:pPr>
                  <w:r>
                    <w:rPr>
                      <w:rFonts w:hint="eastAsia"/>
                      <w:spacing w:val="-2"/>
                    </w:rPr>
                    <w:t>废水</w:t>
                  </w:r>
                </w:p>
              </w:tc>
              <w:tc>
                <w:tcPr>
                  <w:tcW w:w="1478" w:type="dxa"/>
                  <w:vAlign w:val="center"/>
                </w:tcPr>
                <w:p>
                  <w:pPr>
                    <w:jc w:val="center"/>
                    <w:rPr>
                      <w:spacing w:val="-2"/>
                    </w:rPr>
                  </w:pPr>
                  <w:r>
                    <w:rPr>
                      <w:rFonts w:hint="eastAsia"/>
                      <w:spacing w:val="-2"/>
                    </w:rPr>
                    <w:t>污水处理设施排放口</w:t>
                  </w:r>
                </w:p>
              </w:tc>
              <w:tc>
                <w:tcPr>
                  <w:tcW w:w="982" w:type="dxa"/>
                  <w:vAlign w:val="center"/>
                </w:tcPr>
                <w:p>
                  <w:pPr>
                    <w:jc w:val="center"/>
                    <w:rPr>
                      <w:spacing w:val="-2"/>
                    </w:rPr>
                  </w:pPr>
                  <w:r>
                    <w:rPr>
                      <w:rFonts w:hint="eastAsia"/>
                      <w:spacing w:val="-2"/>
                    </w:rPr>
                    <w:t>BOD</w:t>
                  </w:r>
                  <w:r>
                    <w:rPr>
                      <w:rFonts w:hint="eastAsia"/>
                      <w:spacing w:val="-2"/>
                      <w:vertAlign w:val="subscript"/>
                    </w:rPr>
                    <w:t>5</w:t>
                  </w:r>
                  <w:r>
                    <w:rPr>
                      <w:rFonts w:hint="eastAsia"/>
                      <w:spacing w:val="-2"/>
                    </w:rPr>
                    <w:t>、SS、TN、TP、COD、NH</w:t>
                  </w:r>
                  <w:r>
                    <w:rPr>
                      <w:rFonts w:hint="eastAsia"/>
                      <w:spacing w:val="-2"/>
                      <w:vertAlign w:val="subscript"/>
                    </w:rPr>
                    <w:t>3</w:t>
                  </w:r>
                  <w:r>
                    <w:rPr>
                      <w:rFonts w:hint="eastAsia"/>
                      <w:spacing w:val="-2"/>
                    </w:rPr>
                    <w:t>-N</w:t>
                  </w:r>
                </w:p>
              </w:tc>
              <w:tc>
                <w:tcPr>
                  <w:tcW w:w="1043" w:type="dxa"/>
                  <w:vAlign w:val="center"/>
                </w:tcPr>
                <w:p>
                  <w:pPr>
                    <w:jc w:val="center"/>
                    <w:rPr>
                      <w:spacing w:val="-2"/>
                    </w:rPr>
                  </w:pPr>
                  <w:r>
                    <w:rPr>
                      <w:rFonts w:hint="eastAsia"/>
                      <w:spacing w:val="-2"/>
                    </w:rPr>
                    <w:t>每季度监测1次</w:t>
                  </w:r>
                </w:p>
              </w:tc>
              <w:tc>
                <w:tcPr>
                  <w:tcW w:w="1934" w:type="dxa"/>
                  <w:vAlign w:val="center"/>
                </w:tcPr>
                <w:p>
                  <w:pPr>
                    <w:jc w:val="center"/>
                    <w:rPr>
                      <w:spacing w:val="-2"/>
                    </w:rPr>
                  </w:pPr>
                  <w:r>
                    <w:rPr>
                      <w:bCs/>
                      <w:spacing w:val="-2"/>
                    </w:rPr>
                    <w:t>《城镇污水处理厂污染物排放标准》（GB18918-2002）中一级</w:t>
                  </w:r>
                  <w:r>
                    <w:rPr>
                      <w:rFonts w:hint="eastAsia"/>
                      <w:bCs/>
                      <w:spacing w:val="-2"/>
                    </w:rPr>
                    <w:t>A</w:t>
                  </w:r>
                  <w:r>
                    <w:rPr>
                      <w:bCs/>
                      <w:spacing w:val="-2"/>
                    </w:rPr>
                    <w:t>排放</w:t>
                  </w:r>
                  <w:r>
                    <w:rPr>
                      <w:rFonts w:hint="eastAsia"/>
                      <w:bCs/>
                      <w:spacing w:val="-2"/>
                    </w:rPr>
                    <w:t>标准</w:t>
                  </w:r>
                </w:p>
              </w:tc>
              <w:tc>
                <w:tcPr>
                  <w:tcW w:w="842" w:type="dxa"/>
                  <w:vMerge w:val="continue"/>
                  <w:vAlign w:val="center"/>
                </w:tcPr>
                <w:p>
                  <w:pPr>
                    <w:spacing w:line="240" w:lineRule="exact"/>
                    <w:jc w:val="center"/>
                    <w:rPr>
                      <w:snapToGrid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552" w:type="dxa"/>
                  <w:vMerge w:val="continue"/>
                  <w:vAlign w:val="center"/>
                </w:tcPr>
                <w:p>
                  <w:pPr>
                    <w:jc w:val="center"/>
                    <w:rPr>
                      <w:spacing w:val="-2"/>
                    </w:rPr>
                  </w:pPr>
                </w:p>
              </w:tc>
              <w:tc>
                <w:tcPr>
                  <w:tcW w:w="586" w:type="dxa"/>
                  <w:vAlign w:val="center"/>
                </w:tcPr>
                <w:p>
                  <w:pPr>
                    <w:jc w:val="center"/>
                    <w:rPr>
                      <w:spacing w:val="-2"/>
                    </w:rPr>
                  </w:pPr>
                  <w:r>
                    <w:rPr>
                      <w:rFonts w:hint="eastAsia"/>
                      <w:spacing w:val="-2"/>
                    </w:rPr>
                    <w:t>环境质量监测</w:t>
                  </w:r>
                </w:p>
              </w:tc>
              <w:tc>
                <w:tcPr>
                  <w:tcW w:w="889" w:type="dxa"/>
                  <w:vAlign w:val="center"/>
                </w:tcPr>
                <w:p>
                  <w:pPr>
                    <w:jc w:val="center"/>
                    <w:rPr>
                      <w:spacing w:val="-2"/>
                    </w:rPr>
                  </w:pPr>
                  <w:r>
                    <w:rPr>
                      <w:rFonts w:hint="eastAsia"/>
                      <w:spacing w:val="-2"/>
                    </w:rPr>
                    <w:t>地下水</w:t>
                  </w:r>
                </w:p>
              </w:tc>
              <w:tc>
                <w:tcPr>
                  <w:tcW w:w="1478" w:type="dxa"/>
                  <w:vAlign w:val="center"/>
                </w:tcPr>
                <w:p>
                  <w:pPr>
                    <w:jc w:val="center"/>
                    <w:rPr>
                      <w:spacing w:val="-2"/>
                    </w:rPr>
                  </w:pPr>
                  <w:r>
                    <w:rPr>
                      <w:rFonts w:hint="eastAsia"/>
                      <w:spacing w:val="-2"/>
                    </w:rPr>
                    <w:t>污水站西南侧（下游）一个</w:t>
                  </w:r>
                </w:p>
              </w:tc>
              <w:tc>
                <w:tcPr>
                  <w:tcW w:w="982" w:type="dxa"/>
                  <w:vAlign w:val="center"/>
                </w:tcPr>
                <w:p>
                  <w:pPr>
                    <w:jc w:val="center"/>
                    <w:rPr>
                      <w:spacing w:val="-2"/>
                    </w:rPr>
                  </w:pPr>
                  <w:r>
                    <w:rPr>
                      <w:rFonts w:hint="eastAsia"/>
                      <w:spacing w:val="-2"/>
                    </w:rPr>
                    <w:t>BOD</w:t>
                  </w:r>
                  <w:r>
                    <w:rPr>
                      <w:rFonts w:hint="eastAsia"/>
                      <w:spacing w:val="-2"/>
                      <w:vertAlign w:val="subscript"/>
                    </w:rPr>
                    <w:t>5</w:t>
                  </w:r>
                  <w:r>
                    <w:rPr>
                      <w:rFonts w:hint="eastAsia"/>
                      <w:spacing w:val="-2"/>
                    </w:rPr>
                    <w:t>、SS、TN、TP、 COD、NH</w:t>
                  </w:r>
                  <w:r>
                    <w:rPr>
                      <w:rFonts w:hint="eastAsia"/>
                      <w:spacing w:val="-2"/>
                      <w:vertAlign w:val="subscript"/>
                    </w:rPr>
                    <w:t>3</w:t>
                  </w:r>
                  <w:r>
                    <w:rPr>
                      <w:rFonts w:hint="eastAsia"/>
                      <w:spacing w:val="-2"/>
                    </w:rPr>
                    <w:t>-N</w:t>
                  </w:r>
                </w:p>
              </w:tc>
              <w:tc>
                <w:tcPr>
                  <w:tcW w:w="1043" w:type="dxa"/>
                  <w:vAlign w:val="center"/>
                </w:tcPr>
                <w:p>
                  <w:pPr>
                    <w:jc w:val="center"/>
                    <w:rPr>
                      <w:spacing w:val="-2"/>
                    </w:rPr>
                  </w:pPr>
                  <w:r>
                    <w:rPr>
                      <w:rFonts w:hint="eastAsia"/>
                      <w:spacing w:val="-2"/>
                    </w:rPr>
                    <w:t>每年按丰、平、枯水期进行，每期监测1次</w:t>
                  </w:r>
                </w:p>
              </w:tc>
              <w:tc>
                <w:tcPr>
                  <w:tcW w:w="1934" w:type="dxa"/>
                  <w:vAlign w:val="center"/>
                </w:tcPr>
                <w:p>
                  <w:pPr>
                    <w:jc w:val="center"/>
                    <w:rPr>
                      <w:bCs/>
                      <w:spacing w:val="-2"/>
                    </w:rPr>
                  </w:pPr>
                  <w:r>
                    <w:rPr>
                      <w:rFonts w:hint="eastAsia"/>
                      <w:bCs/>
                      <w:spacing w:val="-2"/>
                    </w:rPr>
                    <w:t>《地下水质量标准》（</w:t>
                  </w:r>
                  <w:r>
                    <w:rPr>
                      <w:bCs/>
                      <w:spacing w:val="-2"/>
                    </w:rPr>
                    <w:t>GB/T14848-</w:t>
                  </w:r>
                  <w:r>
                    <w:rPr>
                      <w:rFonts w:hint="eastAsia"/>
                      <w:bCs/>
                      <w:spacing w:val="-2"/>
                    </w:rPr>
                    <w:t>2017）</w:t>
                  </w:r>
                </w:p>
              </w:tc>
              <w:tc>
                <w:tcPr>
                  <w:tcW w:w="842" w:type="dxa"/>
                  <w:vMerge w:val="continue"/>
                  <w:vAlign w:val="center"/>
                </w:tcPr>
                <w:p>
                  <w:pPr>
                    <w:spacing w:line="240" w:lineRule="exact"/>
                    <w:jc w:val="center"/>
                    <w:rPr>
                      <w:snapToGrid w:val="0"/>
                      <w:szCs w:val="21"/>
                    </w:rPr>
                  </w:pPr>
                </w:p>
              </w:tc>
            </w:tr>
          </w:tbl>
          <w:p>
            <w:pPr>
              <w:autoSpaceDE w:val="0"/>
              <w:autoSpaceDN w:val="0"/>
              <w:adjustRightInd w:val="0"/>
              <w:spacing w:line="360" w:lineRule="auto"/>
              <w:ind w:firstLine="480" w:firstLineChars="200"/>
              <w:rPr>
                <w:rFonts w:ascii="??" w:hAnsi="??" w:cs="??"/>
                <w:kern w:val="0"/>
                <w:sz w:val="24"/>
                <w:szCs w:val="24"/>
              </w:rPr>
            </w:pPr>
            <w:r>
              <w:rPr>
                <w:rFonts w:hint="eastAsia" w:ascii="??" w:hAnsi="??" w:cs="??"/>
                <w:kern w:val="0"/>
                <w:sz w:val="24"/>
                <w:szCs w:val="24"/>
              </w:rPr>
              <w:t>（4）监测数据管理</w:t>
            </w:r>
          </w:p>
          <w:p>
            <w:pPr>
              <w:autoSpaceDE w:val="0"/>
              <w:autoSpaceDN w:val="0"/>
              <w:adjustRightInd w:val="0"/>
              <w:spacing w:line="360" w:lineRule="auto"/>
              <w:ind w:firstLine="480" w:firstLineChars="200"/>
              <w:rPr>
                <w:rFonts w:ascii="??" w:hAnsi="??" w:cs="??"/>
                <w:kern w:val="0"/>
                <w:sz w:val="24"/>
                <w:szCs w:val="24"/>
              </w:rPr>
            </w:pPr>
            <w:r>
              <w:rPr>
                <w:rFonts w:ascii="??" w:hAnsi="??" w:cs="??"/>
                <w:kern w:val="0"/>
                <w:sz w:val="24"/>
                <w:szCs w:val="24"/>
              </w:rPr>
              <w:t>监测结果应该按照项目有关规定建立档案，并抄送环保主管部门。根据知情权的要求，常规监测部分进行公示，特别是向拟建项目所在区域的居民公示。此外，如果存在一般性污染和严重污染事故需及时处理、调查，并上报有关部门。</w:t>
            </w:r>
          </w:p>
          <w:p>
            <w:pPr>
              <w:spacing w:line="360" w:lineRule="auto"/>
              <w:ind w:firstLine="480" w:firstLineChars="200"/>
              <w:rPr>
                <w:sz w:val="24"/>
                <w:szCs w:val="24"/>
              </w:rPr>
            </w:pPr>
            <w:r>
              <w:rPr>
                <w:rFonts w:hint="eastAsia"/>
                <w:sz w:val="24"/>
                <w:szCs w:val="24"/>
              </w:rPr>
              <w:t>5、排污口规范化设置</w:t>
            </w:r>
          </w:p>
          <w:p>
            <w:pPr>
              <w:spacing w:line="360" w:lineRule="auto"/>
              <w:ind w:firstLine="480" w:firstLineChars="200"/>
              <w:rPr>
                <w:bCs/>
                <w:sz w:val="24"/>
                <w:szCs w:val="24"/>
              </w:rPr>
            </w:pPr>
            <w:r>
              <w:rPr>
                <w:rFonts w:hint="eastAsia"/>
                <w:bCs/>
                <w:sz w:val="24"/>
                <w:szCs w:val="24"/>
                <w:highlight w:val="lightGray"/>
              </w:rPr>
              <w:t>规范设置排污口根据《排污口规范化整治技术要求（试行）》进行论证，经负责审批环境影响报告书（表）的环保部门审查批准，按照《环境保护图形标志实施细则（试行）》要求进行设置。</w:t>
            </w:r>
            <w:r>
              <w:rPr>
                <w:rFonts w:hint="eastAsia"/>
                <w:bCs/>
                <w:sz w:val="24"/>
                <w:szCs w:val="24"/>
              </w:rPr>
              <w:t>废水排放口、固定噪声源必须按照国家和甘肃省的有关规定进行建设，应符合“一明显、二合理、三便于”的要求，即环保标志明显，排污口接管口设置合理，便于采集样品、便于监测计量、便于公众参与和监督管理，同时要求按照国家环保总局制定的《环境保护图形标志实施细则（试行）》的规定，设置与排污口相应的图形标志牌。</w:t>
            </w:r>
          </w:p>
          <w:p>
            <w:pPr>
              <w:spacing w:line="360" w:lineRule="auto"/>
              <w:ind w:firstLine="480" w:firstLineChars="200"/>
              <w:rPr>
                <w:bCs/>
                <w:sz w:val="24"/>
                <w:szCs w:val="24"/>
              </w:rPr>
            </w:pPr>
            <w:r>
              <w:rPr>
                <w:rFonts w:hint="eastAsia"/>
                <w:bCs/>
                <w:sz w:val="24"/>
                <w:szCs w:val="24"/>
              </w:rPr>
              <w:t>（1）排污口的技术要求</w:t>
            </w:r>
          </w:p>
          <w:p>
            <w:pPr>
              <w:spacing w:line="360" w:lineRule="auto"/>
              <w:ind w:firstLine="480" w:firstLineChars="200"/>
              <w:rPr>
                <w:sz w:val="24"/>
                <w:szCs w:val="24"/>
              </w:rPr>
            </w:pPr>
            <w:r>
              <w:rPr>
                <w:rFonts w:hint="eastAsia" w:ascii="宋体" w:hAnsi="宋体" w:cs="宋体"/>
                <w:sz w:val="24"/>
                <w:szCs w:val="24"/>
              </w:rPr>
              <w:t>①</w:t>
            </w:r>
            <w:r>
              <w:rPr>
                <w:sz w:val="24"/>
                <w:szCs w:val="24"/>
              </w:rPr>
              <w:t>排污口应便于采样与计量监测，便于日常现场监督检查；</w:t>
            </w:r>
          </w:p>
          <w:p>
            <w:pPr>
              <w:spacing w:line="360" w:lineRule="auto"/>
              <w:ind w:firstLine="480" w:firstLineChars="200"/>
              <w:rPr>
                <w:sz w:val="24"/>
                <w:szCs w:val="24"/>
              </w:rPr>
            </w:pPr>
            <w:r>
              <w:rPr>
                <w:rFonts w:hint="eastAsia" w:ascii="宋体" w:hAnsi="宋体" w:cs="宋体"/>
                <w:sz w:val="24"/>
                <w:szCs w:val="24"/>
              </w:rPr>
              <w:t>②</w:t>
            </w:r>
            <w:r>
              <w:rPr>
                <w:sz w:val="24"/>
                <w:szCs w:val="24"/>
              </w:rPr>
              <w:t>排污口的位置必须合理确定，按《排污口规范化整治技术要求（试行）》（环监〔1996〕470号）要求进行规范化管理；</w:t>
            </w:r>
          </w:p>
          <w:p>
            <w:pPr>
              <w:spacing w:line="360" w:lineRule="auto"/>
              <w:ind w:firstLine="480" w:firstLineChars="200"/>
              <w:rPr>
                <w:sz w:val="24"/>
                <w:szCs w:val="24"/>
              </w:rPr>
            </w:pPr>
            <w:r>
              <w:rPr>
                <w:rFonts w:hint="eastAsia" w:ascii="宋体" w:hAnsi="宋体" w:cs="宋体"/>
                <w:sz w:val="24"/>
                <w:szCs w:val="24"/>
              </w:rPr>
              <w:t>③</w:t>
            </w:r>
            <w:r>
              <w:rPr>
                <w:sz w:val="24"/>
                <w:szCs w:val="24"/>
              </w:rPr>
              <w:t>排放的采样点设置应按《污染源监测技术规范》要求，设置在企业污染物总排口等处；</w:t>
            </w:r>
          </w:p>
          <w:p>
            <w:pPr>
              <w:spacing w:line="360" w:lineRule="auto"/>
              <w:ind w:firstLine="480" w:firstLineChars="200"/>
              <w:rPr>
                <w:sz w:val="24"/>
                <w:szCs w:val="24"/>
              </w:rPr>
            </w:pPr>
            <w:r>
              <w:rPr>
                <w:rFonts w:hint="eastAsia" w:ascii="宋体" w:hAnsi="宋体" w:cs="宋体"/>
                <w:sz w:val="24"/>
                <w:szCs w:val="24"/>
              </w:rPr>
              <w:t>④</w:t>
            </w:r>
            <w:r>
              <w:rPr>
                <w:sz w:val="24"/>
                <w:szCs w:val="24"/>
              </w:rPr>
              <w:t>设置规范的便于测量污水流量、流速的测流段。</w:t>
            </w:r>
          </w:p>
          <w:p>
            <w:pPr>
              <w:spacing w:line="360" w:lineRule="auto"/>
              <w:ind w:firstLine="480" w:firstLineChars="200"/>
              <w:rPr>
                <w:bCs/>
                <w:sz w:val="24"/>
                <w:szCs w:val="24"/>
              </w:rPr>
            </w:pPr>
            <w:r>
              <w:rPr>
                <w:bCs/>
                <w:sz w:val="24"/>
                <w:szCs w:val="24"/>
              </w:rPr>
              <w:t>（2）环境保护图形标志</w:t>
            </w:r>
          </w:p>
          <w:p>
            <w:pPr>
              <w:spacing w:line="360" w:lineRule="auto"/>
              <w:ind w:firstLine="480" w:firstLineChars="200"/>
              <w:rPr>
                <w:bCs/>
                <w:sz w:val="24"/>
                <w:szCs w:val="24"/>
              </w:rPr>
            </w:pPr>
            <w:r>
              <w:rPr>
                <w:rFonts w:hint="eastAsia"/>
                <w:bCs/>
                <w:sz w:val="24"/>
                <w:szCs w:val="24"/>
              </w:rPr>
              <w:t>排污口立标管理：</w:t>
            </w:r>
          </w:p>
          <w:p>
            <w:pPr>
              <w:spacing w:line="360" w:lineRule="auto"/>
              <w:ind w:firstLine="480" w:firstLineChars="200"/>
              <w:rPr>
                <w:bCs/>
                <w:sz w:val="24"/>
                <w:szCs w:val="24"/>
              </w:rPr>
            </w:pPr>
            <w:r>
              <w:rPr>
                <w:rFonts w:hint="eastAsia"/>
                <w:bCs/>
                <w:sz w:val="24"/>
                <w:szCs w:val="24"/>
              </w:rPr>
              <w:t>①各污染物排放口，应按国家《环境保护图形标志—排放口（源）》(GB15562.1-1995）的规定，设置国家环保部统一制作的环境保护图形标志牌；</w:t>
            </w:r>
          </w:p>
          <w:p>
            <w:pPr>
              <w:spacing w:line="360" w:lineRule="auto"/>
              <w:ind w:firstLine="480" w:firstLineChars="200"/>
              <w:rPr>
                <w:bCs/>
                <w:sz w:val="24"/>
                <w:szCs w:val="24"/>
              </w:rPr>
            </w:pPr>
            <w:r>
              <w:rPr>
                <w:rFonts w:hint="eastAsia"/>
                <w:bCs/>
                <w:sz w:val="24"/>
                <w:szCs w:val="24"/>
              </w:rPr>
              <w:t>②污染物排放口的环保图形标志牌应设置在靠近采样点的醒目处，标志牌设置高度为其上缘距地面2m。</w:t>
            </w:r>
          </w:p>
          <w:p>
            <w:pPr>
              <w:spacing w:line="360" w:lineRule="auto"/>
              <w:ind w:firstLine="480" w:firstLineChars="200"/>
              <w:rPr>
                <w:bCs/>
                <w:sz w:val="24"/>
                <w:szCs w:val="24"/>
              </w:rPr>
            </w:pPr>
            <w:r>
              <w:rPr>
                <w:rFonts w:hint="eastAsia"/>
                <w:bCs/>
                <w:sz w:val="24"/>
                <w:szCs w:val="24"/>
              </w:rPr>
              <w:t>（3）排污口建档管理</w:t>
            </w:r>
          </w:p>
          <w:p>
            <w:pPr>
              <w:spacing w:line="360" w:lineRule="auto"/>
              <w:ind w:firstLine="480" w:firstLineChars="200"/>
              <w:rPr>
                <w:sz w:val="24"/>
                <w:szCs w:val="24"/>
              </w:rPr>
            </w:pPr>
            <w:r>
              <w:rPr>
                <w:rFonts w:hint="eastAsia"/>
                <w:sz w:val="24"/>
                <w:szCs w:val="24"/>
              </w:rPr>
              <w:t>①要求使用国家环保部统一印刷的《中华人民共和国规范化排污口标志登记证》，并按要求填写有关内容；</w:t>
            </w:r>
          </w:p>
          <w:p>
            <w:pPr>
              <w:spacing w:line="360" w:lineRule="auto"/>
              <w:ind w:firstLine="480" w:firstLineChars="200"/>
              <w:rPr>
                <w:sz w:val="24"/>
                <w:szCs w:val="24"/>
              </w:rPr>
            </w:pPr>
            <w:r>
              <w:rPr>
                <w:rFonts w:hint="eastAsia"/>
                <w:sz w:val="24"/>
                <w:szCs w:val="24"/>
              </w:rPr>
              <w:t>②根据排污口管理档案内容要求，项目建成后，应将主要污染物种类、数量、浓度、排放去向、达标情况及设施运行情况记录于档案。</w:t>
            </w:r>
          </w:p>
          <w:p>
            <w:pPr>
              <w:spacing w:line="360" w:lineRule="auto"/>
              <w:ind w:firstLine="480" w:firstLineChars="200"/>
              <w:rPr>
                <w:sz w:val="24"/>
                <w:szCs w:val="24"/>
              </w:rPr>
            </w:pPr>
            <w:r>
              <w:rPr>
                <w:rFonts w:hint="eastAsia"/>
                <w:sz w:val="24"/>
                <w:szCs w:val="24"/>
              </w:rPr>
              <w:t>（4）入河排污口设置论证</w:t>
            </w:r>
          </w:p>
          <w:p>
            <w:pPr>
              <w:spacing w:line="360" w:lineRule="auto"/>
              <w:ind w:firstLine="480" w:firstLineChars="200"/>
              <w:rPr>
                <w:sz w:val="24"/>
                <w:szCs w:val="24"/>
              </w:rPr>
            </w:pPr>
            <w:r>
              <w:rPr>
                <w:rFonts w:hint="eastAsia"/>
                <w:sz w:val="24"/>
                <w:szCs w:val="24"/>
              </w:rPr>
              <w:t>根据《入河排污口监督管理办法》（中华人民共和国水利部令第22号），设置入河排污口应当提交入河排污口设置论证报告。根据《入河排污口设置论证报告技术导则》，入河排污口设置论证应主要包括设置单位概况及废污水产排分析、拟纳污水域概况、入河排污口设置可行性分析、入河排污口设置影响分析、入河排污口设置合理性分析、事故风险分析、影响补偿方案建议、水资源保护措施、论证结论等9方面内容。</w:t>
            </w:r>
          </w:p>
          <w:p>
            <w:pPr>
              <w:spacing w:line="360" w:lineRule="auto"/>
              <w:ind w:firstLine="480" w:firstLineChars="200"/>
              <w:rPr>
                <w:sz w:val="24"/>
                <w:szCs w:val="24"/>
              </w:rPr>
            </w:pPr>
            <w:r>
              <w:rPr>
                <w:rFonts w:hint="eastAsia"/>
                <w:sz w:val="24"/>
                <w:szCs w:val="24"/>
              </w:rPr>
              <w:t>入河排污口设置的原则要求：</w:t>
            </w:r>
          </w:p>
          <w:p>
            <w:pPr>
              <w:spacing w:line="360" w:lineRule="auto"/>
              <w:ind w:firstLine="480" w:firstLineChars="200"/>
              <w:rPr>
                <w:sz w:val="24"/>
                <w:szCs w:val="24"/>
              </w:rPr>
            </w:pPr>
            <w:r>
              <w:rPr>
                <w:rFonts w:hint="eastAsia"/>
                <w:sz w:val="24"/>
                <w:szCs w:val="24"/>
              </w:rPr>
              <w:t>①符合国家法律、法规、规划和相关政策的要求和规定；</w:t>
            </w:r>
          </w:p>
          <w:p>
            <w:pPr>
              <w:spacing w:line="360" w:lineRule="auto"/>
              <w:ind w:firstLine="480" w:firstLineChars="200"/>
              <w:rPr>
                <w:sz w:val="24"/>
                <w:szCs w:val="24"/>
              </w:rPr>
            </w:pPr>
            <w:r>
              <w:rPr>
                <w:rFonts w:hint="eastAsia"/>
                <w:sz w:val="24"/>
                <w:szCs w:val="24"/>
              </w:rPr>
              <w:t>②符合流域或区域的综合规划、水资源保护等专业规划；</w:t>
            </w:r>
          </w:p>
          <w:p>
            <w:pPr>
              <w:spacing w:line="360" w:lineRule="auto"/>
              <w:ind w:firstLine="480" w:firstLineChars="200"/>
              <w:rPr>
                <w:sz w:val="24"/>
                <w:szCs w:val="24"/>
              </w:rPr>
            </w:pPr>
            <w:r>
              <w:rPr>
                <w:rFonts w:hint="eastAsia"/>
                <w:sz w:val="24"/>
                <w:szCs w:val="24"/>
              </w:rPr>
              <w:t>③符合国家和行业有关技术标准与规范、规程；</w:t>
            </w:r>
          </w:p>
          <w:p>
            <w:pPr>
              <w:spacing w:line="360" w:lineRule="auto"/>
              <w:ind w:firstLine="480" w:firstLineChars="200"/>
              <w:rPr>
                <w:sz w:val="24"/>
                <w:szCs w:val="24"/>
              </w:rPr>
            </w:pPr>
            <w:r>
              <w:rPr>
                <w:rFonts w:hint="eastAsia"/>
                <w:sz w:val="24"/>
                <w:szCs w:val="24"/>
              </w:rPr>
              <w:t>④符合水功能区管理要求；</w:t>
            </w:r>
          </w:p>
          <w:p>
            <w:pPr>
              <w:spacing w:line="360" w:lineRule="auto"/>
              <w:ind w:firstLine="480" w:firstLineChars="200"/>
              <w:rPr>
                <w:sz w:val="24"/>
                <w:szCs w:val="24"/>
              </w:rPr>
            </w:pPr>
            <w:r>
              <w:rPr>
                <w:rFonts w:hint="eastAsia"/>
                <w:sz w:val="24"/>
                <w:szCs w:val="24"/>
              </w:rPr>
              <w:t>⑤与第三方无纠纷或纠纷已有确定的解决方案；</w:t>
            </w:r>
          </w:p>
          <w:p>
            <w:pPr>
              <w:spacing w:line="360" w:lineRule="auto"/>
              <w:ind w:firstLine="480" w:firstLineChars="200"/>
              <w:rPr>
                <w:sz w:val="24"/>
                <w:szCs w:val="24"/>
              </w:rPr>
            </w:pPr>
            <w:r>
              <w:rPr>
                <w:rFonts w:hint="eastAsia"/>
                <w:sz w:val="24"/>
                <w:szCs w:val="24"/>
              </w:rPr>
              <w:t>⑥设置单位既往无违法排污记录或非法行为已改正。</w:t>
            </w:r>
          </w:p>
          <w:p>
            <w:pPr>
              <w:spacing w:line="360" w:lineRule="auto"/>
              <w:ind w:firstLine="480" w:firstLineChars="200"/>
              <w:rPr>
                <w:sz w:val="24"/>
                <w:szCs w:val="24"/>
              </w:rPr>
            </w:pPr>
            <w:r>
              <w:rPr>
                <w:rFonts w:hint="eastAsia"/>
                <w:sz w:val="24"/>
                <w:szCs w:val="24"/>
              </w:rPr>
              <w:t>本项目污水站出水经管道引入附近老虎沟，最终汇入马莲河，建设单位应委托有资质单位对污水站排污口进行设置论证。</w:t>
            </w:r>
          </w:p>
          <w:p>
            <w:pPr>
              <w:spacing w:line="360" w:lineRule="auto"/>
              <w:ind w:firstLine="480" w:firstLineChars="200"/>
              <w:rPr>
                <w:sz w:val="24"/>
                <w:szCs w:val="24"/>
              </w:rPr>
            </w:pPr>
            <w:r>
              <w:rPr>
                <w:rFonts w:hint="eastAsia"/>
                <w:sz w:val="24"/>
                <w:szCs w:val="24"/>
              </w:rPr>
              <w:t>6、环保投资估算及竣工环保验收清单</w:t>
            </w:r>
          </w:p>
          <w:p>
            <w:pPr>
              <w:spacing w:line="360" w:lineRule="auto"/>
              <w:ind w:firstLine="480" w:firstLineChars="200"/>
              <w:rPr>
                <w:sz w:val="24"/>
                <w:szCs w:val="24"/>
              </w:rPr>
            </w:pPr>
            <w:r>
              <w:rPr>
                <w:rFonts w:hint="eastAsia"/>
                <w:sz w:val="24"/>
                <w:szCs w:val="24"/>
              </w:rPr>
              <w:t>项目运营过程中的废气、废水、噪声、固体废物经采取相应的防治措施后，对环境的影响较小。项目总投资872.58万元，环保投资44万元，占总投资的5.04</w:t>
            </w:r>
            <w:r>
              <w:rPr>
                <w:sz w:val="24"/>
                <w:szCs w:val="24"/>
              </w:rPr>
              <w:t>%</w:t>
            </w:r>
            <w:r>
              <w:rPr>
                <w:rFonts w:hint="eastAsia"/>
                <w:sz w:val="24"/>
                <w:szCs w:val="24"/>
              </w:rPr>
              <w:t>。该项目主要环保投资见表70，竣工验收见表71。</w:t>
            </w:r>
          </w:p>
          <w:p>
            <w:pPr>
              <w:spacing w:line="360" w:lineRule="auto"/>
              <w:ind w:firstLine="480" w:firstLineChars="200"/>
              <w:rPr>
                <w:sz w:val="24"/>
                <w:szCs w:val="24"/>
              </w:rPr>
            </w:pPr>
            <w:r>
              <w:rPr>
                <w:rFonts w:hint="eastAsia"/>
                <w:sz w:val="24"/>
                <w:szCs w:val="24"/>
              </w:rPr>
              <w:t>建设单位在工程投产后正常生产工况下达到设计规模</w:t>
            </w:r>
            <w:r>
              <w:rPr>
                <w:sz w:val="24"/>
                <w:szCs w:val="24"/>
              </w:rPr>
              <w:t>80%</w:t>
            </w:r>
            <w:r>
              <w:rPr>
                <w:rFonts w:hint="eastAsia"/>
                <w:sz w:val="24"/>
                <w:szCs w:val="24"/>
              </w:rPr>
              <w:t>以上时，应按照《建设项目环境保护设施竣工验收管理规定》中的相关要求，及时进行环保设施竣工验收。</w:t>
            </w:r>
          </w:p>
          <w:p>
            <w:pPr>
              <w:spacing w:line="360" w:lineRule="auto"/>
              <w:ind w:firstLine="480" w:firstLineChars="200"/>
              <w:rPr>
                <w:sz w:val="24"/>
                <w:szCs w:val="24"/>
              </w:rPr>
            </w:pPr>
            <w:r>
              <w:rPr>
                <w:rFonts w:hint="eastAsia"/>
                <w:sz w:val="24"/>
                <w:szCs w:val="24"/>
              </w:rPr>
              <w:t>（</w:t>
            </w:r>
            <w:r>
              <w:rPr>
                <w:sz w:val="24"/>
                <w:szCs w:val="24"/>
              </w:rPr>
              <w:t>1</w:t>
            </w:r>
            <w:r>
              <w:rPr>
                <w:rFonts w:hint="eastAsia"/>
                <w:sz w:val="24"/>
                <w:szCs w:val="24"/>
              </w:rPr>
              <w:t>）验收范围：环评报告表、批复文件和有关设计规定应采取的各项环保治理设施与措施。</w:t>
            </w:r>
          </w:p>
          <w:p>
            <w:pPr>
              <w:spacing w:line="360" w:lineRule="auto"/>
              <w:ind w:firstLine="480" w:firstLineChars="200"/>
              <w:rPr>
                <w:sz w:val="24"/>
                <w:szCs w:val="24"/>
              </w:rPr>
            </w:pPr>
            <w:r>
              <w:rPr>
                <w:rFonts w:hint="eastAsia"/>
                <w:sz w:val="24"/>
                <w:szCs w:val="24"/>
              </w:rPr>
              <w:t>（</w:t>
            </w:r>
            <w:r>
              <w:rPr>
                <w:sz w:val="24"/>
                <w:szCs w:val="24"/>
              </w:rPr>
              <w:t>2</w:t>
            </w:r>
            <w:r>
              <w:rPr>
                <w:rFonts w:hint="eastAsia"/>
                <w:sz w:val="24"/>
                <w:szCs w:val="24"/>
              </w:rPr>
              <w:t>）验收清单：项目建成后，建设单位应按照《建设项目环境保护设施竣工验收管理规定》，及时对项目进行环境保护验收。</w:t>
            </w:r>
          </w:p>
          <w:p>
            <w:pPr>
              <w:autoSpaceDE w:val="0"/>
              <w:autoSpaceDN w:val="0"/>
              <w:adjustRightInd w:val="0"/>
              <w:spacing w:line="440" w:lineRule="exact"/>
              <w:jc w:val="center"/>
              <w:rPr>
                <w:b/>
                <w:bCs/>
                <w:szCs w:val="21"/>
              </w:rPr>
            </w:pPr>
            <w:r>
              <w:rPr>
                <w:rFonts w:hint="eastAsia"/>
                <w:b/>
                <w:bCs/>
                <w:szCs w:val="21"/>
              </w:rPr>
              <w:t>表70</w:t>
            </w:r>
            <w:r>
              <w:rPr>
                <w:b/>
                <w:bCs/>
                <w:szCs w:val="21"/>
              </w:rPr>
              <w:t xml:space="preserve">    </w:t>
            </w:r>
            <w:r>
              <w:rPr>
                <w:rFonts w:hint="eastAsia"/>
                <w:b/>
                <w:bCs/>
                <w:szCs w:val="21"/>
              </w:rPr>
              <w:t>项目环境保护投资一览表</w:t>
            </w:r>
          </w:p>
          <w:tbl>
            <w:tblPr>
              <w:tblStyle w:val="35"/>
              <w:tblW w:w="830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2"/>
              <w:gridCol w:w="1463"/>
              <w:gridCol w:w="2287"/>
              <w:gridCol w:w="1415"/>
              <w:gridCol w:w="772"/>
              <w:gridCol w:w="12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2" w:hRule="atLeast"/>
                <w:jc w:val="center"/>
              </w:trPr>
              <w:tc>
                <w:tcPr>
                  <w:tcW w:w="1092" w:type="dxa"/>
                  <w:tcBorders>
                    <w:top w:val="single" w:color="auto" w:sz="12" w:space="0"/>
                    <w:left w:val="nil"/>
                    <w:bottom w:val="single" w:color="auto" w:sz="6" w:space="0"/>
                    <w:right w:val="single" w:color="auto" w:sz="6" w:space="0"/>
                  </w:tcBorders>
                  <w:vAlign w:val="center"/>
                </w:tcPr>
                <w:p>
                  <w:pPr>
                    <w:snapToGrid w:val="0"/>
                    <w:jc w:val="center"/>
                    <w:rPr>
                      <w:b/>
                      <w:szCs w:val="21"/>
                    </w:rPr>
                  </w:pPr>
                  <w:bookmarkStart w:id="90" w:name="OLE_LINK3"/>
                  <w:bookmarkStart w:id="91" w:name="OLE_LINK4"/>
                  <w:r>
                    <w:rPr>
                      <w:rFonts w:hint="eastAsia"/>
                      <w:b/>
                      <w:szCs w:val="21"/>
                    </w:rPr>
                    <w:t>类型</w:t>
                  </w:r>
                </w:p>
              </w:tc>
              <w:tc>
                <w:tcPr>
                  <w:tcW w:w="1463" w:type="dxa"/>
                  <w:tcBorders>
                    <w:top w:val="single" w:color="auto" w:sz="12" w:space="0"/>
                    <w:left w:val="single" w:color="auto" w:sz="6" w:space="0"/>
                    <w:bottom w:val="single" w:color="auto" w:sz="4" w:space="0"/>
                    <w:right w:val="single" w:color="auto" w:sz="6" w:space="0"/>
                  </w:tcBorders>
                  <w:vAlign w:val="center"/>
                </w:tcPr>
                <w:p>
                  <w:pPr>
                    <w:snapToGrid w:val="0"/>
                    <w:jc w:val="center"/>
                    <w:rPr>
                      <w:b/>
                      <w:szCs w:val="21"/>
                    </w:rPr>
                  </w:pPr>
                  <w:r>
                    <w:rPr>
                      <w:rFonts w:hint="eastAsia"/>
                      <w:b/>
                      <w:szCs w:val="21"/>
                    </w:rPr>
                    <w:t>项目</w:t>
                  </w:r>
                </w:p>
              </w:tc>
              <w:tc>
                <w:tcPr>
                  <w:tcW w:w="2287" w:type="dxa"/>
                  <w:tcBorders>
                    <w:top w:val="single" w:color="auto" w:sz="12" w:space="0"/>
                    <w:left w:val="single" w:color="auto" w:sz="6" w:space="0"/>
                    <w:bottom w:val="single" w:color="auto" w:sz="6" w:space="0"/>
                    <w:right w:val="single" w:color="auto" w:sz="4" w:space="0"/>
                  </w:tcBorders>
                  <w:vAlign w:val="center"/>
                </w:tcPr>
                <w:p>
                  <w:pPr>
                    <w:snapToGrid w:val="0"/>
                    <w:jc w:val="center"/>
                    <w:rPr>
                      <w:b/>
                      <w:szCs w:val="21"/>
                    </w:rPr>
                  </w:pPr>
                  <w:r>
                    <w:rPr>
                      <w:rFonts w:hint="eastAsia"/>
                      <w:b/>
                      <w:szCs w:val="21"/>
                    </w:rPr>
                    <w:t>处理设施名称</w:t>
                  </w:r>
                </w:p>
              </w:tc>
              <w:tc>
                <w:tcPr>
                  <w:tcW w:w="1415" w:type="dxa"/>
                  <w:tcBorders>
                    <w:top w:val="single" w:color="auto" w:sz="12" w:space="0"/>
                    <w:left w:val="single" w:color="auto" w:sz="4" w:space="0"/>
                    <w:bottom w:val="single" w:color="auto" w:sz="6" w:space="0"/>
                    <w:right w:val="single" w:color="auto" w:sz="6" w:space="0"/>
                  </w:tcBorders>
                  <w:vAlign w:val="center"/>
                </w:tcPr>
                <w:p>
                  <w:pPr>
                    <w:snapToGrid w:val="0"/>
                    <w:jc w:val="center"/>
                    <w:rPr>
                      <w:b/>
                      <w:szCs w:val="21"/>
                    </w:rPr>
                  </w:pPr>
                  <w:r>
                    <w:rPr>
                      <w:rFonts w:hint="eastAsia"/>
                      <w:b/>
                      <w:szCs w:val="21"/>
                    </w:rPr>
                    <w:t>位置</w:t>
                  </w:r>
                </w:p>
              </w:tc>
              <w:tc>
                <w:tcPr>
                  <w:tcW w:w="772" w:type="dxa"/>
                  <w:tcBorders>
                    <w:top w:val="single" w:color="auto" w:sz="12" w:space="0"/>
                    <w:left w:val="single" w:color="auto" w:sz="6" w:space="0"/>
                    <w:bottom w:val="single" w:color="auto" w:sz="6" w:space="0"/>
                    <w:right w:val="single" w:color="auto" w:sz="6" w:space="0"/>
                  </w:tcBorders>
                  <w:vAlign w:val="center"/>
                </w:tcPr>
                <w:p>
                  <w:pPr>
                    <w:snapToGrid w:val="0"/>
                    <w:jc w:val="center"/>
                    <w:rPr>
                      <w:b/>
                      <w:szCs w:val="21"/>
                    </w:rPr>
                  </w:pPr>
                  <w:r>
                    <w:rPr>
                      <w:rFonts w:hint="eastAsia"/>
                      <w:b/>
                      <w:szCs w:val="21"/>
                    </w:rPr>
                    <w:t>数量</w:t>
                  </w:r>
                </w:p>
              </w:tc>
              <w:tc>
                <w:tcPr>
                  <w:tcW w:w="1277" w:type="dxa"/>
                  <w:tcBorders>
                    <w:top w:val="single" w:color="auto" w:sz="12" w:space="0"/>
                    <w:left w:val="single" w:color="auto" w:sz="6" w:space="0"/>
                    <w:bottom w:val="single" w:color="auto" w:sz="6" w:space="0"/>
                    <w:right w:val="nil"/>
                  </w:tcBorders>
                  <w:vAlign w:val="center"/>
                </w:tcPr>
                <w:p>
                  <w:pPr>
                    <w:snapToGrid w:val="0"/>
                    <w:jc w:val="center"/>
                    <w:rPr>
                      <w:b/>
                      <w:szCs w:val="21"/>
                    </w:rPr>
                  </w:pPr>
                  <w:r>
                    <w:rPr>
                      <w:rFonts w:hint="eastAsia"/>
                      <w:b/>
                      <w:szCs w:val="21"/>
                    </w:rPr>
                    <w:t>投资</w:t>
                  </w:r>
                  <w:r>
                    <w:rPr>
                      <w:b/>
                      <w:szCs w:val="21"/>
                    </w:rPr>
                    <w:t>(</w:t>
                  </w:r>
                  <w:r>
                    <w:rPr>
                      <w:rFonts w:hint="eastAsia"/>
                      <w:b/>
                      <w:szCs w:val="21"/>
                    </w:rPr>
                    <w:t>万元</w:t>
                  </w:r>
                  <w:r>
                    <w:rPr>
                      <w:b/>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8" w:hRule="atLeast"/>
                <w:jc w:val="center"/>
              </w:trPr>
              <w:tc>
                <w:tcPr>
                  <w:tcW w:w="8306" w:type="dxa"/>
                  <w:gridSpan w:val="6"/>
                  <w:tcBorders>
                    <w:top w:val="single" w:color="auto" w:sz="4" w:space="0"/>
                    <w:left w:val="nil"/>
                    <w:bottom w:val="single" w:color="auto" w:sz="6" w:space="0"/>
                    <w:right w:val="nil"/>
                  </w:tcBorders>
                  <w:vAlign w:val="center"/>
                </w:tcPr>
                <w:p>
                  <w:pPr>
                    <w:snapToGrid w:val="0"/>
                    <w:jc w:val="center"/>
                    <w:rPr>
                      <w:szCs w:val="21"/>
                    </w:rPr>
                  </w:pPr>
                  <w:r>
                    <w:rPr>
                      <w:rFonts w:hint="eastAsia"/>
                      <w:szCs w:val="21"/>
                    </w:rPr>
                    <w:t>施工期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29" w:hRule="atLeast"/>
                <w:jc w:val="center"/>
              </w:trPr>
              <w:tc>
                <w:tcPr>
                  <w:tcW w:w="1092" w:type="dxa"/>
                  <w:tcBorders>
                    <w:top w:val="single" w:color="auto" w:sz="4" w:space="0"/>
                    <w:left w:val="nil"/>
                    <w:bottom w:val="single" w:color="auto" w:sz="6" w:space="0"/>
                    <w:right w:val="single" w:color="auto" w:sz="6" w:space="0"/>
                  </w:tcBorders>
                  <w:vAlign w:val="center"/>
                </w:tcPr>
                <w:p>
                  <w:pPr>
                    <w:snapToGrid w:val="0"/>
                    <w:jc w:val="center"/>
                    <w:rPr>
                      <w:szCs w:val="21"/>
                    </w:rPr>
                  </w:pPr>
                  <w:r>
                    <w:rPr>
                      <w:rFonts w:hint="eastAsia"/>
                      <w:szCs w:val="21"/>
                    </w:rPr>
                    <w:t>废水</w:t>
                  </w:r>
                </w:p>
              </w:tc>
              <w:tc>
                <w:tcPr>
                  <w:tcW w:w="1463" w:type="dxa"/>
                  <w:tcBorders>
                    <w:top w:val="single" w:color="auto" w:sz="4" w:space="0"/>
                    <w:left w:val="single" w:color="auto" w:sz="6" w:space="0"/>
                    <w:right w:val="single" w:color="auto" w:sz="6" w:space="0"/>
                  </w:tcBorders>
                  <w:vAlign w:val="center"/>
                </w:tcPr>
                <w:p>
                  <w:pPr>
                    <w:snapToGrid w:val="0"/>
                    <w:jc w:val="center"/>
                    <w:rPr>
                      <w:szCs w:val="21"/>
                    </w:rPr>
                  </w:pPr>
                  <w:r>
                    <w:rPr>
                      <w:rFonts w:hint="eastAsia"/>
                      <w:szCs w:val="21"/>
                    </w:rPr>
                    <w:t>施工废水</w:t>
                  </w:r>
                </w:p>
              </w:tc>
              <w:tc>
                <w:tcPr>
                  <w:tcW w:w="2287" w:type="dxa"/>
                  <w:tcBorders>
                    <w:top w:val="single" w:color="auto" w:sz="6" w:space="0"/>
                    <w:left w:val="single" w:color="auto" w:sz="6" w:space="0"/>
                    <w:bottom w:val="single" w:color="auto" w:sz="6" w:space="0"/>
                    <w:right w:val="single" w:color="auto" w:sz="4" w:space="0"/>
                  </w:tcBorders>
                  <w:vAlign w:val="center"/>
                </w:tcPr>
                <w:p>
                  <w:pPr>
                    <w:snapToGrid w:val="0"/>
                    <w:jc w:val="center"/>
                    <w:rPr>
                      <w:szCs w:val="21"/>
                    </w:rPr>
                  </w:pPr>
                  <w:r>
                    <w:rPr>
                      <w:rFonts w:hint="eastAsia"/>
                      <w:szCs w:val="21"/>
                    </w:rPr>
                    <w:t>临时沉淀池</w:t>
                  </w:r>
                </w:p>
              </w:tc>
              <w:tc>
                <w:tcPr>
                  <w:tcW w:w="1415" w:type="dxa"/>
                  <w:tcBorders>
                    <w:top w:val="single" w:color="auto" w:sz="6" w:space="0"/>
                    <w:left w:val="single" w:color="auto" w:sz="4" w:space="0"/>
                    <w:bottom w:val="single" w:color="auto" w:sz="6" w:space="0"/>
                    <w:right w:val="single" w:color="auto" w:sz="6" w:space="0"/>
                  </w:tcBorders>
                  <w:vAlign w:val="center"/>
                </w:tcPr>
                <w:p>
                  <w:pPr>
                    <w:snapToGrid w:val="0"/>
                    <w:jc w:val="center"/>
                    <w:rPr>
                      <w:szCs w:val="21"/>
                    </w:rPr>
                  </w:pPr>
                  <w:r>
                    <w:rPr>
                      <w:rFonts w:hint="eastAsia"/>
                      <w:szCs w:val="21"/>
                    </w:rPr>
                    <w:t>施工场地</w:t>
                  </w:r>
                </w:p>
              </w:tc>
              <w:tc>
                <w:tcPr>
                  <w:tcW w:w="772" w:type="dxa"/>
                  <w:tcBorders>
                    <w:top w:val="single" w:color="auto" w:sz="6" w:space="0"/>
                    <w:left w:val="single" w:color="auto" w:sz="6" w:space="0"/>
                    <w:bottom w:val="single" w:color="auto" w:sz="6" w:space="0"/>
                    <w:right w:val="single" w:color="auto" w:sz="6" w:space="0"/>
                  </w:tcBorders>
                  <w:vAlign w:val="center"/>
                </w:tcPr>
                <w:p>
                  <w:pPr>
                    <w:snapToGrid w:val="0"/>
                    <w:jc w:val="center"/>
                    <w:rPr>
                      <w:szCs w:val="21"/>
                    </w:rPr>
                  </w:pPr>
                  <w:r>
                    <w:rPr>
                      <w:szCs w:val="21"/>
                    </w:rPr>
                    <w:t>1</w:t>
                  </w:r>
                  <w:r>
                    <w:rPr>
                      <w:rFonts w:hint="eastAsia"/>
                      <w:szCs w:val="21"/>
                    </w:rPr>
                    <w:t>座</w:t>
                  </w:r>
                </w:p>
              </w:tc>
              <w:tc>
                <w:tcPr>
                  <w:tcW w:w="1277" w:type="dxa"/>
                  <w:tcBorders>
                    <w:top w:val="single" w:color="auto" w:sz="6" w:space="0"/>
                    <w:left w:val="single" w:color="auto" w:sz="6" w:space="0"/>
                    <w:bottom w:val="single" w:color="auto" w:sz="6" w:space="0"/>
                    <w:right w:val="nil"/>
                  </w:tcBorders>
                  <w:vAlign w:val="center"/>
                </w:tcPr>
                <w:p>
                  <w:pPr>
                    <w:snapToGrid w:val="0"/>
                    <w:jc w:val="center"/>
                    <w:rPr>
                      <w:szCs w:val="21"/>
                    </w:rPr>
                  </w:pPr>
                  <w:r>
                    <w:rPr>
                      <w:rFonts w:hint="eastAsia"/>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8" w:hRule="atLeast"/>
                <w:jc w:val="center"/>
              </w:trPr>
              <w:tc>
                <w:tcPr>
                  <w:tcW w:w="1092" w:type="dxa"/>
                  <w:tcBorders>
                    <w:top w:val="single" w:color="auto" w:sz="4" w:space="0"/>
                    <w:left w:val="nil"/>
                    <w:bottom w:val="single" w:color="auto" w:sz="6" w:space="0"/>
                    <w:right w:val="single" w:color="auto" w:sz="6" w:space="0"/>
                  </w:tcBorders>
                  <w:vAlign w:val="center"/>
                </w:tcPr>
                <w:p>
                  <w:pPr>
                    <w:snapToGrid w:val="0"/>
                    <w:jc w:val="center"/>
                    <w:rPr>
                      <w:szCs w:val="21"/>
                    </w:rPr>
                  </w:pPr>
                  <w:r>
                    <w:rPr>
                      <w:rFonts w:hint="eastAsia"/>
                      <w:szCs w:val="21"/>
                    </w:rPr>
                    <w:t>噪声</w:t>
                  </w:r>
                </w:p>
              </w:tc>
              <w:tc>
                <w:tcPr>
                  <w:tcW w:w="1463" w:type="dxa"/>
                  <w:tcBorders>
                    <w:top w:val="single" w:color="auto" w:sz="4" w:space="0"/>
                    <w:left w:val="single" w:color="auto" w:sz="6" w:space="0"/>
                    <w:bottom w:val="single" w:color="auto" w:sz="6" w:space="0"/>
                    <w:right w:val="single" w:color="auto" w:sz="6" w:space="0"/>
                  </w:tcBorders>
                  <w:vAlign w:val="center"/>
                </w:tcPr>
                <w:p>
                  <w:pPr>
                    <w:snapToGrid w:val="0"/>
                    <w:jc w:val="center"/>
                    <w:rPr>
                      <w:szCs w:val="21"/>
                    </w:rPr>
                  </w:pPr>
                  <w:r>
                    <w:rPr>
                      <w:rFonts w:hint="eastAsia"/>
                      <w:szCs w:val="21"/>
                    </w:rPr>
                    <w:t>机械噪声</w:t>
                  </w:r>
                </w:p>
              </w:tc>
              <w:tc>
                <w:tcPr>
                  <w:tcW w:w="2287" w:type="dxa"/>
                  <w:tcBorders>
                    <w:top w:val="single" w:color="auto" w:sz="6" w:space="0"/>
                    <w:left w:val="single" w:color="auto" w:sz="6" w:space="0"/>
                    <w:bottom w:val="single" w:color="auto" w:sz="6" w:space="0"/>
                    <w:right w:val="single" w:color="auto" w:sz="4" w:space="0"/>
                  </w:tcBorders>
                  <w:vAlign w:val="center"/>
                </w:tcPr>
                <w:p>
                  <w:pPr>
                    <w:snapToGrid w:val="0"/>
                    <w:jc w:val="center"/>
                    <w:rPr>
                      <w:szCs w:val="21"/>
                    </w:rPr>
                  </w:pPr>
                  <w:r>
                    <w:rPr>
                      <w:rFonts w:hint="eastAsia"/>
                      <w:szCs w:val="21"/>
                    </w:rPr>
                    <w:t>低噪声设备、管理制度</w:t>
                  </w:r>
                </w:p>
              </w:tc>
              <w:tc>
                <w:tcPr>
                  <w:tcW w:w="1415" w:type="dxa"/>
                  <w:tcBorders>
                    <w:top w:val="single" w:color="auto" w:sz="6" w:space="0"/>
                    <w:left w:val="single" w:color="auto" w:sz="4" w:space="0"/>
                    <w:bottom w:val="single" w:color="auto" w:sz="6" w:space="0"/>
                    <w:right w:val="single" w:color="auto" w:sz="6" w:space="0"/>
                  </w:tcBorders>
                  <w:vAlign w:val="center"/>
                </w:tcPr>
                <w:p>
                  <w:pPr>
                    <w:snapToGrid w:val="0"/>
                    <w:jc w:val="center"/>
                    <w:rPr>
                      <w:szCs w:val="21"/>
                    </w:rPr>
                  </w:pPr>
                  <w:r>
                    <w:rPr>
                      <w:rFonts w:hint="eastAsia"/>
                      <w:szCs w:val="21"/>
                    </w:rPr>
                    <w:t>施工场地</w:t>
                  </w:r>
                </w:p>
              </w:tc>
              <w:tc>
                <w:tcPr>
                  <w:tcW w:w="772" w:type="dxa"/>
                  <w:tcBorders>
                    <w:top w:val="single" w:color="auto" w:sz="6" w:space="0"/>
                    <w:left w:val="single" w:color="auto" w:sz="6" w:space="0"/>
                    <w:bottom w:val="single" w:color="auto" w:sz="6" w:space="0"/>
                    <w:right w:val="single" w:color="auto" w:sz="6" w:space="0"/>
                  </w:tcBorders>
                  <w:vAlign w:val="center"/>
                </w:tcPr>
                <w:p>
                  <w:pPr>
                    <w:snapToGrid w:val="0"/>
                    <w:jc w:val="center"/>
                    <w:rPr>
                      <w:szCs w:val="21"/>
                    </w:rPr>
                  </w:pPr>
                  <w:r>
                    <w:rPr>
                      <w:szCs w:val="21"/>
                    </w:rPr>
                    <w:t>/</w:t>
                  </w:r>
                </w:p>
              </w:tc>
              <w:tc>
                <w:tcPr>
                  <w:tcW w:w="1277" w:type="dxa"/>
                  <w:tcBorders>
                    <w:top w:val="single" w:color="auto" w:sz="6" w:space="0"/>
                    <w:left w:val="single" w:color="auto" w:sz="6" w:space="0"/>
                    <w:bottom w:val="single" w:color="auto" w:sz="6" w:space="0"/>
                    <w:right w:val="nil"/>
                  </w:tcBorders>
                  <w:vAlign w:val="center"/>
                </w:tcPr>
                <w:p>
                  <w:pPr>
                    <w:snapToGrid w:val="0"/>
                    <w:jc w:val="center"/>
                    <w:rPr>
                      <w:szCs w:val="21"/>
                    </w:rPr>
                  </w:pPr>
                  <w:r>
                    <w:rPr>
                      <w:rFonts w:hint="eastAsia"/>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8" w:hRule="atLeast"/>
                <w:jc w:val="center"/>
              </w:trPr>
              <w:tc>
                <w:tcPr>
                  <w:tcW w:w="1092" w:type="dxa"/>
                  <w:tcBorders>
                    <w:top w:val="single" w:color="auto" w:sz="4" w:space="0"/>
                    <w:left w:val="nil"/>
                    <w:bottom w:val="single" w:color="auto" w:sz="6" w:space="0"/>
                    <w:right w:val="single" w:color="auto" w:sz="6" w:space="0"/>
                  </w:tcBorders>
                  <w:vAlign w:val="center"/>
                </w:tcPr>
                <w:p>
                  <w:pPr>
                    <w:snapToGrid w:val="0"/>
                    <w:jc w:val="center"/>
                    <w:rPr>
                      <w:szCs w:val="21"/>
                    </w:rPr>
                  </w:pPr>
                  <w:r>
                    <w:rPr>
                      <w:rFonts w:hint="eastAsia"/>
                      <w:szCs w:val="21"/>
                    </w:rPr>
                    <w:t>废气</w:t>
                  </w:r>
                </w:p>
              </w:tc>
              <w:tc>
                <w:tcPr>
                  <w:tcW w:w="1463" w:type="dxa"/>
                  <w:tcBorders>
                    <w:top w:val="single" w:color="auto" w:sz="4" w:space="0"/>
                    <w:left w:val="single" w:color="auto" w:sz="6" w:space="0"/>
                    <w:bottom w:val="single" w:color="auto" w:sz="6" w:space="0"/>
                    <w:right w:val="single" w:color="auto" w:sz="6" w:space="0"/>
                  </w:tcBorders>
                  <w:vAlign w:val="center"/>
                </w:tcPr>
                <w:p>
                  <w:pPr>
                    <w:snapToGrid w:val="0"/>
                    <w:jc w:val="center"/>
                    <w:rPr>
                      <w:szCs w:val="21"/>
                    </w:rPr>
                  </w:pPr>
                  <w:r>
                    <w:rPr>
                      <w:rFonts w:hint="eastAsia"/>
                      <w:szCs w:val="21"/>
                    </w:rPr>
                    <w:t>扬尘</w:t>
                  </w:r>
                </w:p>
              </w:tc>
              <w:tc>
                <w:tcPr>
                  <w:tcW w:w="2287" w:type="dxa"/>
                  <w:tcBorders>
                    <w:top w:val="single" w:color="auto" w:sz="6" w:space="0"/>
                    <w:left w:val="single" w:color="auto" w:sz="6" w:space="0"/>
                    <w:bottom w:val="single" w:color="auto" w:sz="6" w:space="0"/>
                    <w:right w:val="single" w:color="auto" w:sz="4" w:space="0"/>
                  </w:tcBorders>
                  <w:vAlign w:val="center"/>
                </w:tcPr>
                <w:p>
                  <w:pPr>
                    <w:snapToGrid w:val="0"/>
                    <w:jc w:val="center"/>
                    <w:rPr>
                      <w:szCs w:val="21"/>
                    </w:rPr>
                  </w:pPr>
                  <w:r>
                    <w:rPr>
                      <w:bCs/>
                      <w:szCs w:val="21"/>
                    </w:rPr>
                    <w:t>施工区防灰围挡</w:t>
                  </w:r>
                  <w:r>
                    <w:rPr>
                      <w:rFonts w:hint="eastAsia"/>
                      <w:bCs/>
                      <w:szCs w:val="21"/>
                    </w:rPr>
                    <w:t>、</w:t>
                  </w:r>
                  <w:r>
                    <w:rPr>
                      <w:bCs/>
                      <w:szCs w:val="21"/>
                    </w:rPr>
                    <w:t>材料及灰土覆盖物、网</w:t>
                  </w:r>
                  <w:r>
                    <w:rPr>
                      <w:rFonts w:hint="eastAsia"/>
                      <w:bCs/>
                      <w:szCs w:val="21"/>
                    </w:rPr>
                    <w:t>、</w:t>
                  </w:r>
                  <w:r>
                    <w:rPr>
                      <w:bCs/>
                      <w:szCs w:val="21"/>
                    </w:rPr>
                    <w:t>施工区及临时道路洒水</w:t>
                  </w:r>
                </w:p>
              </w:tc>
              <w:tc>
                <w:tcPr>
                  <w:tcW w:w="1415" w:type="dxa"/>
                  <w:tcBorders>
                    <w:top w:val="single" w:color="auto" w:sz="6" w:space="0"/>
                    <w:left w:val="single" w:color="auto" w:sz="4" w:space="0"/>
                    <w:bottom w:val="single" w:color="auto" w:sz="6" w:space="0"/>
                    <w:right w:val="single" w:color="auto" w:sz="6" w:space="0"/>
                  </w:tcBorders>
                  <w:vAlign w:val="center"/>
                </w:tcPr>
                <w:p>
                  <w:pPr>
                    <w:snapToGrid w:val="0"/>
                    <w:jc w:val="center"/>
                    <w:rPr>
                      <w:szCs w:val="21"/>
                    </w:rPr>
                  </w:pPr>
                  <w:r>
                    <w:rPr>
                      <w:rFonts w:hint="eastAsia"/>
                      <w:szCs w:val="21"/>
                    </w:rPr>
                    <w:t>施工场地</w:t>
                  </w:r>
                </w:p>
              </w:tc>
              <w:tc>
                <w:tcPr>
                  <w:tcW w:w="772" w:type="dxa"/>
                  <w:tcBorders>
                    <w:top w:val="single" w:color="auto" w:sz="6" w:space="0"/>
                    <w:left w:val="single" w:color="auto" w:sz="6" w:space="0"/>
                    <w:bottom w:val="single" w:color="auto" w:sz="6" w:space="0"/>
                    <w:right w:val="single" w:color="auto" w:sz="6" w:space="0"/>
                  </w:tcBorders>
                  <w:vAlign w:val="center"/>
                </w:tcPr>
                <w:p>
                  <w:pPr>
                    <w:snapToGrid w:val="0"/>
                    <w:jc w:val="center"/>
                    <w:rPr>
                      <w:szCs w:val="21"/>
                    </w:rPr>
                  </w:pPr>
                  <w:r>
                    <w:rPr>
                      <w:szCs w:val="21"/>
                    </w:rPr>
                    <w:t>/</w:t>
                  </w:r>
                </w:p>
              </w:tc>
              <w:tc>
                <w:tcPr>
                  <w:tcW w:w="1277" w:type="dxa"/>
                  <w:tcBorders>
                    <w:top w:val="single" w:color="auto" w:sz="6" w:space="0"/>
                    <w:left w:val="single" w:color="auto" w:sz="6" w:space="0"/>
                    <w:bottom w:val="single" w:color="auto" w:sz="6" w:space="0"/>
                    <w:right w:val="nil"/>
                  </w:tcBorders>
                  <w:vAlign w:val="center"/>
                </w:tcPr>
                <w:p>
                  <w:pPr>
                    <w:snapToGrid w:val="0"/>
                    <w:jc w:val="center"/>
                    <w:rPr>
                      <w:szCs w:val="21"/>
                    </w:rPr>
                  </w:pPr>
                  <w:r>
                    <w:rPr>
                      <w:rFonts w:hint="eastAsia"/>
                      <w:szCs w:val="21"/>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8" w:hRule="atLeast"/>
                <w:jc w:val="center"/>
              </w:trPr>
              <w:tc>
                <w:tcPr>
                  <w:tcW w:w="1092" w:type="dxa"/>
                  <w:tcBorders>
                    <w:top w:val="single" w:color="auto" w:sz="6" w:space="0"/>
                    <w:left w:val="nil"/>
                    <w:bottom w:val="single" w:color="auto" w:sz="6" w:space="0"/>
                    <w:right w:val="single" w:color="auto" w:sz="6" w:space="0"/>
                  </w:tcBorders>
                  <w:vAlign w:val="center"/>
                </w:tcPr>
                <w:p>
                  <w:pPr>
                    <w:snapToGrid w:val="0"/>
                    <w:jc w:val="center"/>
                    <w:rPr>
                      <w:szCs w:val="21"/>
                    </w:rPr>
                  </w:pPr>
                  <w:r>
                    <w:rPr>
                      <w:rFonts w:hint="eastAsia"/>
                      <w:szCs w:val="21"/>
                    </w:rPr>
                    <w:t>固体废物</w:t>
                  </w:r>
                </w:p>
              </w:tc>
              <w:tc>
                <w:tcPr>
                  <w:tcW w:w="1463" w:type="dxa"/>
                  <w:tcBorders>
                    <w:top w:val="single" w:color="auto" w:sz="4" w:space="0"/>
                    <w:left w:val="single" w:color="auto" w:sz="6" w:space="0"/>
                    <w:bottom w:val="single" w:color="auto" w:sz="6" w:space="0"/>
                    <w:right w:val="single" w:color="auto" w:sz="6" w:space="0"/>
                  </w:tcBorders>
                  <w:vAlign w:val="center"/>
                </w:tcPr>
                <w:p>
                  <w:pPr>
                    <w:snapToGrid w:val="0"/>
                    <w:jc w:val="center"/>
                    <w:rPr>
                      <w:szCs w:val="21"/>
                    </w:rPr>
                  </w:pPr>
                  <w:r>
                    <w:rPr>
                      <w:rFonts w:hint="eastAsia"/>
                      <w:szCs w:val="21"/>
                    </w:rPr>
                    <w:t>建筑垃圾</w:t>
                  </w:r>
                </w:p>
              </w:tc>
              <w:tc>
                <w:tcPr>
                  <w:tcW w:w="2287" w:type="dxa"/>
                  <w:tcBorders>
                    <w:top w:val="single" w:color="auto" w:sz="6" w:space="0"/>
                    <w:left w:val="single" w:color="auto" w:sz="6" w:space="0"/>
                    <w:bottom w:val="single" w:color="auto" w:sz="6" w:space="0"/>
                    <w:right w:val="single" w:color="auto" w:sz="4" w:space="0"/>
                  </w:tcBorders>
                  <w:vAlign w:val="center"/>
                </w:tcPr>
                <w:p>
                  <w:pPr>
                    <w:snapToGrid w:val="0"/>
                    <w:jc w:val="center"/>
                    <w:rPr>
                      <w:szCs w:val="21"/>
                    </w:rPr>
                  </w:pPr>
                  <w:r>
                    <w:rPr>
                      <w:rFonts w:hint="eastAsia"/>
                      <w:szCs w:val="21"/>
                    </w:rPr>
                    <w:t>垃圾运输</w:t>
                  </w:r>
                </w:p>
              </w:tc>
              <w:tc>
                <w:tcPr>
                  <w:tcW w:w="1415" w:type="dxa"/>
                  <w:tcBorders>
                    <w:top w:val="single" w:color="auto" w:sz="6" w:space="0"/>
                    <w:left w:val="single" w:color="auto" w:sz="4" w:space="0"/>
                    <w:bottom w:val="single" w:color="auto" w:sz="6" w:space="0"/>
                    <w:right w:val="single" w:color="auto" w:sz="6" w:space="0"/>
                  </w:tcBorders>
                  <w:vAlign w:val="center"/>
                </w:tcPr>
                <w:p>
                  <w:pPr>
                    <w:snapToGrid w:val="0"/>
                    <w:jc w:val="center"/>
                    <w:rPr>
                      <w:szCs w:val="21"/>
                    </w:rPr>
                  </w:pPr>
                  <w:r>
                    <w:rPr>
                      <w:szCs w:val="21"/>
                    </w:rPr>
                    <w:t>/</w:t>
                  </w:r>
                </w:p>
              </w:tc>
              <w:tc>
                <w:tcPr>
                  <w:tcW w:w="772" w:type="dxa"/>
                  <w:tcBorders>
                    <w:top w:val="single" w:color="auto" w:sz="6" w:space="0"/>
                    <w:left w:val="single" w:color="auto" w:sz="6" w:space="0"/>
                    <w:bottom w:val="single" w:color="auto" w:sz="6" w:space="0"/>
                    <w:right w:val="single" w:color="auto" w:sz="6" w:space="0"/>
                  </w:tcBorders>
                  <w:vAlign w:val="center"/>
                </w:tcPr>
                <w:p>
                  <w:pPr>
                    <w:snapToGrid w:val="0"/>
                    <w:jc w:val="center"/>
                    <w:rPr>
                      <w:szCs w:val="21"/>
                    </w:rPr>
                  </w:pPr>
                  <w:r>
                    <w:rPr>
                      <w:szCs w:val="21"/>
                    </w:rPr>
                    <w:t>/</w:t>
                  </w:r>
                </w:p>
              </w:tc>
              <w:tc>
                <w:tcPr>
                  <w:tcW w:w="1277" w:type="dxa"/>
                  <w:tcBorders>
                    <w:top w:val="single" w:color="auto" w:sz="6" w:space="0"/>
                    <w:left w:val="single" w:color="auto" w:sz="6" w:space="0"/>
                    <w:bottom w:val="single" w:color="auto" w:sz="6" w:space="0"/>
                    <w:right w:val="nil"/>
                  </w:tcBorders>
                  <w:vAlign w:val="center"/>
                </w:tcPr>
                <w:p>
                  <w:pPr>
                    <w:snapToGrid w:val="0"/>
                    <w:jc w:val="center"/>
                    <w:rPr>
                      <w:szCs w:val="21"/>
                    </w:rPr>
                  </w:pPr>
                  <w:r>
                    <w:rPr>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8" w:hRule="atLeast"/>
                <w:jc w:val="center"/>
              </w:trPr>
              <w:tc>
                <w:tcPr>
                  <w:tcW w:w="8306" w:type="dxa"/>
                  <w:gridSpan w:val="6"/>
                  <w:tcBorders>
                    <w:top w:val="single" w:color="auto" w:sz="4" w:space="0"/>
                    <w:left w:val="nil"/>
                    <w:bottom w:val="single" w:color="auto" w:sz="6" w:space="0"/>
                    <w:right w:val="nil"/>
                  </w:tcBorders>
                  <w:vAlign w:val="center"/>
                </w:tcPr>
                <w:p>
                  <w:pPr>
                    <w:snapToGrid w:val="0"/>
                    <w:jc w:val="center"/>
                    <w:rPr>
                      <w:szCs w:val="21"/>
                    </w:rPr>
                  </w:pPr>
                  <w:r>
                    <w:rPr>
                      <w:rFonts w:hint="eastAsia"/>
                      <w:szCs w:val="21"/>
                    </w:rPr>
                    <w:t>营运期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0" w:hRule="atLeast"/>
                <w:jc w:val="center"/>
              </w:trPr>
              <w:tc>
                <w:tcPr>
                  <w:tcW w:w="1092" w:type="dxa"/>
                  <w:vMerge w:val="restart"/>
                  <w:tcBorders>
                    <w:top w:val="single" w:color="auto" w:sz="6" w:space="0"/>
                    <w:left w:val="nil"/>
                    <w:right w:val="single" w:color="auto" w:sz="4" w:space="0"/>
                  </w:tcBorders>
                  <w:vAlign w:val="center"/>
                </w:tcPr>
                <w:p>
                  <w:pPr>
                    <w:snapToGrid w:val="0"/>
                    <w:jc w:val="center"/>
                    <w:rPr>
                      <w:szCs w:val="21"/>
                    </w:rPr>
                  </w:pPr>
                  <w:bookmarkStart w:id="92" w:name="_Hlk381815268"/>
                  <w:r>
                    <w:rPr>
                      <w:rFonts w:hint="eastAsia"/>
                      <w:szCs w:val="21"/>
                    </w:rPr>
                    <w:t>废气</w:t>
                  </w:r>
                </w:p>
              </w:tc>
              <w:tc>
                <w:tcPr>
                  <w:tcW w:w="1463" w:type="dxa"/>
                  <w:tcBorders>
                    <w:top w:val="single" w:color="auto" w:sz="6" w:space="0"/>
                    <w:left w:val="single" w:color="auto" w:sz="4" w:space="0"/>
                    <w:right w:val="single" w:color="auto" w:sz="6" w:space="0"/>
                  </w:tcBorders>
                  <w:vAlign w:val="center"/>
                </w:tcPr>
                <w:p>
                  <w:pPr>
                    <w:snapToGrid w:val="0"/>
                    <w:jc w:val="center"/>
                    <w:rPr>
                      <w:szCs w:val="21"/>
                    </w:rPr>
                  </w:pPr>
                  <w:r>
                    <w:rPr>
                      <w:rFonts w:hint="eastAsia"/>
                      <w:szCs w:val="21"/>
                    </w:rPr>
                    <w:t>恶臭</w:t>
                  </w:r>
                </w:p>
              </w:tc>
              <w:tc>
                <w:tcPr>
                  <w:tcW w:w="2287" w:type="dxa"/>
                  <w:tcBorders>
                    <w:top w:val="single" w:color="auto" w:sz="6" w:space="0"/>
                    <w:left w:val="single" w:color="auto" w:sz="6" w:space="0"/>
                    <w:bottom w:val="single" w:color="auto" w:sz="6" w:space="0"/>
                    <w:right w:val="single" w:color="auto" w:sz="4" w:space="0"/>
                  </w:tcBorders>
                  <w:vAlign w:val="center"/>
                </w:tcPr>
                <w:p>
                  <w:pPr>
                    <w:snapToGrid w:val="0"/>
                    <w:jc w:val="center"/>
                    <w:rPr>
                      <w:szCs w:val="21"/>
                    </w:rPr>
                  </w:pPr>
                  <w:r>
                    <w:rPr>
                      <w:rFonts w:hint="eastAsia"/>
                      <w:szCs w:val="21"/>
                    </w:rPr>
                    <w:t>地埋、加盖</w:t>
                  </w:r>
                </w:p>
              </w:tc>
              <w:tc>
                <w:tcPr>
                  <w:tcW w:w="1415" w:type="dxa"/>
                  <w:tcBorders>
                    <w:top w:val="single" w:color="auto" w:sz="6" w:space="0"/>
                    <w:left w:val="single" w:color="auto" w:sz="4" w:space="0"/>
                    <w:bottom w:val="single" w:color="auto" w:sz="6" w:space="0"/>
                    <w:right w:val="single" w:color="auto" w:sz="6" w:space="0"/>
                  </w:tcBorders>
                  <w:vAlign w:val="center"/>
                </w:tcPr>
                <w:p>
                  <w:pPr>
                    <w:snapToGrid w:val="0"/>
                    <w:jc w:val="center"/>
                    <w:rPr>
                      <w:szCs w:val="21"/>
                    </w:rPr>
                  </w:pPr>
                  <w:r>
                    <w:rPr>
                      <w:rFonts w:hint="eastAsia"/>
                      <w:szCs w:val="21"/>
                    </w:rPr>
                    <w:t>污水处理设备</w:t>
                  </w:r>
                </w:p>
              </w:tc>
              <w:tc>
                <w:tcPr>
                  <w:tcW w:w="772" w:type="dxa"/>
                  <w:tcBorders>
                    <w:top w:val="single" w:color="auto" w:sz="6" w:space="0"/>
                    <w:left w:val="single" w:color="auto" w:sz="6" w:space="0"/>
                    <w:bottom w:val="single" w:color="auto" w:sz="6" w:space="0"/>
                    <w:right w:val="single" w:color="auto" w:sz="6" w:space="0"/>
                  </w:tcBorders>
                  <w:vAlign w:val="center"/>
                </w:tcPr>
                <w:p>
                  <w:pPr>
                    <w:snapToGrid w:val="0"/>
                    <w:jc w:val="center"/>
                    <w:rPr>
                      <w:szCs w:val="21"/>
                    </w:rPr>
                  </w:pPr>
                  <w:r>
                    <w:rPr>
                      <w:rFonts w:hint="eastAsia"/>
                      <w:szCs w:val="21"/>
                    </w:rPr>
                    <w:t>/</w:t>
                  </w:r>
                </w:p>
              </w:tc>
              <w:tc>
                <w:tcPr>
                  <w:tcW w:w="1277" w:type="dxa"/>
                  <w:tcBorders>
                    <w:top w:val="single" w:color="auto" w:sz="6" w:space="0"/>
                    <w:left w:val="single" w:color="auto" w:sz="6" w:space="0"/>
                    <w:bottom w:val="single" w:color="auto" w:sz="6" w:space="0"/>
                    <w:right w:val="nil"/>
                  </w:tcBorders>
                  <w:vAlign w:val="center"/>
                </w:tcPr>
                <w:p>
                  <w:pPr>
                    <w:snapToGrid w:val="0"/>
                    <w:jc w:val="center"/>
                    <w:rPr>
                      <w:szCs w:val="21"/>
                    </w:rPr>
                  </w:pPr>
                  <w:r>
                    <w:rPr>
                      <w:rFonts w:hint="eastAsia"/>
                      <w:szCs w:val="21"/>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0" w:hRule="atLeast"/>
                <w:jc w:val="center"/>
              </w:trPr>
              <w:tc>
                <w:tcPr>
                  <w:tcW w:w="1092" w:type="dxa"/>
                  <w:vMerge w:val="continue"/>
                  <w:tcBorders>
                    <w:left w:val="nil"/>
                    <w:right w:val="single" w:color="auto" w:sz="4" w:space="0"/>
                  </w:tcBorders>
                  <w:vAlign w:val="center"/>
                </w:tcPr>
                <w:p>
                  <w:pPr>
                    <w:snapToGrid w:val="0"/>
                    <w:jc w:val="center"/>
                    <w:rPr>
                      <w:szCs w:val="21"/>
                    </w:rPr>
                  </w:pPr>
                </w:p>
              </w:tc>
              <w:tc>
                <w:tcPr>
                  <w:tcW w:w="1463" w:type="dxa"/>
                  <w:tcBorders>
                    <w:top w:val="single" w:color="auto" w:sz="6" w:space="0"/>
                    <w:left w:val="single" w:color="auto" w:sz="4" w:space="0"/>
                    <w:right w:val="single" w:color="auto" w:sz="6" w:space="0"/>
                  </w:tcBorders>
                  <w:vAlign w:val="center"/>
                </w:tcPr>
                <w:p>
                  <w:pPr>
                    <w:snapToGrid w:val="0"/>
                    <w:jc w:val="center"/>
                    <w:rPr>
                      <w:szCs w:val="21"/>
                    </w:rPr>
                  </w:pPr>
                  <w:r>
                    <w:rPr>
                      <w:rFonts w:hint="eastAsia"/>
                      <w:szCs w:val="21"/>
                    </w:rPr>
                    <w:t>公路扬尘</w:t>
                  </w:r>
                </w:p>
              </w:tc>
              <w:tc>
                <w:tcPr>
                  <w:tcW w:w="2287" w:type="dxa"/>
                  <w:tcBorders>
                    <w:top w:val="single" w:color="auto" w:sz="6" w:space="0"/>
                    <w:left w:val="single" w:color="auto" w:sz="6" w:space="0"/>
                    <w:bottom w:val="single" w:color="auto" w:sz="6" w:space="0"/>
                    <w:right w:val="single" w:color="auto" w:sz="4" w:space="0"/>
                  </w:tcBorders>
                  <w:vAlign w:val="center"/>
                </w:tcPr>
                <w:p>
                  <w:pPr>
                    <w:snapToGrid w:val="0"/>
                    <w:jc w:val="center"/>
                    <w:rPr>
                      <w:szCs w:val="21"/>
                    </w:rPr>
                  </w:pPr>
                  <w:r>
                    <w:rPr>
                      <w:rFonts w:hint="eastAsia"/>
                      <w:szCs w:val="21"/>
                      <w:highlight w:val="lightGray"/>
                    </w:rPr>
                    <w:t>洒水设施</w:t>
                  </w:r>
                </w:p>
              </w:tc>
              <w:tc>
                <w:tcPr>
                  <w:tcW w:w="1415" w:type="dxa"/>
                  <w:tcBorders>
                    <w:top w:val="single" w:color="auto" w:sz="6" w:space="0"/>
                    <w:left w:val="single" w:color="auto" w:sz="4" w:space="0"/>
                    <w:bottom w:val="single" w:color="auto" w:sz="6" w:space="0"/>
                    <w:right w:val="single" w:color="auto" w:sz="6" w:space="0"/>
                  </w:tcBorders>
                  <w:vAlign w:val="center"/>
                </w:tcPr>
                <w:p>
                  <w:pPr>
                    <w:snapToGrid w:val="0"/>
                    <w:jc w:val="center"/>
                    <w:rPr>
                      <w:szCs w:val="21"/>
                    </w:rPr>
                  </w:pPr>
                  <w:r>
                    <w:rPr>
                      <w:rFonts w:hint="eastAsia"/>
                      <w:szCs w:val="21"/>
                    </w:rPr>
                    <w:t>/</w:t>
                  </w:r>
                </w:p>
              </w:tc>
              <w:tc>
                <w:tcPr>
                  <w:tcW w:w="772" w:type="dxa"/>
                  <w:tcBorders>
                    <w:top w:val="single" w:color="auto" w:sz="6" w:space="0"/>
                    <w:left w:val="single" w:color="auto" w:sz="6" w:space="0"/>
                    <w:bottom w:val="single" w:color="auto" w:sz="6" w:space="0"/>
                    <w:right w:val="single" w:color="auto" w:sz="6" w:space="0"/>
                  </w:tcBorders>
                  <w:vAlign w:val="center"/>
                </w:tcPr>
                <w:p>
                  <w:pPr>
                    <w:snapToGrid w:val="0"/>
                    <w:jc w:val="center"/>
                    <w:rPr>
                      <w:szCs w:val="21"/>
                    </w:rPr>
                  </w:pPr>
                  <w:r>
                    <w:rPr>
                      <w:rFonts w:hint="eastAsia"/>
                      <w:szCs w:val="21"/>
                    </w:rPr>
                    <w:t>1套</w:t>
                  </w:r>
                </w:p>
              </w:tc>
              <w:tc>
                <w:tcPr>
                  <w:tcW w:w="1277" w:type="dxa"/>
                  <w:tcBorders>
                    <w:top w:val="single" w:color="auto" w:sz="6" w:space="0"/>
                    <w:left w:val="single" w:color="auto" w:sz="6" w:space="0"/>
                    <w:bottom w:val="single" w:color="auto" w:sz="6" w:space="0"/>
                    <w:right w:val="nil"/>
                  </w:tcBorders>
                  <w:vAlign w:val="center"/>
                </w:tcPr>
                <w:p>
                  <w:pPr>
                    <w:snapToGrid w:val="0"/>
                    <w:jc w:val="center"/>
                    <w:rPr>
                      <w:szCs w:val="21"/>
                    </w:rPr>
                  </w:pPr>
                  <w:r>
                    <w:rPr>
                      <w:rFonts w:hint="eastAsia"/>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0" w:hRule="atLeast"/>
                <w:jc w:val="center"/>
              </w:trPr>
              <w:tc>
                <w:tcPr>
                  <w:tcW w:w="1092" w:type="dxa"/>
                  <w:vMerge w:val="restart"/>
                  <w:tcBorders>
                    <w:top w:val="single" w:color="auto" w:sz="6" w:space="0"/>
                    <w:left w:val="nil"/>
                    <w:right w:val="single" w:color="auto" w:sz="4" w:space="0"/>
                  </w:tcBorders>
                  <w:vAlign w:val="center"/>
                </w:tcPr>
                <w:p>
                  <w:pPr>
                    <w:snapToGrid w:val="0"/>
                    <w:jc w:val="center"/>
                    <w:rPr>
                      <w:szCs w:val="21"/>
                    </w:rPr>
                  </w:pPr>
                  <w:r>
                    <w:rPr>
                      <w:rFonts w:hint="eastAsia"/>
                      <w:szCs w:val="21"/>
                    </w:rPr>
                    <w:t>噪声</w:t>
                  </w:r>
                </w:p>
              </w:tc>
              <w:tc>
                <w:tcPr>
                  <w:tcW w:w="1463" w:type="dxa"/>
                  <w:tcBorders>
                    <w:top w:val="single" w:color="auto" w:sz="6" w:space="0"/>
                    <w:left w:val="single" w:color="auto" w:sz="4" w:space="0"/>
                    <w:bottom w:val="single" w:color="auto" w:sz="6" w:space="0"/>
                    <w:right w:val="single" w:color="auto" w:sz="6" w:space="0"/>
                  </w:tcBorders>
                  <w:vAlign w:val="center"/>
                </w:tcPr>
                <w:p>
                  <w:pPr>
                    <w:snapToGrid w:val="0"/>
                    <w:jc w:val="center"/>
                    <w:rPr>
                      <w:szCs w:val="21"/>
                    </w:rPr>
                  </w:pPr>
                  <w:r>
                    <w:rPr>
                      <w:rFonts w:hint="eastAsia"/>
                      <w:szCs w:val="21"/>
                    </w:rPr>
                    <w:t>污水站设备噪声</w:t>
                  </w:r>
                </w:p>
              </w:tc>
              <w:tc>
                <w:tcPr>
                  <w:tcW w:w="2287" w:type="dxa"/>
                  <w:tcBorders>
                    <w:top w:val="single" w:color="auto" w:sz="6" w:space="0"/>
                    <w:left w:val="single" w:color="auto" w:sz="6" w:space="0"/>
                    <w:bottom w:val="single" w:color="auto" w:sz="6" w:space="0"/>
                    <w:right w:val="single" w:color="auto" w:sz="4" w:space="0"/>
                  </w:tcBorders>
                  <w:vAlign w:val="center"/>
                </w:tcPr>
                <w:p>
                  <w:pPr>
                    <w:snapToGrid w:val="0"/>
                    <w:jc w:val="center"/>
                    <w:rPr>
                      <w:szCs w:val="21"/>
                    </w:rPr>
                  </w:pPr>
                  <w:r>
                    <w:rPr>
                      <w:rFonts w:hint="eastAsia"/>
                      <w:szCs w:val="21"/>
                    </w:rPr>
                    <w:t>减震、隔声、消声</w:t>
                  </w:r>
                </w:p>
              </w:tc>
              <w:tc>
                <w:tcPr>
                  <w:tcW w:w="1415" w:type="dxa"/>
                  <w:tcBorders>
                    <w:top w:val="single" w:color="auto" w:sz="6" w:space="0"/>
                    <w:left w:val="single" w:color="auto" w:sz="4" w:space="0"/>
                    <w:bottom w:val="single" w:color="auto" w:sz="6" w:space="0"/>
                    <w:right w:val="single" w:color="auto" w:sz="6" w:space="0"/>
                  </w:tcBorders>
                  <w:vAlign w:val="center"/>
                </w:tcPr>
                <w:p>
                  <w:pPr>
                    <w:snapToGrid w:val="0"/>
                    <w:jc w:val="center"/>
                    <w:rPr>
                      <w:szCs w:val="21"/>
                    </w:rPr>
                  </w:pPr>
                  <w:r>
                    <w:rPr>
                      <w:rFonts w:hint="eastAsia"/>
                      <w:szCs w:val="21"/>
                    </w:rPr>
                    <w:t>处理设备</w:t>
                  </w:r>
                </w:p>
              </w:tc>
              <w:tc>
                <w:tcPr>
                  <w:tcW w:w="772" w:type="dxa"/>
                  <w:tcBorders>
                    <w:top w:val="single" w:color="auto" w:sz="6" w:space="0"/>
                    <w:left w:val="single" w:color="auto" w:sz="6" w:space="0"/>
                    <w:bottom w:val="single" w:color="auto" w:sz="6" w:space="0"/>
                    <w:right w:val="single" w:color="auto" w:sz="6" w:space="0"/>
                  </w:tcBorders>
                  <w:vAlign w:val="center"/>
                </w:tcPr>
                <w:p>
                  <w:pPr>
                    <w:snapToGrid w:val="0"/>
                    <w:jc w:val="center"/>
                    <w:rPr>
                      <w:szCs w:val="21"/>
                    </w:rPr>
                  </w:pPr>
                  <w:r>
                    <w:rPr>
                      <w:szCs w:val="21"/>
                    </w:rPr>
                    <w:t>/</w:t>
                  </w:r>
                </w:p>
              </w:tc>
              <w:tc>
                <w:tcPr>
                  <w:tcW w:w="1277" w:type="dxa"/>
                  <w:tcBorders>
                    <w:top w:val="single" w:color="auto" w:sz="6" w:space="0"/>
                    <w:left w:val="single" w:color="auto" w:sz="6" w:space="0"/>
                    <w:bottom w:val="single" w:color="auto" w:sz="6" w:space="0"/>
                    <w:right w:val="nil"/>
                  </w:tcBorders>
                  <w:vAlign w:val="center"/>
                </w:tcPr>
                <w:p>
                  <w:pPr>
                    <w:snapToGrid w:val="0"/>
                    <w:jc w:val="center"/>
                    <w:rPr>
                      <w:szCs w:val="21"/>
                    </w:rPr>
                  </w:pPr>
                  <w:r>
                    <w:rPr>
                      <w:rFonts w:hint="eastAsia"/>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0" w:hRule="atLeast"/>
                <w:jc w:val="center"/>
              </w:trPr>
              <w:tc>
                <w:tcPr>
                  <w:tcW w:w="1092" w:type="dxa"/>
                  <w:vMerge w:val="continue"/>
                  <w:tcBorders>
                    <w:left w:val="nil"/>
                    <w:bottom w:val="single" w:color="auto" w:sz="6" w:space="0"/>
                    <w:right w:val="single" w:color="auto" w:sz="4" w:space="0"/>
                  </w:tcBorders>
                  <w:vAlign w:val="center"/>
                </w:tcPr>
                <w:p>
                  <w:pPr>
                    <w:snapToGrid w:val="0"/>
                    <w:jc w:val="center"/>
                    <w:rPr>
                      <w:szCs w:val="21"/>
                    </w:rPr>
                  </w:pPr>
                </w:p>
              </w:tc>
              <w:tc>
                <w:tcPr>
                  <w:tcW w:w="1463" w:type="dxa"/>
                  <w:tcBorders>
                    <w:top w:val="single" w:color="auto" w:sz="6" w:space="0"/>
                    <w:left w:val="single" w:color="auto" w:sz="4" w:space="0"/>
                    <w:bottom w:val="single" w:color="auto" w:sz="6" w:space="0"/>
                    <w:right w:val="single" w:color="auto" w:sz="6" w:space="0"/>
                  </w:tcBorders>
                  <w:vAlign w:val="center"/>
                </w:tcPr>
                <w:p>
                  <w:pPr>
                    <w:snapToGrid w:val="0"/>
                    <w:jc w:val="center"/>
                    <w:rPr>
                      <w:szCs w:val="21"/>
                    </w:rPr>
                  </w:pPr>
                  <w:r>
                    <w:rPr>
                      <w:rFonts w:hint="eastAsia"/>
                      <w:szCs w:val="21"/>
                    </w:rPr>
                    <w:t>车辆交通噪声</w:t>
                  </w:r>
                </w:p>
              </w:tc>
              <w:tc>
                <w:tcPr>
                  <w:tcW w:w="2287" w:type="dxa"/>
                  <w:tcBorders>
                    <w:top w:val="single" w:color="auto" w:sz="6" w:space="0"/>
                    <w:left w:val="single" w:color="auto" w:sz="6" w:space="0"/>
                    <w:bottom w:val="single" w:color="auto" w:sz="6" w:space="0"/>
                    <w:right w:val="single" w:color="auto" w:sz="4" w:space="0"/>
                  </w:tcBorders>
                  <w:vAlign w:val="center"/>
                </w:tcPr>
                <w:p>
                  <w:pPr>
                    <w:snapToGrid w:val="0"/>
                    <w:jc w:val="center"/>
                    <w:rPr>
                      <w:szCs w:val="21"/>
                    </w:rPr>
                  </w:pPr>
                  <w:r>
                    <w:rPr>
                      <w:rFonts w:hint="eastAsia"/>
                      <w:szCs w:val="21"/>
                    </w:rPr>
                    <w:t>禁鸣标志、超速监控设施</w:t>
                  </w:r>
                </w:p>
              </w:tc>
              <w:tc>
                <w:tcPr>
                  <w:tcW w:w="1415" w:type="dxa"/>
                  <w:tcBorders>
                    <w:top w:val="single" w:color="auto" w:sz="6" w:space="0"/>
                    <w:left w:val="single" w:color="auto" w:sz="4" w:space="0"/>
                    <w:bottom w:val="single" w:color="auto" w:sz="6" w:space="0"/>
                    <w:right w:val="single" w:color="auto" w:sz="6" w:space="0"/>
                  </w:tcBorders>
                  <w:vAlign w:val="center"/>
                </w:tcPr>
                <w:p>
                  <w:pPr>
                    <w:snapToGrid w:val="0"/>
                    <w:jc w:val="center"/>
                    <w:rPr>
                      <w:szCs w:val="21"/>
                    </w:rPr>
                  </w:pPr>
                  <w:r>
                    <w:rPr>
                      <w:rFonts w:hint="eastAsia"/>
                      <w:szCs w:val="21"/>
                    </w:rPr>
                    <w:t>街道</w:t>
                  </w:r>
                </w:p>
              </w:tc>
              <w:tc>
                <w:tcPr>
                  <w:tcW w:w="772" w:type="dxa"/>
                  <w:tcBorders>
                    <w:top w:val="single" w:color="auto" w:sz="6" w:space="0"/>
                    <w:left w:val="single" w:color="auto" w:sz="6" w:space="0"/>
                    <w:bottom w:val="single" w:color="auto" w:sz="6" w:space="0"/>
                    <w:right w:val="single" w:color="auto" w:sz="6" w:space="0"/>
                  </w:tcBorders>
                  <w:vAlign w:val="center"/>
                </w:tcPr>
                <w:p>
                  <w:pPr>
                    <w:snapToGrid w:val="0"/>
                    <w:jc w:val="center"/>
                    <w:rPr>
                      <w:szCs w:val="21"/>
                    </w:rPr>
                  </w:pPr>
                  <w:r>
                    <w:rPr>
                      <w:rFonts w:hint="eastAsia"/>
                      <w:szCs w:val="21"/>
                    </w:rPr>
                    <w:t>/</w:t>
                  </w:r>
                </w:p>
              </w:tc>
              <w:tc>
                <w:tcPr>
                  <w:tcW w:w="1277" w:type="dxa"/>
                  <w:tcBorders>
                    <w:top w:val="single" w:color="auto" w:sz="6" w:space="0"/>
                    <w:left w:val="single" w:color="auto" w:sz="6" w:space="0"/>
                    <w:bottom w:val="single" w:color="auto" w:sz="6" w:space="0"/>
                    <w:right w:val="nil"/>
                  </w:tcBorders>
                  <w:vAlign w:val="center"/>
                </w:tcPr>
                <w:p>
                  <w:pPr>
                    <w:snapToGrid w:val="0"/>
                    <w:jc w:val="center"/>
                    <w:rPr>
                      <w:szCs w:val="21"/>
                    </w:rPr>
                  </w:pPr>
                  <w:r>
                    <w:rPr>
                      <w:rFonts w:hint="eastAsia"/>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2" w:hRule="atLeast"/>
                <w:jc w:val="center"/>
              </w:trPr>
              <w:tc>
                <w:tcPr>
                  <w:tcW w:w="1092" w:type="dxa"/>
                  <w:vMerge w:val="restart"/>
                  <w:tcBorders>
                    <w:top w:val="single" w:color="auto" w:sz="6" w:space="0"/>
                    <w:left w:val="nil"/>
                    <w:right w:val="single" w:color="auto" w:sz="4" w:space="0"/>
                  </w:tcBorders>
                  <w:vAlign w:val="center"/>
                </w:tcPr>
                <w:p>
                  <w:pPr>
                    <w:snapToGrid w:val="0"/>
                    <w:jc w:val="center"/>
                    <w:rPr>
                      <w:szCs w:val="21"/>
                    </w:rPr>
                  </w:pPr>
                  <w:r>
                    <w:rPr>
                      <w:rFonts w:hint="eastAsia"/>
                      <w:szCs w:val="21"/>
                    </w:rPr>
                    <w:t>固体废物</w:t>
                  </w:r>
                </w:p>
              </w:tc>
              <w:tc>
                <w:tcPr>
                  <w:tcW w:w="1463" w:type="dxa"/>
                  <w:vMerge w:val="restart"/>
                  <w:tcBorders>
                    <w:top w:val="single" w:color="auto" w:sz="6" w:space="0"/>
                    <w:left w:val="single" w:color="auto" w:sz="4" w:space="0"/>
                    <w:right w:val="single" w:color="auto" w:sz="6" w:space="0"/>
                  </w:tcBorders>
                  <w:vAlign w:val="center"/>
                </w:tcPr>
                <w:p>
                  <w:pPr>
                    <w:snapToGrid w:val="0"/>
                    <w:jc w:val="center"/>
                    <w:rPr>
                      <w:szCs w:val="21"/>
                    </w:rPr>
                  </w:pPr>
                  <w:r>
                    <w:rPr>
                      <w:rFonts w:hint="eastAsia"/>
                      <w:szCs w:val="21"/>
                    </w:rPr>
                    <w:t>污泥</w:t>
                  </w:r>
                </w:p>
              </w:tc>
              <w:tc>
                <w:tcPr>
                  <w:tcW w:w="2287" w:type="dxa"/>
                  <w:tcBorders>
                    <w:top w:val="single" w:color="auto" w:sz="6" w:space="0"/>
                    <w:left w:val="single" w:color="auto" w:sz="6" w:space="0"/>
                    <w:bottom w:val="single" w:color="auto" w:sz="6" w:space="0"/>
                    <w:right w:val="single" w:color="auto" w:sz="4" w:space="0"/>
                  </w:tcBorders>
                  <w:vAlign w:val="center"/>
                </w:tcPr>
                <w:p>
                  <w:pPr>
                    <w:snapToGrid w:val="0"/>
                    <w:jc w:val="center"/>
                    <w:rPr>
                      <w:szCs w:val="21"/>
                    </w:rPr>
                  </w:pPr>
                  <w:r>
                    <w:rPr>
                      <w:rFonts w:hint="eastAsia"/>
                      <w:szCs w:val="21"/>
                    </w:rPr>
                    <w:t>污泥处置费用</w:t>
                  </w:r>
                </w:p>
              </w:tc>
              <w:tc>
                <w:tcPr>
                  <w:tcW w:w="1415" w:type="dxa"/>
                  <w:tcBorders>
                    <w:top w:val="single" w:color="auto" w:sz="6" w:space="0"/>
                    <w:left w:val="single" w:color="auto" w:sz="4" w:space="0"/>
                    <w:bottom w:val="single" w:color="auto" w:sz="6" w:space="0"/>
                    <w:right w:val="single" w:color="auto" w:sz="6" w:space="0"/>
                  </w:tcBorders>
                  <w:vAlign w:val="center"/>
                </w:tcPr>
                <w:p>
                  <w:pPr>
                    <w:snapToGrid w:val="0"/>
                    <w:jc w:val="center"/>
                    <w:rPr>
                      <w:szCs w:val="21"/>
                    </w:rPr>
                  </w:pPr>
                  <w:r>
                    <w:rPr>
                      <w:rFonts w:hint="eastAsia"/>
                      <w:szCs w:val="21"/>
                    </w:rPr>
                    <w:t>储泥池</w:t>
                  </w:r>
                </w:p>
              </w:tc>
              <w:tc>
                <w:tcPr>
                  <w:tcW w:w="772" w:type="dxa"/>
                  <w:tcBorders>
                    <w:top w:val="single" w:color="auto" w:sz="6" w:space="0"/>
                    <w:left w:val="single" w:color="auto" w:sz="6" w:space="0"/>
                    <w:bottom w:val="single" w:color="auto" w:sz="6" w:space="0"/>
                    <w:right w:val="single" w:color="auto" w:sz="6" w:space="0"/>
                  </w:tcBorders>
                  <w:vAlign w:val="center"/>
                </w:tcPr>
                <w:p>
                  <w:pPr>
                    <w:snapToGrid w:val="0"/>
                    <w:jc w:val="center"/>
                    <w:rPr>
                      <w:szCs w:val="21"/>
                    </w:rPr>
                  </w:pPr>
                  <w:r>
                    <w:rPr>
                      <w:rFonts w:hint="eastAsia"/>
                      <w:szCs w:val="21"/>
                    </w:rPr>
                    <w:t>/</w:t>
                  </w:r>
                </w:p>
              </w:tc>
              <w:tc>
                <w:tcPr>
                  <w:tcW w:w="1277" w:type="dxa"/>
                  <w:tcBorders>
                    <w:top w:val="single" w:color="auto" w:sz="6" w:space="0"/>
                    <w:left w:val="single" w:color="auto" w:sz="6" w:space="0"/>
                    <w:bottom w:val="single" w:color="auto" w:sz="6" w:space="0"/>
                    <w:right w:val="nil"/>
                  </w:tcBorders>
                  <w:vAlign w:val="center"/>
                </w:tcPr>
                <w:p>
                  <w:pPr>
                    <w:snapToGrid w:val="0"/>
                    <w:jc w:val="center"/>
                    <w:rPr>
                      <w:szCs w:val="21"/>
                    </w:rPr>
                  </w:pPr>
                  <w:r>
                    <w:rPr>
                      <w:rFonts w:hint="eastAsia"/>
                      <w:szCs w:val="21"/>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2" w:hRule="atLeast"/>
                <w:jc w:val="center"/>
              </w:trPr>
              <w:tc>
                <w:tcPr>
                  <w:tcW w:w="1092" w:type="dxa"/>
                  <w:vMerge w:val="continue"/>
                  <w:tcBorders>
                    <w:left w:val="nil"/>
                    <w:right w:val="single" w:color="auto" w:sz="4" w:space="0"/>
                  </w:tcBorders>
                  <w:vAlign w:val="center"/>
                </w:tcPr>
                <w:p>
                  <w:pPr>
                    <w:snapToGrid w:val="0"/>
                    <w:jc w:val="center"/>
                    <w:rPr>
                      <w:szCs w:val="21"/>
                    </w:rPr>
                  </w:pPr>
                </w:p>
              </w:tc>
              <w:tc>
                <w:tcPr>
                  <w:tcW w:w="1463" w:type="dxa"/>
                  <w:vMerge w:val="continue"/>
                  <w:tcBorders>
                    <w:left w:val="single" w:color="auto" w:sz="4" w:space="0"/>
                    <w:bottom w:val="single" w:color="auto" w:sz="4" w:space="0"/>
                    <w:right w:val="single" w:color="auto" w:sz="6" w:space="0"/>
                  </w:tcBorders>
                  <w:vAlign w:val="center"/>
                </w:tcPr>
                <w:p>
                  <w:pPr>
                    <w:snapToGrid w:val="0"/>
                    <w:jc w:val="center"/>
                    <w:rPr>
                      <w:szCs w:val="21"/>
                    </w:rPr>
                  </w:pPr>
                </w:p>
              </w:tc>
              <w:tc>
                <w:tcPr>
                  <w:tcW w:w="2287" w:type="dxa"/>
                  <w:tcBorders>
                    <w:top w:val="single" w:color="auto" w:sz="6" w:space="0"/>
                    <w:left w:val="single" w:color="auto" w:sz="6" w:space="0"/>
                    <w:bottom w:val="single" w:color="auto" w:sz="6" w:space="0"/>
                    <w:right w:val="single" w:color="auto" w:sz="4" w:space="0"/>
                  </w:tcBorders>
                  <w:vAlign w:val="center"/>
                </w:tcPr>
                <w:p>
                  <w:pPr>
                    <w:snapToGrid w:val="0"/>
                    <w:jc w:val="center"/>
                    <w:rPr>
                      <w:szCs w:val="21"/>
                    </w:rPr>
                  </w:pPr>
                  <w:r>
                    <w:rPr>
                      <w:rFonts w:hint="eastAsia"/>
                      <w:szCs w:val="21"/>
                    </w:rPr>
                    <w:t>委托处理费用</w:t>
                  </w:r>
                </w:p>
              </w:tc>
              <w:tc>
                <w:tcPr>
                  <w:tcW w:w="1415" w:type="dxa"/>
                  <w:tcBorders>
                    <w:top w:val="single" w:color="auto" w:sz="6" w:space="0"/>
                    <w:left w:val="single" w:color="auto" w:sz="4" w:space="0"/>
                    <w:bottom w:val="single" w:color="auto" w:sz="6" w:space="0"/>
                    <w:right w:val="single" w:color="auto" w:sz="6" w:space="0"/>
                  </w:tcBorders>
                  <w:vAlign w:val="center"/>
                </w:tcPr>
                <w:p>
                  <w:pPr>
                    <w:snapToGrid w:val="0"/>
                    <w:jc w:val="center"/>
                    <w:rPr>
                      <w:szCs w:val="21"/>
                    </w:rPr>
                  </w:pPr>
                  <w:r>
                    <w:rPr>
                      <w:rFonts w:hint="eastAsia"/>
                      <w:szCs w:val="21"/>
                    </w:rPr>
                    <w:t>储泥池区域</w:t>
                  </w:r>
                </w:p>
              </w:tc>
              <w:tc>
                <w:tcPr>
                  <w:tcW w:w="772" w:type="dxa"/>
                  <w:tcBorders>
                    <w:top w:val="single" w:color="auto" w:sz="6" w:space="0"/>
                    <w:left w:val="single" w:color="auto" w:sz="6" w:space="0"/>
                    <w:bottom w:val="single" w:color="auto" w:sz="6" w:space="0"/>
                    <w:right w:val="single" w:color="auto" w:sz="6" w:space="0"/>
                  </w:tcBorders>
                  <w:vAlign w:val="center"/>
                </w:tcPr>
                <w:p>
                  <w:pPr>
                    <w:snapToGrid w:val="0"/>
                    <w:jc w:val="center"/>
                    <w:rPr>
                      <w:szCs w:val="21"/>
                    </w:rPr>
                  </w:pPr>
                  <w:r>
                    <w:rPr>
                      <w:rFonts w:hint="eastAsia"/>
                      <w:szCs w:val="21"/>
                    </w:rPr>
                    <w:t>/</w:t>
                  </w:r>
                </w:p>
              </w:tc>
              <w:tc>
                <w:tcPr>
                  <w:tcW w:w="1277" w:type="dxa"/>
                  <w:tcBorders>
                    <w:top w:val="single" w:color="auto" w:sz="6" w:space="0"/>
                    <w:left w:val="single" w:color="auto" w:sz="6" w:space="0"/>
                    <w:bottom w:val="single" w:color="auto" w:sz="6" w:space="0"/>
                    <w:right w:val="nil"/>
                  </w:tcBorders>
                  <w:vAlign w:val="center"/>
                </w:tcPr>
                <w:p>
                  <w:pPr>
                    <w:snapToGrid w:val="0"/>
                    <w:jc w:val="center"/>
                    <w:rPr>
                      <w:szCs w:val="21"/>
                    </w:rPr>
                  </w:pPr>
                  <w:r>
                    <w:rPr>
                      <w:rFonts w:hint="eastAsia"/>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2" w:hRule="atLeast"/>
                <w:jc w:val="center"/>
              </w:trPr>
              <w:tc>
                <w:tcPr>
                  <w:tcW w:w="1092" w:type="dxa"/>
                  <w:vMerge w:val="continue"/>
                  <w:tcBorders>
                    <w:left w:val="nil"/>
                    <w:bottom w:val="single" w:color="auto" w:sz="6" w:space="0"/>
                    <w:right w:val="single" w:color="auto" w:sz="4" w:space="0"/>
                  </w:tcBorders>
                  <w:vAlign w:val="center"/>
                </w:tcPr>
                <w:p>
                  <w:pPr>
                    <w:snapToGrid w:val="0"/>
                    <w:jc w:val="center"/>
                    <w:rPr>
                      <w:szCs w:val="21"/>
                    </w:rPr>
                  </w:pPr>
                </w:p>
              </w:tc>
              <w:tc>
                <w:tcPr>
                  <w:tcW w:w="1463" w:type="dxa"/>
                  <w:tcBorders>
                    <w:left w:val="single" w:color="auto" w:sz="4" w:space="0"/>
                    <w:bottom w:val="single" w:color="auto" w:sz="4" w:space="0"/>
                    <w:right w:val="single" w:color="auto" w:sz="6" w:space="0"/>
                  </w:tcBorders>
                  <w:vAlign w:val="center"/>
                </w:tcPr>
                <w:p>
                  <w:pPr>
                    <w:snapToGrid w:val="0"/>
                    <w:jc w:val="center"/>
                    <w:rPr>
                      <w:szCs w:val="21"/>
                    </w:rPr>
                  </w:pPr>
                  <w:r>
                    <w:rPr>
                      <w:rFonts w:hint="eastAsia"/>
                      <w:szCs w:val="21"/>
                    </w:rPr>
                    <w:t>其他固废</w:t>
                  </w:r>
                </w:p>
              </w:tc>
              <w:tc>
                <w:tcPr>
                  <w:tcW w:w="2287" w:type="dxa"/>
                  <w:tcBorders>
                    <w:top w:val="single" w:color="auto" w:sz="6" w:space="0"/>
                    <w:left w:val="single" w:color="auto" w:sz="6" w:space="0"/>
                    <w:bottom w:val="single" w:color="auto" w:sz="6" w:space="0"/>
                    <w:right w:val="single" w:color="auto" w:sz="4" w:space="0"/>
                  </w:tcBorders>
                  <w:vAlign w:val="center"/>
                </w:tcPr>
                <w:p>
                  <w:pPr>
                    <w:snapToGrid w:val="0"/>
                    <w:jc w:val="center"/>
                    <w:rPr>
                      <w:szCs w:val="21"/>
                    </w:rPr>
                  </w:pPr>
                  <w:r>
                    <w:rPr>
                      <w:rFonts w:hint="eastAsia"/>
                      <w:szCs w:val="21"/>
                    </w:rPr>
                    <w:t>清理费用</w:t>
                  </w:r>
                </w:p>
              </w:tc>
              <w:tc>
                <w:tcPr>
                  <w:tcW w:w="1415" w:type="dxa"/>
                  <w:tcBorders>
                    <w:top w:val="single" w:color="auto" w:sz="6" w:space="0"/>
                    <w:left w:val="single" w:color="auto" w:sz="4" w:space="0"/>
                    <w:bottom w:val="single" w:color="auto" w:sz="6" w:space="0"/>
                    <w:right w:val="single" w:color="auto" w:sz="6" w:space="0"/>
                  </w:tcBorders>
                  <w:vAlign w:val="center"/>
                </w:tcPr>
                <w:p>
                  <w:pPr>
                    <w:snapToGrid w:val="0"/>
                    <w:jc w:val="center"/>
                    <w:rPr>
                      <w:szCs w:val="21"/>
                    </w:rPr>
                  </w:pPr>
                  <w:r>
                    <w:rPr>
                      <w:rFonts w:hint="eastAsia"/>
                      <w:szCs w:val="21"/>
                    </w:rPr>
                    <w:t>街道、广场、管网</w:t>
                  </w:r>
                </w:p>
              </w:tc>
              <w:tc>
                <w:tcPr>
                  <w:tcW w:w="772" w:type="dxa"/>
                  <w:tcBorders>
                    <w:top w:val="single" w:color="auto" w:sz="6" w:space="0"/>
                    <w:left w:val="single" w:color="auto" w:sz="6" w:space="0"/>
                    <w:bottom w:val="single" w:color="auto" w:sz="6" w:space="0"/>
                    <w:right w:val="single" w:color="auto" w:sz="6" w:space="0"/>
                  </w:tcBorders>
                  <w:vAlign w:val="center"/>
                </w:tcPr>
                <w:p>
                  <w:pPr>
                    <w:snapToGrid w:val="0"/>
                    <w:jc w:val="center"/>
                    <w:rPr>
                      <w:szCs w:val="21"/>
                    </w:rPr>
                  </w:pPr>
                  <w:r>
                    <w:rPr>
                      <w:rFonts w:hint="eastAsia"/>
                      <w:szCs w:val="21"/>
                    </w:rPr>
                    <w:t>/</w:t>
                  </w:r>
                </w:p>
              </w:tc>
              <w:tc>
                <w:tcPr>
                  <w:tcW w:w="1277" w:type="dxa"/>
                  <w:tcBorders>
                    <w:top w:val="single" w:color="auto" w:sz="6" w:space="0"/>
                    <w:left w:val="single" w:color="auto" w:sz="6" w:space="0"/>
                    <w:bottom w:val="single" w:color="auto" w:sz="6" w:space="0"/>
                    <w:right w:val="nil"/>
                  </w:tcBorders>
                  <w:vAlign w:val="center"/>
                </w:tcPr>
                <w:p>
                  <w:pPr>
                    <w:snapToGrid w:val="0"/>
                    <w:jc w:val="center"/>
                    <w:rPr>
                      <w:szCs w:val="21"/>
                    </w:rPr>
                  </w:pPr>
                  <w:r>
                    <w:rPr>
                      <w:rFonts w:hint="eastAsia"/>
                      <w:szCs w:val="21"/>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2" w:hRule="atLeast"/>
                <w:jc w:val="center"/>
              </w:trPr>
              <w:tc>
                <w:tcPr>
                  <w:tcW w:w="1092" w:type="dxa"/>
                  <w:tcBorders>
                    <w:top w:val="single" w:color="auto" w:sz="6" w:space="0"/>
                    <w:left w:val="nil"/>
                    <w:bottom w:val="single" w:color="auto" w:sz="6" w:space="0"/>
                    <w:right w:val="single" w:color="auto" w:sz="4" w:space="0"/>
                  </w:tcBorders>
                  <w:vAlign w:val="center"/>
                </w:tcPr>
                <w:p>
                  <w:pPr>
                    <w:snapToGrid w:val="0"/>
                    <w:jc w:val="center"/>
                    <w:rPr>
                      <w:szCs w:val="21"/>
                    </w:rPr>
                  </w:pPr>
                  <w:r>
                    <w:rPr>
                      <w:rFonts w:hint="eastAsia"/>
                      <w:szCs w:val="21"/>
                    </w:rPr>
                    <w:t>风险</w:t>
                  </w:r>
                </w:p>
              </w:tc>
              <w:tc>
                <w:tcPr>
                  <w:tcW w:w="1463" w:type="dxa"/>
                  <w:tcBorders>
                    <w:top w:val="single" w:color="auto" w:sz="6" w:space="0"/>
                    <w:left w:val="single" w:color="auto" w:sz="4" w:space="0"/>
                    <w:bottom w:val="single" w:color="auto" w:sz="4" w:space="0"/>
                    <w:right w:val="single" w:color="auto" w:sz="6" w:space="0"/>
                  </w:tcBorders>
                  <w:vAlign w:val="center"/>
                </w:tcPr>
                <w:p>
                  <w:pPr>
                    <w:snapToGrid w:val="0"/>
                    <w:jc w:val="center"/>
                    <w:rPr>
                      <w:szCs w:val="21"/>
                    </w:rPr>
                  </w:pPr>
                  <w:r>
                    <w:rPr>
                      <w:rFonts w:hint="eastAsia"/>
                      <w:szCs w:val="21"/>
                    </w:rPr>
                    <w:t>事故风险</w:t>
                  </w:r>
                </w:p>
              </w:tc>
              <w:tc>
                <w:tcPr>
                  <w:tcW w:w="2287" w:type="dxa"/>
                  <w:tcBorders>
                    <w:top w:val="single" w:color="auto" w:sz="6" w:space="0"/>
                    <w:left w:val="single" w:color="auto" w:sz="6" w:space="0"/>
                    <w:bottom w:val="single" w:color="auto" w:sz="6" w:space="0"/>
                    <w:right w:val="single" w:color="auto" w:sz="4" w:space="0"/>
                  </w:tcBorders>
                  <w:vAlign w:val="center"/>
                </w:tcPr>
                <w:p>
                  <w:pPr>
                    <w:snapToGrid w:val="0"/>
                    <w:jc w:val="center"/>
                    <w:rPr>
                      <w:szCs w:val="21"/>
                    </w:rPr>
                  </w:pPr>
                  <w:r>
                    <w:rPr>
                      <w:rFonts w:hint="eastAsia"/>
                      <w:szCs w:val="21"/>
                    </w:rPr>
                    <w:t>事故罐（25m</w:t>
                  </w:r>
                  <w:r>
                    <w:rPr>
                      <w:rFonts w:hint="eastAsia"/>
                      <w:szCs w:val="21"/>
                      <w:vertAlign w:val="superscript"/>
                    </w:rPr>
                    <w:t>3</w:t>
                  </w:r>
                  <w:r>
                    <w:rPr>
                      <w:rFonts w:hint="eastAsia"/>
                      <w:szCs w:val="21"/>
                    </w:rPr>
                    <w:t>、防渗）</w:t>
                  </w:r>
                </w:p>
              </w:tc>
              <w:tc>
                <w:tcPr>
                  <w:tcW w:w="1415" w:type="dxa"/>
                  <w:tcBorders>
                    <w:top w:val="single" w:color="auto" w:sz="6" w:space="0"/>
                    <w:left w:val="single" w:color="auto" w:sz="4" w:space="0"/>
                    <w:bottom w:val="single" w:color="auto" w:sz="6" w:space="0"/>
                    <w:right w:val="single" w:color="auto" w:sz="6" w:space="0"/>
                  </w:tcBorders>
                  <w:vAlign w:val="center"/>
                </w:tcPr>
                <w:p>
                  <w:pPr>
                    <w:snapToGrid w:val="0"/>
                    <w:jc w:val="center"/>
                    <w:rPr>
                      <w:szCs w:val="21"/>
                    </w:rPr>
                  </w:pPr>
                  <w:r>
                    <w:rPr>
                      <w:rFonts w:hint="eastAsia"/>
                      <w:szCs w:val="21"/>
                    </w:rPr>
                    <w:t>生产区</w:t>
                  </w:r>
                </w:p>
              </w:tc>
              <w:tc>
                <w:tcPr>
                  <w:tcW w:w="772" w:type="dxa"/>
                  <w:tcBorders>
                    <w:top w:val="single" w:color="auto" w:sz="6" w:space="0"/>
                    <w:left w:val="single" w:color="auto" w:sz="6" w:space="0"/>
                    <w:bottom w:val="single" w:color="auto" w:sz="6" w:space="0"/>
                    <w:right w:val="single" w:color="auto" w:sz="6" w:space="0"/>
                  </w:tcBorders>
                  <w:vAlign w:val="center"/>
                </w:tcPr>
                <w:p>
                  <w:pPr>
                    <w:snapToGrid w:val="0"/>
                    <w:jc w:val="center"/>
                    <w:rPr>
                      <w:szCs w:val="21"/>
                    </w:rPr>
                  </w:pPr>
                  <w:r>
                    <w:rPr>
                      <w:rFonts w:hint="eastAsia"/>
                      <w:szCs w:val="21"/>
                    </w:rPr>
                    <w:t>1具</w:t>
                  </w:r>
                </w:p>
              </w:tc>
              <w:tc>
                <w:tcPr>
                  <w:tcW w:w="1277" w:type="dxa"/>
                  <w:tcBorders>
                    <w:top w:val="single" w:color="auto" w:sz="6" w:space="0"/>
                    <w:left w:val="single" w:color="auto" w:sz="6" w:space="0"/>
                    <w:bottom w:val="single" w:color="auto" w:sz="6" w:space="0"/>
                    <w:right w:val="nil"/>
                  </w:tcBorders>
                  <w:vAlign w:val="center"/>
                </w:tcPr>
                <w:p>
                  <w:pPr>
                    <w:snapToGrid w:val="0"/>
                    <w:jc w:val="center"/>
                    <w:rPr>
                      <w:szCs w:val="21"/>
                    </w:rPr>
                  </w:pPr>
                  <w:r>
                    <w:rPr>
                      <w:rFonts w:hint="eastAsia"/>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6" w:hRule="atLeast"/>
                <w:jc w:val="center"/>
              </w:trPr>
              <w:tc>
                <w:tcPr>
                  <w:tcW w:w="2555" w:type="dxa"/>
                  <w:gridSpan w:val="2"/>
                  <w:tcBorders>
                    <w:top w:val="single" w:color="auto" w:sz="6" w:space="0"/>
                    <w:left w:val="nil"/>
                    <w:bottom w:val="single" w:color="auto" w:sz="6" w:space="0"/>
                    <w:right w:val="single" w:color="auto" w:sz="6" w:space="0"/>
                  </w:tcBorders>
                  <w:vAlign w:val="center"/>
                </w:tcPr>
                <w:p>
                  <w:pPr>
                    <w:snapToGrid w:val="0"/>
                    <w:jc w:val="center"/>
                    <w:rPr>
                      <w:szCs w:val="21"/>
                    </w:rPr>
                  </w:pPr>
                  <w:r>
                    <w:rPr>
                      <w:rFonts w:hint="eastAsia"/>
                      <w:szCs w:val="21"/>
                    </w:rPr>
                    <w:t>绿化</w:t>
                  </w:r>
                </w:p>
              </w:tc>
              <w:tc>
                <w:tcPr>
                  <w:tcW w:w="4474" w:type="dxa"/>
                  <w:gridSpan w:val="3"/>
                  <w:tcBorders>
                    <w:top w:val="single" w:color="auto" w:sz="6" w:space="0"/>
                    <w:left w:val="single" w:color="auto" w:sz="6" w:space="0"/>
                    <w:bottom w:val="single" w:color="auto" w:sz="6" w:space="0"/>
                    <w:right w:val="single" w:color="auto" w:sz="6" w:space="0"/>
                  </w:tcBorders>
                  <w:vAlign w:val="center"/>
                </w:tcPr>
                <w:p>
                  <w:pPr>
                    <w:snapToGrid w:val="0"/>
                    <w:jc w:val="center"/>
                    <w:rPr>
                      <w:szCs w:val="21"/>
                    </w:rPr>
                  </w:pPr>
                  <w:r>
                    <w:rPr>
                      <w:rFonts w:hint="eastAsia"/>
                      <w:szCs w:val="21"/>
                    </w:rPr>
                    <w:t>1387.28</w:t>
                  </w:r>
                  <w:r>
                    <w:rPr>
                      <w:szCs w:val="21"/>
                    </w:rPr>
                    <w:t>m</w:t>
                  </w:r>
                  <w:r>
                    <w:rPr>
                      <w:szCs w:val="21"/>
                      <w:vertAlign w:val="superscript"/>
                    </w:rPr>
                    <w:t>2</w:t>
                  </w:r>
                </w:p>
              </w:tc>
              <w:tc>
                <w:tcPr>
                  <w:tcW w:w="1277" w:type="dxa"/>
                  <w:tcBorders>
                    <w:top w:val="single" w:color="auto" w:sz="6" w:space="0"/>
                    <w:left w:val="single" w:color="auto" w:sz="6" w:space="0"/>
                    <w:bottom w:val="single" w:color="auto" w:sz="6" w:space="0"/>
                    <w:right w:val="nil"/>
                  </w:tcBorders>
                  <w:vAlign w:val="center"/>
                </w:tcPr>
                <w:p>
                  <w:pPr>
                    <w:snapToGrid w:val="0"/>
                    <w:jc w:val="center"/>
                    <w:rPr>
                      <w:szCs w:val="21"/>
                    </w:rPr>
                  </w:pPr>
                  <w:r>
                    <w:rPr>
                      <w:rFonts w:hint="eastAsia"/>
                      <w:szCs w:val="21"/>
                    </w:rPr>
                    <w:t>已计入工程费用</w:t>
                  </w:r>
                </w:p>
              </w:tc>
            </w:tr>
            <w:bookmarkEnd w:id="92"/>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6" w:hRule="atLeast"/>
                <w:jc w:val="center"/>
              </w:trPr>
              <w:tc>
                <w:tcPr>
                  <w:tcW w:w="2555" w:type="dxa"/>
                  <w:gridSpan w:val="2"/>
                  <w:tcBorders>
                    <w:top w:val="single" w:color="auto" w:sz="6" w:space="0"/>
                    <w:left w:val="nil"/>
                    <w:bottom w:val="single" w:color="auto" w:sz="12" w:space="0"/>
                    <w:right w:val="single" w:color="auto" w:sz="6" w:space="0"/>
                  </w:tcBorders>
                  <w:vAlign w:val="center"/>
                </w:tcPr>
                <w:p>
                  <w:pPr>
                    <w:snapToGrid w:val="0"/>
                    <w:jc w:val="center"/>
                    <w:rPr>
                      <w:szCs w:val="21"/>
                    </w:rPr>
                  </w:pPr>
                  <w:r>
                    <w:rPr>
                      <w:rFonts w:hint="eastAsia"/>
                      <w:szCs w:val="21"/>
                    </w:rPr>
                    <w:t>合计</w:t>
                  </w:r>
                </w:p>
              </w:tc>
              <w:tc>
                <w:tcPr>
                  <w:tcW w:w="4474" w:type="dxa"/>
                  <w:gridSpan w:val="3"/>
                  <w:tcBorders>
                    <w:top w:val="single" w:color="auto" w:sz="6" w:space="0"/>
                    <w:left w:val="single" w:color="auto" w:sz="6" w:space="0"/>
                    <w:bottom w:val="single" w:color="auto" w:sz="12" w:space="0"/>
                    <w:right w:val="single" w:color="auto" w:sz="6" w:space="0"/>
                  </w:tcBorders>
                  <w:vAlign w:val="center"/>
                </w:tcPr>
                <w:p>
                  <w:pPr>
                    <w:snapToGrid w:val="0"/>
                    <w:jc w:val="center"/>
                    <w:rPr>
                      <w:szCs w:val="21"/>
                    </w:rPr>
                  </w:pPr>
                  <w:r>
                    <w:rPr>
                      <w:rFonts w:hint="eastAsia"/>
                      <w:szCs w:val="21"/>
                    </w:rPr>
                    <w:t>占总投资的5.04</w:t>
                  </w:r>
                  <w:r>
                    <w:rPr>
                      <w:szCs w:val="21"/>
                    </w:rPr>
                    <w:t>%</w:t>
                  </w:r>
                </w:p>
              </w:tc>
              <w:tc>
                <w:tcPr>
                  <w:tcW w:w="1277" w:type="dxa"/>
                  <w:tcBorders>
                    <w:top w:val="single" w:color="auto" w:sz="6" w:space="0"/>
                    <w:left w:val="single" w:color="auto" w:sz="6" w:space="0"/>
                    <w:bottom w:val="single" w:color="auto" w:sz="12" w:space="0"/>
                    <w:right w:val="nil"/>
                  </w:tcBorders>
                  <w:vAlign w:val="center"/>
                </w:tcPr>
                <w:p>
                  <w:pPr>
                    <w:snapToGrid w:val="0"/>
                    <w:jc w:val="center"/>
                    <w:rPr>
                      <w:szCs w:val="21"/>
                    </w:rPr>
                  </w:pPr>
                  <w:r>
                    <w:rPr>
                      <w:rFonts w:hint="eastAsia"/>
                      <w:szCs w:val="21"/>
                    </w:rPr>
                    <w:t>44</w:t>
                  </w:r>
                </w:p>
              </w:tc>
            </w:tr>
            <w:bookmarkEnd w:id="90"/>
            <w:bookmarkEnd w:id="91"/>
          </w:tbl>
          <w:p>
            <w:pPr>
              <w:autoSpaceDE w:val="0"/>
              <w:autoSpaceDN w:val="0"/>
              <w:adjustRightInd w:val="0"/>
              <w:spacing w:line="440" w:lineRule="exact"/>
              <w:jc w:val="center"/>
              <w:rPr>
                <w:b/>
                <w:bCs/>
                <w:szCs w:val="21"/>
              </w:rPr>
            </w:pPr>
            <w:r>
              <w:rPr>
                <w:rFonts w:hint="eastAsia"/>
                <w:b/>
                <w:bCs/>
                <w:szCs w:val="21"/>
              </w:rPr>
              <w:t>表71</w:t>
            </w:r>
            <w:r>
              <w:rPr>
                <w:b/>
                <w:bCs/>
                <w:szCs w:val="21"/>
              </w:rPr>
              <w:t xml:space="preserve">     </w:t>
            </w:r>
            <w:r>
              <w:rPr>
                <w:rFonts w:hint="eastAsia"/>
                <w:b/>
                <w:bCs/>
                <w:szCs w:val="21"/>
              </w:rPr>
              <w:t>项目竣工环保验收清单表</w:t>
            </w:r>
          </w:p>
          <w:tbl>
            <w:tblPr>
              <w:tblStyle w:val="35"/>
              <w:tblW w:w="830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4"/>
              <w:gridCol w:w="569"/>
              <w:gridCol w:w="1844"/>
              <w:gridCol w:w="992"/>
              <w:gridCol w:w="1135"/>
              <w:gridCol w:w="640"/>
              <w:gridCol w:w="25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609" w:hRule="exact"/>
                <w:jc w:val="center"/>
              </w:trPr>
              <w:tc>
                <w:tcPr>
                  <w:tcW w:w="564" w:type="dxa"/>
                  <w:tcMar>
                    <w:top w:w="28" w:type="dxa"/>
                    <w:left w:w="57" w:type="dxa"/>
                    <w:bottom w:w="28" w:type="dxa"/>
                    <w:right w:w="57" w:type="dxa"/>
                  </w:tcMar>
                  <w:vAlign w:val="center"/>
                </w:tcPr>
                <w:p>
                  <w:pPr>
                    <w:snapToGrid w:val="0"/>
                    <w:jc w:val="center"/>
                    <w:rPr>
                      <w:b/>
                      <w:szCs w:val="21"/>
                    </w:rPr>
                  </w:pPr>
                  <w:r>
                    <w:rPr>
                      <w:rFonts w:hint="eastAsia"/>
                      <w:b/>
                      <w:szCs w:val="21"/>
                    </w:rPr>
                    <w:t>序号</w:t>
                  </w:r>
                </w:p>
              </w:tc>
              <w:tc>
                <w:tcPr>
                  <w:tcW w:w="569" w:type="dxa"/>
                  <w:tcMar>
                    <w:top w:w="28" w:type="dxa"/>
                    <w:left w:w="57" w:type="dxa"/>
                    <w:bottom w:w="28" w:type="dxa"/>
                    <w:right w:w="57" w:type="dxa"/>
                  </w:tcMar>
                  <w:vAlign w:val="center"/>
                </w:tcPr>
                <w:p>
                  <w:pPr>
                    <w:snapToGrid w:val="0"/>
                    <w:jc w:val="center"/>
                    <w:rPr>
                      <w:b/>
                      <w:szCs w:val="21"/>
                    </w:rPr>
                  </w:pPr>
                  <w:r>
                    <w:rPr>
                      <w:rFonts w:hint="eastAsia"/>
                      <w:b/>
                      <w:szCs w:val="21"/>
                    </w:rPr>
                    <w:t>项目</w:t>
                  </w:r>
                </w:p>
              </w:tc>
              <w:tc>
                <w:tcPr>
                  <w:tcW w:w="1844" w:type="dxa"/>
                  <w:tcMar>
                    <w:top w:w="28" w:type="dxa"/>
                    <w:left w:w="57" w:type="dxa"/>
                    <w:bottom w:w="28" w:type="dxa"/>
                    <w:right w:w="57" w:type="dxa"/>
                  </w:tcMar>
                  <w:vAlign w:val="center"/>
                </w:tcPr>
                <w:p>
                  <w:pPr>
                    <w:snapToGrid w:val="0"/>
                    <w:jc w:val="center"/>
                    <w:rPr>
                      <w:b/>
                      <w:szCs w:val="21"/>
                    </w:rPr>
                  </w:pPr>
                  <w:r>
                    <w:rPr>
                      <w:rFonts w:hint="eastAsia"/>
                      <w:b/>
                      <w:szCs w:val="21"/>
                    </w:rPr>
                    <w:t>环保设施</w:t>
                  </w:r>
                </w:p>
              </w:tc>
              <w:tc>
                <w:tcPr>
                  <w:tcW w:w="992" w:type="dxa"/>
                  <w:tcMar>
                    <w:top w:w="28" w:type="dxa"/>
                    <w:left w:w="57" w:type="dxa"/>
                    <w:bottom w:w="28" w:type="dxa"/>
                    <w:right w:w="57" w:type="dxa"/>
                  </w:tcMar>
                  <w:vAlign w:val="center"/>
                </w:tcPr>
                <w:p>
                  <w:pPr>
                    <w:snapToGrid w:val="0"/>
                    <w:jc w:val="center"/>
                    <w:rPr>
                      <w:b/>
                      <w:szCs w:val="21"/>
                    </w:rPr>
                  </w:pPr>
                  <w:r>
                    <w:rPr>
                      <w:rFonts w:hint="eastAsia"/>
                      <w:b/>
                      <w:szCs w:val="21"/>
                    </w:rPr>
                    <w:t>所在位置</w:t>
                  </w:r>
                </w:p>
              </w:tc>
              <w:tc>
                <w:tcPr>
                  <w:tcW w:w="1135" w:type="dxa"/>
                  <w:tcMar>
                    <w:top w:w="28" w:type="dxa"/>
                    <w:left w:w="57" w:type="dxa"/>
                    <w:bottom w:w="28" w:type="dxa"/>
                    <w:right w:w="57" w:type="dxa"/>
                  </w:tcMar>
                  <w:vAlign w:val="center"/>
                </w:tcPr>
                <w:p>
                  <w:pPr>
                    <w:snapToGrid w:val="0"/>
                    <w:jc w:val="center"/>
                    <w:rPr>
                      <w:b/>
                      <w:szCs w:val="21"/>
                    </w:rPr>
                  </w:pPr>
                  <w:r>
                    <w:rPr>
                      <w:rFonts w:hint="eastAsia"/>
                      <w:b/>
                      <w:szCs w:val="21"/>
                    </w:rPr>
                    <w:t>处理效率</w:t>
                  </w:r>
                </w:p>
              </w:tc>
              <w:tc>
                <w:tcPr>
                  <w:tcW w:w="640" w:type="dxa"/>
                  <w:tcMar>
                    <w:top w:w="28" w:type="dxa"/>
                    <w:left w:w="57" w:type="dxa"/>
                    <w:bottom w:w="28" w:type="dxa"/>
                    <w:right w:w="57" w:type="dxa"/>
                  </w:tcMar>
                  <w:vAlign w:val="center"/>
                </w:tcPr>
                <w:p>
                  <w:pPr>
                    <w:snapToGrid w:val="0"/>
                    <w:jc w:val="center"/>
                    <w:rPr>
                      <w:b/>
                      <w:szCs w:val="21"/>
                    </w:rPr>
                  </w:pPr>
                  <w:r>
                    <w:rPr>
                      <w:rFonts w:hint="eastAsia"/>
                      <w:b/>
                      <w:szCs w:val="21"/>
                    </w:rPr>
                    <w:t>数量</w:t>
                  </w:r>
                </w:p>
              </w:tc>
              <w:tc>
                <w:tcPr>
                  <w:tcW w:w="2562" w:type="dxa"/>
                  <w:tcMar>
                    <w:top w:w="28" w:type="dxa"/>
                    <w:left w:w="57" w:type="dxa"/>
                    <w:bottom w:w="28" w:type="dxa"/>
                    <w:right w:w="57" w:type="dxa"/>
                  </w:tcMar>
                  <w:vAlign w:val="center"/>
                </w:tcPr>
                <w:p>
                  <w:pPr>
                    <w:snapToGrid w:val="0"/>
                    <w:jc w:val="center"/>
                    <w:rPr>
                      <w:b/>
                      <w:szCs w:val="21"/>
                    </w:rPr>
                  </w:pPr>
                  <w:r>
                    <w:rPr>
                      <w:rFonts w:hint="eastAsia"/>
                      <w:b/>
                      <w:szCs w:val="21"/>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1" w:hRule="atLeast"/>
                <w:jc w:val="center"/>
              </w:trPr>
              <w:tc>
                <w:tcPr>
                  <w:tcW w:w="564" w:type="dxa"/>
                  <w:vMerge w:val="restart"/>
                  <w:tcMar>
                    <w:top w:w="28" w:type="dxa"/>
                    <w:left w:w="57" w:type="dxa"/>
                    <w:bottom w:w="28" w:type="dxa"/>
                    <w:right w:w="57" w:type="dxa"/>
                  </w:tcMar>
                  <w:vAlign w:val="center"/>
                </w:tcPr>
                <w:p>
                  <w:pPr>
                    <w:snapToGrid w:val="0"/>
                    <w:jc w:val="center"/>
                    <w:rPr>
                      <w:szCs w:val="21"/>
                    </w:rPr>
                  </w:pPr>
                  <w:r>
                    <w:rPr>
                      <w:rFonts w:hint="eastAsia"/>
                      <w:szCs w:val="21"/>
                    </w:rPr>
                    <w:t>1</w:t>
                  </w:r>
                </w:p>
              </w:tc>
              <w:tc>
                <w:tcPr>
                  <w:tcW w:w="569" w:type="dxa"/>
                  <w:vMerge w:val="restart"/>
                  <w:tcMar>
                    <w:top w:w="28" w:type="dxa"/>
                    <w:left w:w="57" w:type="dxa"/>
                    <w:bottom w:w="28" w:type="dxa"/>
                    <w:right w:w="57" w:type="dxa"/>
                  </w:tcMar>
                  <w:vAlign w:val="center"/>
                </w:tcPr>
                <w:p>
                  <w:pPr>
                    <w:snapToGrid w:val="0"/>
                    <w:jc w:val="center"/>
                    <w:rPr>
                      <w:szCs w:val="21"/>
                    </w:rPr>
                  </w:pPr>
                  <w:r>
                    <w:rPr>
                      <w:rFonts w:hint="eastAsia"/>
                      <w:szCs w:val="21"/>
                    </w:rPr>
                    <w:t>废气</w:t>
                  </w:r>
                </w:p>
              </w:tc>
              <w:tc>
                <w:tcPr>
                  <w:tcW w:w="1844" w:type="dxa"/>
                  <w:tcMar>
                    <w:top w:w="28" w:type="dxa"/>
                    <w:left w:w="57" w:type="dxa"/>
                    <w:bottom w:w="28" w:type="dxa"/>
                    <w:right w:w="57" w:type="dxa"/>
                  </w:tcMar>
                  <w:vAlign w:val="center"/>
                </w:tcPr>
                <w:p>
                  <w:pPr>
                    <w:snapToGrid w:val="0"/>
                    <w:jc w:val="center"/>
                    <w:rPr>
                      <w:szCs w:val="21"/>
                    </w:rPr>
                  </w:pPr>
                  <w:r>
                    <w:rPr>
                      <w:rFonts w:hint="eastAsia"/>
                      <w:szCs w:val="21"/>
                    </w:rPr>
                    <w:t>全封闭地埋、加盖</w:t>
                  </w:r>
                </w:p>
              </w:tc>
              <w:tc>
                <w:tcPr>
                  <w:tcW w:w="992" w:type="dxa"/>
                  <w:tcMar>
                    <w:top w:w="28" w:type="dxa"/>
                    <w:left w:w="57" w:type="dxa"/>
                    <w:bottom w:w="28" w:type="dxa"/>
                    <w:right w:w="57" w:type="dxa"/>
                  </w:tcMar>
                  <w:vAlign w:val="center"/>
                </w:tcPr>
                <w:p>
                  <w:pPr>
                    <w:snapToGrid w:val="0"/>
                    <w:jc w:val="center"/>
                    <w:rPr>
                      <w:szCs w:val="21"/>
                    </w:rPr>
                  </w:pPr>
                  <w:r>
                    <w:rPr>
                      <w:rFonts w:hint="eastAsia"/>
                      <w:szCs w:val="21"/>
                    </w:rPr>
                    <w:t>污水处理站内</w:t>
                  </w:r>
                </w:p>
              </w:tc>
              <w:tc>
                <w:tcPr>
                  <w:tcW w:w="1135" w:type="dxa"/>
                  <w:tcMar>
                    <w:top w:w="28" w:type="dxa"/>
                    <w:left w:w="57" w:type="dxa"/>
                    <w:bottom w:w="28" w:type="dxa"/>
                    <w:right w:w="57" w:type="dxa"/>
                  </w:tcMar>
                  <w:vAlign w:val="center"/>
                </w:tcPr>
                <w:p>
                  <w:pPr>
                    <w:snapToGrid w:val="0"/>
                    <w:jc w:val="center"/>
                    <w:rPr>
                      <w:szCs w:val="21"/>
                    </w:rPr>
                  </w:pPr>
                  <w:r>
                    <w:rPr>
                      <w:rFonts w:hint="eastAsia"/>
                      <w:szCs w:val="21"/>
                    </w:rPr>
                    <w:t>/</w:t>
                  </w:r>
                </w:p>
              </w:tc>
              <w:tc>
                <w:tcPr>
                  <w:tcW w:w="640" w:type="dxa"/>
                  <w:tcMar>
                    <w:top w:w="28" w:type="dxa"/>
                    <w:left w:w="57" w:type="dxa"/>
                    <w:bottom w:w="28" w:type="dxa"/>
                    <w:right w:w="57" w:type="dxa"/>
                  </w:tcMar>
                  <w:vAlign w:val="center"/>
                </w:tcPr>
                <w:p>
                  <w:pPr>
                    <w:snapToGrid w:val="0"/>
                    <w:jc w:val="center"/>
                    <w:rPr>
                      <w:szCs w:val="21"/>
                    </w:rPr>
                  </w:pPr>
                  <w:r>
                    <w:rPr>
                      <w:rFonts w:hint="eastAsia"/>
                      <w:szCs w:val="21"/>
                    </w:rPr>
                    <w:t>/</w:t>
                  </w:r>
                </w:p>
              </w:tc>
              <w:tc>
                <w:tcPr>
                  <w:tcW w:w="2562" w:type="dxa"/>
                  <w:tcMar>
                    <w:top w:w="28" w:type="dxa"/>
                    <w:left w:w="57" w:type="dxa"/>
                    <w:bottom w:w="28" w:type="dxa"/>
                    <w:right w:w="57" w:type="dxa"/>
                  </w:tcMar>
                  <w:vAlign w:val="center"/>
                </w:tcPr>
                <w:p>
                  <w:pPr>
                    <w:snapToGrid w:val="0"/>
                    <w:jc w:val="center"/>
                    <w:rPr>
                      <w:szCs w:val="21"/>
                    </w:rPr>
                  </w:pPr>
                  <w:r>
                    <w:rPr>
                      <w:rFonts w:ascii="??" w:hAnsi="??" w:cs="??"/>
                      <w:bCs/>
                      <w:kern w:val="0"/>
                      <w:szCs w:val="21"/>
                    </w:rPr>
                    <w:t>《城镇污水处理厂污染物排放标准》（GB18918-2002）中表4</w:t>
                  </w:r>
                  <w:r>
                    <w:rPr>
                      <w:rFonts w:ascii="??" w:hAnsi="??" w:cs="??"/>
                      <w:kern w:val="0"/>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1" w:hRule="atLeast"/>
                <w:jc w:val="center"/>
              </w:trPr>
              <w:tc>
                <w:tcPr>
                  <w:tcW w:w="564" w:type="dxa"/>
                  <w:vMerge w:val="continue"/>
                  <w:tcMar>
                    <w:top w:w="28" w:type="dxa"/>
                    <w:left w:w="57" w:type="dxa"/>
                    <w:bottom w:w="28" w:type="dxa"/>
                    <w:right w:w="57" w:type="dxa"/>
                  </w:tcMar>
                  <w:vAlign w:val="center"/>
                </w:tcPr>
                <w:p>
                  <w:pPr>
                    <w:snapToGrid w:val="0"/>
                    <w:jc w:val="center"/>
                    <w:rPr>
                      <w:szCs w:val="21"/>
                    </w:rPr>
                  </w:pPr>
                </w:p>
              </w:tc>
              <w:tc>
                <w:tcPr>
                  <w:tcW w:w="569" w:type="dxa"/>
                  <w:vMerge w:val="continue"/>
                  <w:tcMar>
                    <w:top w:w="28" w:type="dxa"/>
                    <w:left w:w="57" w:type="dxa"/>
                    <w:bottom w:w="28" w:type="dxa"/>
                    <w:right w:w="57" w:type="dxa"/>
                  </w:tcMar>
                  <w:vAlign w:val="center"/>
                </w:tcPr>
                <w:p>
                  <w:pPr>
                    <w:snapToGrid w:val="0"/>
                    <w:jc w:val="center"/>
                    <w:rPr>
                      <w:szCs w:val="21"/>
                    </w:rPr>
                  </w:pPr>
                </w:p>
              </w:tc>
              <w:tc>
                <w:tcPr>
                  <w:tcW w:w="1844" w:type="dxa"/>
                  <w:tcMar>
                    <w:top w:w="28" w:type="dxa"/>
                    <w:left w:w="57" w:type="dxa"/>
                    <w:bottom w:w="28" w:type="dxa"/>
                    <w:right w:w="57" w:type="dxa"/>
                  </w:tcMar>
                  <w:vAlign w:val="center"/>
                </w:tcPr>
                <w:p>
                  <w:pPr>
                    <w:snapToGrid w:val="0"/>
                    <w:jc w:val="center"/>
                    <w:rPr>
                      <w:szCs w:val="21"/>
                    </w:rPr>
                  </w:pPr>
                  <w:r>
                    <w:rPr>
                      <w:rFonts w:hint="eastAsia"/>
                      <w:szCs w:val="21"/>
                    </w:rPr>
                    <w:t>洒水设施</w:t>
                  </w:r>
                </w:p>
              </w:tc>
              <w:tc>
                <w:tcPr>
                  <w:tcW w:w="992" w:type="dxa"/>
                  <w:tcMar>
                    <w:top w:w="28" w:type="dxa"/>
                    <w:left w:w="57" w:type="dxa"/>
                    <w:bottom w:w="28" w:type="dxa"/>
                    <w:right w:w="57" w:type="dxa"/>
                  </w:tcMar>
                  <w:vAlign w:val="center"/>
                </w:tcPr>
                <w:p>
                  <w:pPr>
                    <w:snapToGrid w:val="0"/>
                    <w:jc w:val="center"/>
                    <w:rPr>
                      <w:szCs w:val="21"/>
                    </w:rPr>
                  </w:pPr>
                  <w:r>
                    <w:rPr>
                      <w:rFonts w:hint="eastAsia"/>
                      <w:szCs w:val="21"/>
                    </w:rPr>
                    <w:t>街道</w:t>
                  </w:r>
                </w:p>
              </w:tc>
              <w:tc>
                <w:tcPr>
                  <w:tcW w:w="1135" w:type="dxa"/>
                  <w:tcMar>
                    <w:top w:w="28" w:type="dxa"/>
                    <w:left w:w="57" w:type="dxa"/>
                    <w:bottom w:w="28" w:type="dxa"/>
                    <w:right w:w="57" w:type="dxa"/>
                  </w:tcMar>
                  <w:vAlign w:val="center"/>
                </w:tcPr>
                <w:p>
                  <w:pPr>
                    <w:snapToGrid w:val="0"/>
                    <w:jc w:val="center"/>
                    <w:rPr>
                      <w:szCs w:val="21"/>
                    </w:rPr>
                  </w:pPr>
                  <w:r>
                    <w:rPr>
                      <w:rFonts w:hint="eastAsia"/>
                      <w:szCs w:val="21"/>
                    </w:rPr>
                    <w:t>/</w:t>
                  </w:r>
                </w:p>
              </w:tc>
              <w:tc>
                <w:tcPr>
                  <w:tcW w:w="640" w:type="dxa"/>
                  <w:tcMar>
                    <w:top w:w="28" w:type="dxa"/>
                    <w:left w:w="57" w:type="dxa"/>
                    <w:bottom w:w="28" w:type="dxa"/>
                    <w:right w:w="57" w:type="dxa"/>
                  </w:tcMar>
                  <w:vAlign w:val="center"/>
                </w:tcPr>
                <w:p>
                  <w:pPr>
                    <w:snapToGrid w:val="0"/>
                    <w:jc w:val="center"/>
                    <w:rPr>
                      <w:szCs w:val="21"/>
                    </w:rPr>
                  </w:pPr>
                  <w:r>
                    <w:rPr>
                      <w:rFonts w:hint="eastAsia"/>
                      <w:szCs w:val="21"/>
                    </w:rPr>
                    <w:t>1套</w:t>
                  </w:r>
                </w:p>
              </w:tc>
              <w:tc>
                <w:tcPr>
                  <w:tcW w:w="2562" w:type="dxa"/>
                  <w:tcMar>
                    <w:top w:w="28" w:type="dxa"/>
                    <w:left w:w="57" w:type="dxa"/>
                    <w:bottom w:w="28" w:type="dxa"/>
                    <w:right w:w="57" w:type="dxa"/>
                  </w:tcMar>
                  <w:vAlign w:val="center"/>
                </w:tcPr>
                <w:p>
                  <w:pPr>
                    <w:snapToGrid w:val="0"/>
                    <w:jc w:val="center"/>
                    <w:rPr>
                      <w:rFonts w:ascii="??" w:hAnsi="??" w:cs="??"/>
                      <w:bCs/>
                      <w:kern w:val="0"/>
                      <w:szCs w:val="21"/>
                    </w:rPr>
                  </w:pPr>
                  <w:r>
                    <w:rPr>
                      <w:rFonts w:ascii="??" w:hAnsi="??" w:cs="??"/>
                      <w:bCs/>
                      <w:kern w:val="0"/>
                      <w:szCs w:val="21"/>
                    </w:rPr>
                    <w:t>《大气污染物综合排放标准》（GB16297-1996）</w:t>
                  </w:r>
                  <w:r>
                    <w:rPr>
                      <w:rFonts w:hint="eastAsia" w:ascii="??" w:hAnsi="??" w:cs="??"/>
                      <w:bCs/>
                      <w:kern w:val="0"/>
                      <w:szCs w:val="21"/>
                    </w:rPr>
                    <w:t>表2二级</w:t>
                  </w:r>
                  <w:r>
                    <w:rPr>
                      <w:rFonts w:ascii="??" w:hAnsi="??" w:cs="??"/>
                      <w:kern w:val="0"/>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946" w:hRule="atLeast"/>
                <w:jc w:val="center"/>
              </w:trPr>
              <w:tc>
                <w:tcPr>
                  <w:tcW w:w="564" w:type="dxa"/>
                  <w:vMerge w:val="restart"/>
                  <w:tcMar>
                    <w:top w:w="28" w:type="dxa"/>
                    <w:left w:w="57" w:type="dxa"/>
                    <w:bottom w:w="28" w:type="dxa"/>
                    <w:right w:w="57" w:type="dxa"/>
                  </w:tcMar>
                  <w:vAlign w:val="center"/>
                </w:tcPr>
                <w:p>
                  <w:pPr>
                    <w:snapToGrid w:val="0"/>
                    <w:jc w:val="center"/>
                    <w:rPr>
                      <w:szCs w:val="21"/>
                    </w:rPr>
                  </w:pPr>
                  <w:r>
                    <w:rPr>
                      <w:rFonts w:hint="eastAsia"/>
                      <w:szCs w:val="21"/>
                    </w:rPr>
                    <w:t>2</w:t>
                  </w:r>
                </w:p>
              </w:tc>
              <w:tc>
                <w:tcPr>
                  <w:tcW w:w="569" w:type="dxa"/>
                  <w:vMerge w:val="restart"/>
                  <w:tcMar>
                    <w:top w:w="28" w:type="dxa"/>
                    <w:left w:w="57" w:type="dxa"/>
                    <w:bottom w:w="28" w:type="dxa"/>
                    <w:right w:w="57" w:type="dxa"/>
                  </w:tcMar>
                  <w:vAlign w:val="center"/>
                </w:tcPr>
                <w:p>
                  <w:pPr>
                    <w:snapToGrid w:val="0"/>
                    <w:jc w:val="center"/>
                    <w:rPr>
                      <w:szCs w:val="21"/>
                    </w:rPr>
                  </w:pPr>
                  <w:r>
                    <w:rPr>
                      <w:rFonts w:hint="eastAsia"/>
                      <w:szCs w:val="21"/>
                    </w:rPr>
                    <w:t>噪声</w:t>
                  </w:r>
                </w:p>
              </w:tc>
              <w:tc>
                <w:tcPr>
                  <w:tcW w:w="1844" w:type="dxa"/>
                  <w:tcMar>
                    <w:top w:w="28" w:type="dxa"/>
                    <w:left w:w="57" w:type="dxa"/>
                    <w:bottom w:w="28" w:type="dxa"/>
                    <w:right w:w="57" w:type="dxa"/>
                  </w:tcMar>
                  <w:vAlign w:val="center"/>
                </w:tcPr>
                <w:p>
                  <w:pPr>
                    <w:snapToGrid w:val="0"/>
                    <w:jc w:val="center"/>
                    <w:rPr>
                      <w:szCs w:val="21"/>
                    </w:rPr>
                  </w:pPr>
                  <w:r>
                    <w:rPr>
                      <w:szCs w:val="21"/>
                    </w:rPr>
                    <w:t>减振、隔声、消声器</w:t>
                  </w:r>
                </w:p>
              </w:tc>
              <w:tc>
                <w:tcPr>
                  <w:tcW w:w="992" w:type="dxa"/>
                  <w:tcMar>
                    <w:top w:w="28" w:type="dxa"/>
                    <w:left w:w="57" w:type="dxa"/>
                    <w:bottom w:w="28" w:type="dxa"/>
                    <w:right w:w="57" w:type="dxa"/>
                  </w:tcMar>
                  <w:vAlign w:val="center"/>
                </w:tcPr>
                <w:p>
                  <w:pPr>
                    <w:snapToGrid w:val="0"/>
                    <w:jc w:val="center"/>
                    <w:rPr>
                      <w:szCs w:val="21"/>
                    </w:rPr>
                  </w:pPr>
                  <w:r>
                    <w:rPr>
                      <w:rFonts w:hint="eastAsia"/>
                      <w:szCs w:val="21"/>
                    </w:rPr>
                    <w:t>污水处理设备</w:t>
                  </w:r>
                </w:p>
              </w:tc>
              <w:tc>
                <w:tcPr>
                  <w:tcW w:w="1135" w:type="dxa"/>
                  <w:tcMar>
                    <w:top w:w="28" w:type="dxa"/>
                    <w:left w:w="57" w:type="dxa"/>
                    <w:bottom w:w="28" w:type="dxa"/>
                    <w:right w:w="57" w:type="dxa"/>
                  </w:tcMar>
                  <w:vAlign w:val="center"/>
                </w:tcPr>
                <w:p>
                  <w:pPr>
                    <w:snapToGrid w:val="0"/>
                    <w:jc w:val="center"/>
                    <w:rPr>
                      <w:szCs w:val="21"/>
                    </w:rPr>
                  </w:pPr>
                  <w:r>
                    <w:rPr>
                      <w:rFonts w:hint="eastAsia"/>
                      <w:szCs w:val="21"/>
                    </w:rPr>
                    <w:t>降低45dB(A)</w:t>
                  </w:r>
                </w:p>
              </w:tc>
              <w:tc>
                <w:tcPr>
                  <w:tcW w:w="640" w:type="dxa"/>
                  <w:tcMar>
                    <w:top w:w="28" w:type="dxa"/>
                    <w:left w:w="57" w:type="dxa"/>
                    <w:bottom w:w="28" w:type="dxa"/>
                    <w:right w:w="57" w:type="dxa"/>
                  </w:tcMar>
                  <w:vAlign w:val="center"/>
                </w:tcPr>
                <w:p>
                  <w:pPr>
                    <w:snapToGrid w:val="0"/>
                    <w:jc w:val="center"/>
                    <w:rPr>
                      <w:szCs w:val="21"/>
                    </w:rPr>
                  </w:pPr>
                  <w:r>
                    <w:rPr>
                      <w:szCs w:val="21"/>
                    </w:rPr>
                    <w:t>/</w:t>
                  </w:r>
                </w:p>
              </w:tc>
              <w:tc>
                <w:tcPr>
                  <w:tcW w:w="2562" w:type="dxa"/>
                  <w:tcMar>
                    <w:top w:w="28" w:type="dxa"/>
                    <w:left w:w="57" w:type="dxa"/>
                    <w:bottom w:w="28" w:type="dxa"/>
                    <w:right w:w="57" w:type="dxa"/>
                  </w:tcMar>
                  <w:vAlign w:val="center"/>
                </w:tcPr>
                <w:p>
                  <w:pPr>
                    <w:snapToGrid w:val="0"/>
                    <w:jc w:val="center"/>
                    <w:rPr>
                      <w:szCs w:val="21"/>
                    </w:rPr>
                  </w:pPr>
                  <w:r>
                    <w:rPr>
                      <w:rFonts w:hint="eastAsia"/>
                      <w:szCs w:val="21"/>
                    </w:rPr>
                    <w:t>《工业企业厂界噪声排放标准》（</w:t>
                  </w:r>
                  <w:r>
                    <w:rPr>
                      <w:szCs w:val="21"/>
                    </w:rPr>
                    <w:t>GB12348-2008</w:t>
                  </w:r>
                  <w:r>
                    <w:rPr>
                      <w:rFonts w:hint="eastAsia"/>
                      <w:szCs w:val="21"/>
                    </w:rPr>
                    <w:t>）2类标准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892" w:hRule="atLeast"/>
                <w:jc w:val="center"/>
              </w:trPr>
              <w:tc>
                <w:tcPr>
                  <w:tcW w:w="564" w:type="dxa"/>
                  <w:vMerge w:val="continue"/>
                  <w:tcMar>
                    <w:top w:w="28" w:type="dxa"/>
                    <w:left w:w="57" w:type="dxa"/>
                    <w:bottom w:w="28" w:type="dxa"/>
                    <w:right w:w="57" w:type="dxa"/>
                  </w:tcMar>
                  <w:vAlign w:val="center"/>
                </w:tcPr>
                <w:p>
                  <w:pPr>
                    <w:snapToGrid w:val="0"/>
                    <w:jc w:val="center"/>
                    <w:rPr>
                      <w:szCs w:val="21"/>
                    </w:rPr>
                  </w:pPr>
                </w:p>
              </w:tc>
              <w:tc>
                <w:tcPr>
                  <w:tcW w:w="569" w:type="dxa"/>
                  <w:vMerge w:val="continue"/>
                  <w:tcMar>
                    <w:top w:w="28" w:type="dxa"/>
                    <w:left w:w="57" w:type="dxa"/>
                    <w:bottom w:w="28" w:type="dxa"/>
                    <w:right w:w="57" w:type="dxa"/>
                  </w:tcMar>
                  <w:vAlign w:val="center"/>
                </w:tcPr>
                <w:p>
                  <w:pPr>
                    <w:snapToGrid w:val="0"/>
                    <w:jc w:val="center"/>
                    <w:rPr>
                      <w:szCs w:val="21"/>
                    </w:rPr>
                  </w:pPr>
                </w:p>
              </w:tc>
              <w:tc>
                <w:tcPr>
                  <w:tcW w:w="1844" w:type="dxa"/>
                  <w:tcMar>
                    <w:top w:w="28" w:type="dxa"/>
                    <w:left w:w="57" w:type="dxa"/>
                    <w:bottom w:w="28" w:type="dxa"/>
                    <w:right w:w="57" w:type="dxa"/>
                  </w:tcMar>
                  <w:vAlign w:val="center"/>
                </w:tcPr>
                <w:p>
                  <w:pPr>
                    <w:snapToGrid w:val="0"/>
                    <w:jc w:val="center"/>
                    <w:rPr>
                      <w:szCs w:val="21"/>
                    </w:rPr>
                  </w:pPr>
                  <w:r>
                    <w:rPr>
                      <w:rFonts w:hint="eastAsia"/>
                      <w:szCs w:val="21"/>
                    </w:rPr>
                    <w:t>禁鸣标志、超速监控设施</w:t>
                  </w:r>
                </w:p>
              </w:tc>
              <w:tc>
                <w:tcPr>
                  <w:tcW w:w="992" w:type="dxa"/>
                  <w:tcMar>
                    <w:top w:w="28" w:type="dxa"/>
                    <w:left w:w="57" w:type="dxa"/>
                    <w:bottom w:w="28" w:type="dxa"/>
                    <w:right w:w="57" w:type="dxa"/>
                  </w:tcMar>
                  <w:vAlign w:val="center"/>
                </w:tcPr>
                <w:p>
                  <w:pPr>
                    <w:snapToGrid w:val="0"/>
                    <w:jc w:val="center"/>
                    <w:rPr>
                      <w:szCs w:val="21"/>
                    </w:rPr>
                  </w:pPr>
                  <w:r>
                    <w:rPr>
                      <w:rFonts w:hint="eastAsia"/>
                      <w:szCs w:val="21"/>
                    </w:rPr>
                    <w:t>乡镇主街道</w:t>
                  </w:r>
                </w:p>
              </w:tc>
              <w:tc>
                <w:tcPr>
                  <w:tcW w:w="1135" w:type="dxa"/>
                  <w:tcMar>
                    <w:top w:w="28" w:type="dxa"/>
                    <w:left w:w="57" w:type="dxa"/>
                    <w:bottom w:w="28" w:type="dxa"/>
                    <w:right w:w="57" w:type="dxa"/>
                  </w:tcMar>
                  <w:vAlign w:val="center"/>
                </w:tcPr>
                <w:p>
                  <w:pPr>
                    <w:snapToGrid w:val="0"/>
                    <w:jc w:val="center"/>
                    <w:rPr>
                      <w:szCs w:val="21"/>
                    </w:rPr>
                  </w:pPr>
                  <w:r>
                    <w:rPr>
                      <w:rFonts w:hint="eastAsia"/>
                      <w:szCs w:val="21"/>
                    </w:rPr>
                    <w:t>/</w:t>
                  </w:r>
                </w:p>
              </w:tc>
              <w:tc>
                <w:tcPr>
                  <w:tcW w:w="640" w:type="dxa"/>
                  <w:tcMar>
                    <w:top w:w="28" w:type="dxa"/>
                    <w:left w:w="57" w:type="dxa"/>
                    <w:bottom w:w="28" w:type="dxa"/>
                    <w:right w:w="57" w:type="dxa"/>
                  </w:tcMar>
                  <w:vAlign w:val="center"/>
                </w:tcPr>
                <w:p>
                  <w:pPr>
                    <w:snapToGrid w:val="0"/>
                    <w:jc w:val="center"/>
                    <w:rPr>
                      <w:szCs w:val="21"/>
                    </w:rPr>
                  </w:pPr>
                  <w:r>
                    <w:rPr>
                      <w:rFonts w:hint="eastAsia"/>
                      <w:szCs w:val="21"/>
                    </w:rPr>
                    <w:t>1套</w:t>
                  </w:r>
                </w:p>
              </w:tc>
              <w:tc>
                <w:tcPr>
                  <w:tcW w:w="2562" w:type="dxa"/>
                  <w:tcMar>
                    <w:top w:w="28" w:type="dxa"/>
                    <w:left w:w="57" w:type="dxa"/>
                    <w:bottom w:w="28" w:type="dxa"/>
                    <w:right w:w="57" w:type="dxa"/>
                  </w:tcMar>
                  <w:vAlign w:val="center"/>
                </w:tcPr>
                <w:p>
                  <w:pPr>
                    <w:snapToGrid w:val="0"/>
                    <w:jc w:val="center"/>
                    <w:rPr>
                      <w:szCs w:val="21"/>
                    </w:rPr>
                  </w:pPr>
                  <w:r>
                    <w:rPr>
                      <w:rFonts w:hint="eastAsia"/>
                      <w:szCs w:val="21"/>
                    </w:rPr>
                    <w:t>《工业企业厂界噪声排放标准》（</w:t>
                  </w:r>
                  <w:r>
                    <w:rPr>
                      <w:szCs w:val="21"/>
                    </w:rPr>
                    <w:t>GB12348-2008</w:t>
                  </w:r>
                  <w:r>
                    <w:rPr>
                      <w:rFonts w:hint="eastAsia"/>
                      <w:szCs w:val="21"/>
                    </w:rPr>
                    <w:t>）4类标准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112" w:hRule="atLeast"/>
                <w:jc w:val="center"/>
              </w:trPr>
              <w:tc>
                <w:tcPr>
                  <w:tcW w:w="564" w:type="dxa"/>
                  <w:tcMar>
                    <w:top w:w="28" w:type="dxa"/>
                    <w:left w:w="57" w:type="dxa"/>
                    <w:bottom w:w="28" w:type="dxa"/>
                    <w:right w:w="57" w:type="dxa"/>
                  </w:tcMar>
                  <w:vAlign w:val="center"/>
                </w:tcPr>
                <w:p>
                  <w:pPr>
                    <w:snapToGrid w:val="0"/>
                    <w:jc w:val="center"/>
                    <w:rPr>
                      <w:szCs w:val="21"/>
                    </w:rPr>
                  </w:pPr>
                  <w:r>
                    <w:rPr>
                      <w:rFonts w:hint="eastAsia"/>
                      <w:szCs w:val="21"/>
                    </w:rPr>
                    <w:t>3</w:t>
                  </w:r>
                </w:p>
              </w:tc>
              <w:tc>
                <w:tcPr>
                  <w:tcW w:w="569" w:type="dxa"/>
                  <w:tcMar>
                    <w:top w:w="28" w:type="dxa"/>
                    <w:left w:w="57" w:type="dxa"/>
                    <w:bottom w:w="28" w:type="dxa"/>
                    <w:right w:w="57" w:type="dxa"/>
                  </w:tcMar>
                  <w:vAlign w:val="center"/>
                </w:tcPr>
                <w:p>
                  <w:pPr>
                    <w:snapToGrid w:val="0"/>
                    <w:jc w:val="center"/>
                    <w:rPr>
                      <w:szCs w:val="21"/>
                    </w:rPr>
                  </w:pPr>
                  <w:r>
                    <w:rPr>
                      <w:rFonts w:hint="eastAsia"/>
                      <w:szCs w:val="21"/>
                    </w:rPr>
                    <w:t>废水</w:t>
                  </w:r>
                </w:p>
              </w:tc>
              <w:tc>
                <w:tcPr>
                  <w:tcW w:w="1844" w:type="dxa"/>
                  <w:tcMar>
                    <w:top w:w="28" w:type="dxa"/>
                    <w:left w:w="57" w:type="dxa"/>
                    <w:bottom w:w="28" w:type="dxa"/>
                    <w:right w:w="57" w:type="dxa"/>
                  </w:tcMar>
                  <w:vAlign w:val="center"/>
                </w:tcPr>
                <w:p>
                  <w:pPr>
                    <w:snapToGrid w:val="0"/>
                    <w:jc w:val="center"/>
                    <w:rPr>
                      <w:szCs w:val="21"/>
                    </w:rPr>
                  </w:pPr>
                  <w:r>
                    <w:rPr>
                      <w:rFonts w:hint="eastAsia"/>
                      <w:szCs w:val="21"/>
                    </w:rPr>
                    <w:t>多级接触生物氧化法</w:t>
                  </w:r>
                </w:p>
              </w:tc>
              <w:tc>
                <w:tcPr>
                  <w:tcW w:w="992" w:type="dxa"/>
                  <w:tcMar>
                    <w:top w:w="28" w:type="dxa"/>
                    <w:left w:w="57" w:type="dxa"/>
                    <w:bottom w:w="28" w:type="dxa"/>
                    <w:right w:w="57" w:type="dxa"/>
                  </w:tcMar>
                  <w:vAlign w:val="center"/>
                </w:tcPr>
                <w:p>
                  <w:pPr>
                    <w:snapToGrid w:val="0"/>
                    <w:jc w:val="center"/>
                    <w:rPr>
                      <w:szCs w:val="21"/>
                    </w:rPr>
                  </w:pPr>
                  <w:r>
                    <w:rPr>
                      <w:rFonts w:hint="eastAsia"/>
                      <w:szCs w:val="21"/>
                    </w:rPr>
                    <w:t>污水处理站</w:t>
                  </w:r>
                </w:p>
              </w:tc>
              <w:tc>
                <w:tcPr>
                  <w:tcW w:w="1135" w:type="dxa"/>
                  <w:tcMar>
                    <w:top w:w="28" w:type="dxa"/>
                    <w:left w:w="57" w:type="dxa"/>
                    <w:bottom w:w="28" w:type="dxa"/>
                    <w:right w:w="57" w:type="dxa"/>
                  </w:tcMar>
                  <w:vAlign w:val="center"/>
                </w:tcPr>
                <w:p>
                  <w:pPr>
                    <w:snapToGrid w:val="0"/>
                    <w:jc w:val="center"/>
                    <w:rPr>
                      <w:szCs w:val="21"/>
                    </w:rPr>
                  </w:pPr>
                  <w:r>
                    <w:rPr>
                      <w:rFonts w:hint="eastAsia"/>
                      <w:szCs w:val="21"/>
                    </w:rPr>
                    <w:t>/</w:t>
                  </w:r>
                </w:p>
              </w:tc>
              <w:tc>
                <w:tcPr>
                  <w:tcW w:w="640" w:type="dxa"/>
                  <w:tcMar>
                    <w:top w:w="28" w:type="dxa"/>
                    <w:left w:w="57" w:type="dxa"/>
                    <w:bottom w:w="28" w:type="dxa"/>
                    <w:right w:w="57" w:type="dxa"/>
                  </w:tcMar>
                  <w:vAlign w:val="center"/>
                </w:tcPr>
                <w:p>
                  <w:pPr>
                    <w:snapToGrid w:val="0"/>
                    <w:jc w:val="center"/>
                    <w:rPr>
                      <w:szCs w:val="21"/>
                    </w:rPr>
                  </w:pPr>
                  <w:r>
                    <w:rPr>
                      <w:rFonts w:hint="eastAsia"/>
                      <w:szCs w:val="21"/>
                    </w:rPr>
                    <w:t>1套</w:t>
                  </w:r>
                </w:p>
              </w:tc>
              <w:tc>
                <w:tcPr>
                  <w:tcW w:w="2562" w:type="dxa"/>
                  <w:tcMar>
                    <w:top w:w="28" w:type="dxa"/>
                    <w:left w:w="57" w:type="dxa"/>
                    <w:bottom w:w="28" w:type="dxa"/>
                    <w:right w:w="57" w:type="dxa"/>
                  </w:tcMar>
                  <w:vAlign w:val="center"/>
                </w:tcPr>
                <w:p>
                  <w:pPr>
                    <w:snapToGrid w:val="0"/>
                    <w:jc w:val="center"/>
                    <w:rPr>
                      <w:szCs w:val="21"/>
                    </w:rPr>
                  </w:pPr>
                  <w:r>
                    <w:rPr>
                      <w:szCs w:val="21"/>
                    </w:rPr>
                    <w:t>《城镇污水处理厂污染物排放标准》（GB18918-2002）中一级</w:t>
                  </w:r>
                  <w:r>
                    <w:rPr>
                      <w:rFonts w:hint="eastAsia"/>
                      <w:szCs w:val="21"/>
                    </w:rPr>
                    <w:t>A</w:t>
                  </w:r>
                  <w:r>
                    <w:rPr>
                      <w:szCs w:val="21"/>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611" w:hRule="atLeast"/>
                <w:jc w:val="center"/>
              </w:trPr>
              <w:tc>
                <w:tcPr>
                  <w:tcW w:w="564" w:type="dxa"/>
                  <w:tcMar>
                    <w:top w:w="28" w:type="dxa"/>
                    <w:left w:w="57" w:type="dxa"/>
                    <w:bottom w:w="28" w:type="dxa"/>
                    <w:right w:w="57" w:type="dxa"/>
                  </w:tcMar>
                  <w:vAlign w:val="center"/>
                </w:tcPr>
                <w:p>
                  <w:pPr>
                    <w:snapToGrid w:val="0"/>
                    <w:jc w:val="center"/>
                    <w:rPr>
                      <w:szCs w:val="21"/>
                    </w:rPr>
                  </w:pPr>
                  <w:r>
                    <w:rPr>
                      <w:rFonts w:hint="eastAsia"/>
                      <w:szCs w:val="21"/>
                    </w:rPr>
                    <w:t>4</w:t>
                  </w:r>
                </w:p>
              </w:tc>
              <w:tc>
                <w:tcPr>
                  <w:tcW w:w="569" w:type="dxa"/>
                  <w:tcMar>
                    <w:top w:w="28" w:type="dxa"/>
                    <w:left w:w="57" w:type="dxa"/>
                    <w:bottom w:w="28" w:type="dxa"/>
                    <w:right w:w="57" w:type="dxa"/>
                  </w:tcMar>
                  <w:vAlign w:val="center"/>
                </w:tcPr>
                <w:p>
                  <w:pPr>
                    <w:snapToGrid w:val="0"/>
                    <w:jc w:val="center"/>
                    <w:rPr>
                      <w:szCs w:val="21"/>
                    </w:rPr>
                  </w:pPr>
                  <w:r>
                    <w:rPr>
                      <w:rFonts w:hint="eastAsia"/>
                      <w:szCs w:val="21"/>
                    </w:rPr>
                    <w:t>监测</w:t>
                  </w:r>
                </w:p>
              </w:tc>
              <w:tc>
                <w:tcPr>
                  <w:tcW w:w="1844" w:type="dxa"/>
                  <w:tcMar>
                    <w:top w:w="28" w:type="dxa"/>
                    <w:left w:w="57" w:type="dxa"/>
                    <w:bottom w:w="28" w:type="dxa"/>
                    <w:right w:w="57" w:type="dxa"/>
                  </w:tcMar>
                  <w:vAlign w:val="center"/>
                </w:tcPr>
                <w:p>
                  <w:pPr>
                    <w:snapToGrid w:val="0"/>
                    <w:jc w:val="center"/>
                    <w:rPr>
                      <w:szCs w:val="21"/>
                    </w:rPr>
                  </w:pPr>
                  <w:r>
                    <w:rPr>
                      <w:rFonts w:hint="eastAsia" w:hAnsi="宋体"/>
                      <w:szCs w:val="21"/>
                    </w:rPr>
                    <w:t>预留在线监测接口</w:t>
                  </w:r>
                </w:p>
              </w:tc>
              <w:tc>
                <w:tcPr>
                  <w:tcW w:w="992" w:type="dxa"/>
                  <w:tcMar>
                    <w:top w:w="28" w:type="dxa"/>
                    <w:left w:w="57" w:type="dxa"/>
                    <w:bottom w:w="28" w:type="dxa"/>
                    <w:right w:w="57" w:type="dxa"/>
                  </w:tcMar>
                  <w:vAlign w:val="center"/>
                </w:tcPr>
                <w:p>
                  <w:pPr>
                    <w:snapToGrid w:val="0"/>
                    <w:jc w:val="center"/>
                    <w:rPr>
                      <w:szCs w:val="21"/>
                    </w:rPr>
                  </w:pPr>
                  <w:r>
                    <w:rPr>
                      <w:rFonts w:hint="eastAsia"/>
                      <w:szCs w:val="21"/>
                    </w:rPr>
                    <w:t>进水口、出水口</w:t>
                  </w:r>
                </w:p>
              </w:tc>
              <w:tc>
                <w:tcPr>
                  <w:tcW w:w="1135" w:type="dxa"/>
                  <w:tcMar>
                    <w:top w:w="28" w:type="dxa"/>
                    <w:left w:w="57" w:type="dxa"/>
                    <w:bottom w:w="28" w:type="dxa"/>
                    <w:right w:w="57" w:type="dxa"/>
                  </w:tcMar>
                  <w:vAlign w:val="center"/>
                </w:tcPr>
                <w:p>
                  <w:pPr>
                    <w:snapToGrid w:val="0"/>
                    <w:jc w:val="center"/>
                    <w:rPr>
                      <w:szCs w:val="21"/>
                    </w:rPr>
                  </w:pPr>
                  <w:r>
                    <w:rPr>
                      <w:rFonts w:hint="eastAsia"/>
                      <w:szCs w:val="21"/>
                    </w:rPr>
                    <w:t>/</w:t>
                  </w:r>
                </w:p>
              </w:tc>
              <w:tc>
                <w:tcPr>
                  <w:tcW w:w="640" w:type="dxa"/>
                  <w:tcMar>
                    <w:top w:w="28" w:type="dxa"/>
                    <w:left w:w="57" w:type="dxa"/>
                    <w:bottom w:w="28" w:type="dxa"/>
                    <w:right w:w="57" w:type="dxa"/>
                  </w:tcMar>
                  <w:vAlign w:val="center"/>
                </w:tcPr>
                <w:p>
                  <w:pPr>
                    <w:snapToGrid w:val="0"/>
                    <w:jc w:val="center"/>
                    <w:rPr>
                      <w:szCs w:val="21"/>
                    </w:rPr>
                  </w:pPr>
                  <w:r>
                    <w:rPr>
                      <w:rFonts w:hint="eastAsia"/>
                      <w:szCs w:val="21"/>
                    </w:rPr>
                    <w:t>2套</w:t>
                  </w:r>
                </w:p>
              </w:tc>
              <w:tc>
                <w:tcPr>
                  <w:tcW w:w="2562" w:type="dxa"/>
                  <w:tcMar>
                    <w:top w:w="28" w:type="dxa"/>
                    <w:left w:w="57" w:type="dxa"/>
                    <w:bottom w:w="28" w:type="dxa"/>
                    <w:right w:w="57" w:type="dxa"/>
                  </w:tcMar>
                  <w:vAlign w:val="center"/>
                </w:tcPr>
                <w:p>
                  <w:pPr>
                    <w:snapToGrid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112" w:hRule="atLeast"/>
                <w:jc w:val="center"/>
              </w:trPr>
              <w:tc>
                <w:tcPr>
                  <w:tcW w:w="564" w:type="dxa"/>
                  <w:tcMar>
                    <w:top w:w="28" w:type="dxa"/>
                    <w:left w:w="57" w:type="dxa"/>
                    <w:bottom w:w="28" w:type="dxa"/>
                    <w:right w:w="57" w:type="dxa"/>
                  </w:tcMar>
                  <w:vAlign w:val="center"/>
                </w:tcPr>
                <w:p>
                  <w:pPr>
                    <w:snapToGrid w:val="0"/>
                    <w:jc w:val="center"/>
                    <w:rPr>
                      <w:szCs w:val="21"/>
                    </w:rPr>
                  </w:pPr>
                  <w:r>
                    <w:rPr>
                      <w:rFonts w:hint="eastAsia"/>
                      <w:szCs w:val="21"/>
                    </w:rPr>
                    <w:t>5</w:t>
                  </w:r>
                </w:p>
              </w:tc>
              <w:tc>
                <w:tcPr>
                  <w:tcW w:w="569" w:type="dxa"/>
                  <w:tcMar>
                    <w:top w:w="28" w:type="dxa"/>
                    <w:left w:w="57" w:type="dxa"/>
                    <w:bottom w:w="28" w:type="dxa"/>
                    <w:right w:w="57" w:type="dxa"/>
                  </w:tcMar>
                  <w:vAlign w:val="center"/>
                </w:tcPr>
                <w:p>
                  <w:pPr>
                    <w:snapToGrid w:val="0"/>
                    <w:jc w:val="center"/>
                    <w:rPr>
                      <w:szCs w:val="21"/>
                    </w:rPr>
                  </w:pPr>
                  <w:r>
                    <w:rPr>
                      <w:rFonts w:hint="eastAsia"/>
                      <w:szCs w:val="21"/>
                    </w:rPr>
                    <w:t>固废</w:t>
                  </w:r>
                </w:p>
              </w:tc>
              <w:tc>
                <w:tcPr>
                  <w:tcW w:w="1844" w:type="dxa"/>
                  <w:tcMar>
                    <w:top w:w="28" w:type="dxa"/>
                    <w:left w:w="57" w:type="dxa"/>
                    <w:bottom w:w="28" w:type="dxa"/>
                    <w:right w:w="57" w:type="dxa"/>
                  </w:tcMar>
                  <w:vAlign w:val="center"/>
                </w:tcPr>
                <w:p>
                  <w:pPr>
                    <w:snapToGrid w:val="0"/>
                    <w:jc w:val="center"/>
                    <w:rPr>
                      <w:rFonts w:hAnsi="宋体"/>
                      <w:szCs w:val="21"/>
                    </w:rPr>
                  </w:pPr>
                  <w:r>
                    <w:rPr>
                      <w:rFonts w:hint="eastAsia" w:hAnsi="宋体"/>
                      <w:szCs w:val="21"/>
                    </w:rPr>
                    <w:t>委托处理协议</w:t>
                  </w:r>
                </w:p>
              </w:tc>
              <w:tc>
                <w:tcPr>
                  <w:tcW w:w="992" w:type="dxa"/>
                  <w:tcMar>
                    <w:top w:w="28" w:type="dxa"/>
                    <w:left w:w="57" w:type="dxa"/>
                    <w:bottom w:w="28" w:type="dxa"/>
                    <w:right w:w="57" w:type="dxa"/>
                  </w:tcMar>
                  <w:vAlign w:val="center"/>
                </w:tcPr>
                <w:p>
                  <w:pPr>
                    <w:snapToGrid w:val="0"/>
                    <w:jc w:val="center"/>
                    <w:rPr>
                      <w:szCs w:val="21"/>
                    </w:rPr>
                  </w:pPr>
                  <w:r>
                    <w:rPr>
                      <w:rFonts w:hint="eastAsia"/>
                      <w:szCs w:val="21"/>
                    </w:rPr>
                    <w:t>储泥区域</w:t>
                  </w:r>
                </w:p>
              </w:tc>
              <w:tc>
                <w:tcPr>
                  <w:tcW w:w="1135" w:type="dxa"/>
                  <w:tcMar>
                    <w:top w:w="28" w:type="dxa"/>
                    <w:left w:w="57" w:type="dxa"/>
                    <w:bottom w:w="28" w:type="dxa"/>
                    <w:right w:w="57" w:type="dxa"/>
                  </w:tcMar>
                  <w:vAlign w:val="center"/>
                </w:tcPr>
                <w:p>
                  <w:pPr>
                    <w:snapToGrid w:val="0"/>
                    <w:jc w:val="center"/>
                    <w:rPr>
                      <w:szCs w:val="21"/>
                    </w:rPr>
                  </w:pPr>
                  <w:r>
                    <w:rPr>
                      <w:rFonts w:hint="eastAsia"/>
                      <w:szCs w:val="21"/>
                    </w:rPr>
                    <w:t>/</w:t>
                  </w:r>
                </w:p>
              </w:tc>
              <w:tc>
                <w:tcPr>
                  <w:tcW w:w="640" w:type="dxa"/>
                  <w:tcMar>
                    <w:top w:w="28" w:type="dxa"/>
                    <w:left w:w="57" w:type="dxa"/>
                    <w:bottom w:w="28" w:type="dxa"/>
                    <w:right w:w="57" w:type="dxa"/>
                  </w:tcMar>
                  <w:vAlign w:val="center"/>
                </w:tcPr>
                <w:p>
                  <w:pPr>
                    <w:snapToGrid w:val="0"/>
                    <w:jc w:val="center"/>
                    <w:rPr>
                      <w:szCs w:val="21"/>
                    </w:rPr>
                  </w:pPr>
                  <w:r>
                    <w:rPr>
                      <w:rFonts w:hint="eastAsia"/>
                      <w:szCs w:val="21"/>
                    </w:rPr>
                    <w:t>/</w:t>
                  </w:r>
                </w:p>
              </w:tc>
              <w:tc>
                <w:tcPr>
                  <w:tcW w:w="2562" w:type="dxa"/>
                  <w:tcMar>
                    <w:top w:w="28" w:type="dxa"/>
                    <w:left w:w="57" w:type="dxa"/>
                    <w:bottom w:w="28" w:type="dxa"/>
                    <w:right w:w="57" w:type="dxa"/>
                  </w:tcMar>
                  <w:vAlign w:val="center"/>
                </w:tcPr>
                <w:p>
                  <w:pPr>
                    <w:snapToGrid w:val="0"/>
                    <w:jc w:val="center"/>
                    <w:rPr>
                      <w:szCs w:val="21"/>
                    </w:rPr>
                  </w:pPr>
                  <w:r>
                    <w:rPr>
                      <w:szCs w:val="21"/>
                    </w:rPr>
                    <w:t>《一般工业固体废物贮存、处置场污染控制标准》（GB 18599-2001）及其修改单（国家环保部2013年第36号文件）要求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548" w:hRule="atLeast"/>
                <w:jc w:val="center"/>
              </w:trPr>
              <w:tc>
                <w:tcPr>
                  <w:tcW w:w="564" w:type="dxa"/>
                  <w:vMerge w:val="restart"/>
                  <w:tcMar>
                    <w:top w:w="28" w:type="dxa"/>
                    <w:left w:w="57" w:type="dxa"/>
                    <w:bottom w:w="28" w:type="dxa"/>
                    <w:right w:w="57" w:type="dxa"/>
                  </w:tcMar>
                  <w:vAlign w:val="center"/>
                </w:tcPr>
                <w:p>
                  <w:pPr>
                    <w:snapToGrid w:val="0"/>
                    <w:jc w:val="center"/>
                    <w:rPr>
                      <w:szCs w:val="21"/>
                    </w:rPr>
                  </w:pPr>
                  <w:r>
                    <w:rPr>
                      <w:rFonts w:hint="eastAsia"/>
                      <w:szCs w:val="21"/>
                    </w:rPr>
                    <w:t>6</w:t>
                  </w:r>
                </w:p>
              </w:tc>
              <w:tc>
                <w:tcPr>
                  <w:tcW w:w="569" w:type="dxa"/>
                  <w:vMerge w:val="restart"/>
                  <w:tcMar>
                    <w:top w:w="28" w:type="dxa"/>
                    <w:left w:w="57" w:type="dxa"/>
                    <w:bottom w:w="28" w:type="dxa"/>
                    <w:right w:w="57" w:type="dxa"/>
                  </w:tcMar>
                  <w:vAlign w:val="center"/>
                </w:tcPr>
                <w:p>
                  <w:pPr>
                    <w:snapToGrid w:val="0"/>
                    <w:jc w:val="center"/>
                    <w:rPr>
                      <w:szCs w:val="21"/>
                    </w:rPr>
                  </w:pPr>
                  <w:r>
                    <w:rPr>
                      <w:rFonts w:hint="eastAsia"/>
                      <w:szCs w:val="21"/>
                    </w:rPr>
                    <w:t>防渗</w:t>
                  </w:r>
                </w:p>
              </w:tc>
              <w:tc>
                <w:tcPr>
                  <w:tcW w:w="1844" w:type="dxa"/>
                  <w:tcMar>
                    <w:top w:w="28" w:type="dxa"/>
                    <w:left w:w="57" w:type="dxa"/>
                    <w:bottom w:w="28" w:type="dxa"/>
                    <w:right w:w="57" w:type="dxa"/>
                  </w:tcMar>
                  <w:vAlign w:val="center"/>
                </w:tcPr>
                <w:p>
                  <w:pPr>
                    <w:snapToGrid w:val="0"/>
                    <w:jc w:val="center"/>
                    <w:rPr>
                      <w:rFonts w:hAnsi="宋体"/>
                      <w:szCs w:val="21"/>
                    </w:rPr>
                  </w:pPr>
                  <w:r>
                    <w:rPr>
                      <w:rFonts w:hint="eastAsia" w:hAnsi="宋体"/>
                      <w:szCs w:val="21"/>
                    </w:rPr>
                    <w:t>生产区、事故罐、管网</w:t>
                  </w:r>
                </w:p>
              </w:tc>
              <w:tc>
                <w:tcPr>
                  <w:tcW w:w="992" w:type="dxa"/>
                  <w:tcMar>
                    <w:top w:w="28" w:type="dxa"/>
                    <w:left w:w="57" w:type="dxa"/>
                    <w:bottom w:w="28" w:type="dxa"/>
                    <w:right w:w="57" w:type="dxa"/>
                  </w:tcMar>
                  <w:vAlign w:val="center"/>
                </w:tcPr>
                <w:p>
                  <w:pPr>
                    <w:snapToGrid w:val="0"/>
                    <w:jc w:val="center"/>
                    <w:rPr>
                      <w:szCs w:val="21"/>
                    </w:rPr>
                  </w:pPr>
                  <w:r>
                    <w:rPr>
                      <w:rFonts w:hint="eastAsia"/>
                      <w:szCs w:val="21"/>
                    </w:rPr>
                    <w:t>生产区</w:t>
                  </w:r>
                </w:p>
              </w:tc>
              <w:tc>
                <w:tcPr>
                  <w:tcW w:w="1135" w:type="dxa"/>
                  <w:tcMar>
                    <w:top w:w="28" w:type="dxa"/>
                    <w:left w:w="57" w:type="dxa"/>
                    <w:bottom w:w="28" w:type="dxa"/>
                    <w:right w:w="57" w:type="dxa"/>
                  </w:tcMar>
                  <w:vAlign w:val="center"/>
                </w:tcPr>
                <w:p>
                  <w:pPr>
                    <w:snapToGrid w:val="0"/>
                    <w:jc w:val="center"/>
                    <w:rPr>
                      <w:szCs w:val="21"/>
                    </w:rPr>
                  </w:pPr>
                  <w:r>
                    <w:rPr>
                      <w:rFonts w:hint="eastAsia"/>
                      <w:szCs w:val="21"/>
                    </w:rPr>
                    <w:t>/</w:t>
                  </w:r>
                </w:p>
              </w:tc>
              <w:tc>
                <w:tcPr>
                  <w:tcW w:w="640" w:type="dxa"/>
                  <w:tcMar>
                    <w:top w:w="28" w:type="dxa"/>
                    <w:left w:w="57" w:type="dxa"/>
                    <w:bottom w:w="28" w:type="dxa"/>
                    <w:right w:w="57" w:type="dxa"/>
                  </w:tcMar>
                  <w:vAlign w:val="center"/>
                </w:tcPr>
                <w:p>
                  <w:pPr>
                    <w:snapToGrid w:val="0"/>
                    <w:jc w:val="center"/>
                    <w:rPr>
                      <w:szCs w:val="21"/>
                    </w:rPr>
                  </w:pPr>
                  <w:r>
                    <w:rPr>
                      <w:rFonts w:hint="eastAsia"/>
                      <w:szCs w:val="21"/>
                    </w:rPr>
                    <w:t>/</w:t>
                  </w:r>
                </w:p>
              </w:tc>
              <w:tc>
                <w:tcPr>
                  <w:tcW w:w="2562" w:type="dxa"/>
                  <w:tcMar>
                    <w:top w:w="28" w:type="dxa"/>
                    <w:left w:w="57" w:type="dxa"/>
                    <w:bottom w:w="28" w:type="dxa"/>
                    <w:right w:w="57" w:type="dxa"/>
                  </w:tcMar>
                  <w:vAlign w:val="center"/>
                </w:tcPr>
                <w:p>
                  <w:pPr>
                    <w:snapToGrid w:val="0"/>
                    <w:jc w:val="center"/>
                    <w:rPr>
                      <w:szCs w:val="21"/>
                    </w:rPr>
                  </w:pPr>
                  <w:r>
                    <w:rPr>
                      <w:bCs/>
                      <w:szCs w:val="21"/>
                    </w:rPr>
                    <w:t>渗透系数≤1.0×10</w:t>
                  </w:r>
                  <w:r>
                    <w:rPr>
                      <w:bCs/>
                      <w:szCs w:val="21"/>
                      <w:vertAlign w:val="superscript"/>
                    </w:rPr>
                    <w:t>-</w:t>
                  </w:r>
                  <w:r>
                    <w:rPr>
                      <w:rFonts w:hint="eastAsia"/>
                      <w:bCs/>
                      <w:szCs w:val="21"/>
                      <w:vertAlign w:val="superscript"/>
                    </w:rPr>
                    <w:t>7</w:t>
                  </w:r>
                  <w:r>
                    <w:rPr>
                      <w:bCs/>
                      <w:szCs w:val="21"/>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731" w:hRule="atLeast"/>
                <w:jc w:val="center"/>
              </w:trPr>
              <w:tc>
                <w:tcPr>
                  <w:tcW w:w="564" w:type="dxa"/>
                  <w:vMerge w:val="continue"/>
                  <w:tcMar>
                    <w:top w:w="28" w:type="dxa"/>
                    <w:left w:w="57" w:type="dxa"/>
                    <w:bottom w:w="28" w:type="dxa"/>
                    <w:right w:w="57" w:type="dxa"/>
                  </w:tcMar>
                  <w:vAlign w:val="center"/>
                </w:tcPr>
                <w:p>
                  <w:pPr>
                    <w:snapToGrid w:val="0"/>
                    <w:jc w:val="center"/>
                    <w:rPr>
                      <w:szCs w:val="21"/>
                    </w:rPr>
                  </w:pPr>
                </w:p>
              </w:tc>
              <w:tc>
                <w:tcPr>
                  <w:tcW w:w="569" w:type="dxa"/>
                  <w:vMerge w:val="continue"/>
                  <w:tcMar>
                    <w:top w:w="28" w:type="dxa"/>
                    <w:left w:w="57" w:type="dxa"/>
                    <w:bottom w:w="28" w:type="dxa"/>
                    <w:right w:w="57" w:type="dxa"/>
                  </w:tcMar>
                  <w:vAlign w:val="center"/>
                </w:tcPr>
                <w:p>
                  <w:pPr>
                    <w:snapToGrid w:val="0"/>
                    <w:jc w:val="center"/>
                    <w:rPr>
                      <w:szCs w:val="21"/>
                    </w:rPr>
                  </w:pPr>
                </w:p>
              </w:tc>
              <w:tc>
                <w:tcPr>
                  <w:tcW w:w="1844" w:type="dxa"/>
                  <w:tcMar>
                    <w:top w:w="28" w:type="dxa"/>
                    <w:left w:w="57" w:type="dxa"/>
                    <w:bottom w:w="28" w:type="dxa"/>
                    <w:right w:w="57" w:type="dxa"/>
                  </w:tcMar>
                  <w:vAlign w:val="center"/>
                </w:tcPr>
                <w:p>
                  <w:pPr>
                    <w:snapToGrid w:val="0"/>
                    <w:jc w:val="center"/>
                    <w:rPr>
                      <w:rFonts w:hAnsi="宋体"/>
                      <w:szCs w:val="21"/>
                    </w:rPr>
                  </w:pPr>
                  <w:r>
                    <w:rPr>
                      <w:rFonts w:hint="eastAsia" w:hAnsi="宋体"/>
                      <w:szCs w:val="21"/>
                    </w:rPr>
                    <w:t>设备间、非重点防渗区的区域</w:t>
                  </w:r>
                </w:p>
              </w:tc>
              <w:tc>
                <w:tcPr>
                  <w:tcW w:w="992" w:type="dxa"/>
                  <w:tcMar>
                    <w:top w:w="28" w:type="dxa"/>
                    <w:left w:w="57" w:type="dxa"/>
                    <w:bottom w:w="28" w:type="dxa"/>
                    <w:right w:w="57" w:type="dxa"/>
                  </w:tcMar>
                  <w:vAlign w:val="center"/>
                </w:tcPr>
                <w:p>
                  <w:pPr>
                    <w:snapToGrid w:val="0"/>
                    <w:jc w:val="center"/>
                    <w:rPr>
                      <w:szCs w:val="21"/>
                    </w:rPr>
                  </w:pPr>
                  <w:r>
                    <w:rPr>
                      <w:rFonts w:hint="eastAsia"/>
                      <w:szCs w:val="21"/>
                    </w:rPr>
                    <w:t>/</w:t>
                  </w:r>
                </w:p>
              </w:tc>
              <w:tc>
                <w:tcPr>
                  <w:tcW w:w="1135" w:type="dxa"/>
                  <w:tcMar>
                    <w:top w:w="28" w:type="dxa"/>
                    <w:left w:w="57" w:type="dxa"/>
                    <w:bottom w:w="28" w:type="dxa"/>
                    <w:right w:w="57" w:type="dxa"/>
                  </w:tcMar>
                  <w:vAlign w:val="center"/>
                </w:tcPr>
                <w:p>
                  <w:pPr>
                    <w:snapToGrid w:val="0"/>
                    <w:jc w:val="center"/>
                    <w:rPr>
                      <w:szCs w:val="21"/>
                    </w:rPr>
                  </w:pPr>
                  <w:r>
                    <w:rPr>
                      <w:rFonts w:hint="eastAsia"/>
                      <w:szCs w:val="21"/>
                    </w:rPr>
                    <w:t>/</w:t>
                  </w:r>
                </w:p>
              </w:tc>
              <w:tc>
                <w:tcPr>
                  <w:tcW w:w="640" w:type="dxa"/>
                  <w:tcMar>
                    <w:top w:w="28" w:type="dxa"/>
                    <w:left w:w="57" w:type="dxa"/>
                    <w:bottom w:w="28" w:type="dxa"/>
                    <w:right w:w="57" w:type="dxa"/>
                  </w:tcMar>
                  <w:vAlign w:val="center"/>
                </w:tcPr>
                <w:p>
                  <w:pPr>
                    <w:snapToGrid w:val="0"/>
                    <w:jc w:val="center"/>
                    <w:rPr>
                      <w:szCs w:val="21"/>
                    </w:rPr>
                  </w:pPr>
                  <w:r>
                    <w:rPr>
                      <w:rFonts w:hint="eastAsia"/>
                      <w:szCs w:val="21"/>
                    </w:rPr>
                    <w:t>/</w:t>
                  </w:r>
                </w:p>
              </w:tc>
              <w:tc>
                <w:tcPr>
                  <w:tcW w:w="2562" w:type="dxa"/>
                  <w:tcMar>
                    <w:top w:w="28" w:type="dxa"/>
                    <w:left w:w="57" w:type="dxa"/>
                    <w:bottom w:w="28" w:type="dxa"/>
                    <w:right w:w="57" w:type="dxa"/>
                  </w:tcMar>
                  <w:vAlign w:val="center"/>
                </w:tcPr>
                <w:p>
                  <w:pPr>
                    <w:snapToGrid w:val="0"/>
                    <w:jc w:val="center"/>
                    <w:rPr>
                      <w:szCs w:val="21"/>
                    </w:rPr>
                  </w:pPr>
                  <w:r>
                    <w:rPr>
                      <w:rFonts w:hint="eastAsia"/>
                      <w:szCs w:val="21"/>
                    </w:rPr>
                    <w:t>采用地面硬化，</w:t>
                  </w:r>
                  <w:r>
                    <w:rPr>
                      <w:szCs w:val="21"/>
                    </w:rPr>
                    <w:t>民用建筑要求处理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731" w:hRule="atLeast"/>
                <w:jc w:val="center"/>
              </w:trPr>
              <w:tc>
                <w:tcPr>
                  <w:tcW w:w="564" w:type="dxa"/>
                  <w:tcMar>
                    <w:top w:w="28" w:type="dxa"/>
                    <w:left w:w="57" w:type="dxa"/>
                    <w:bottom w:w="28" w:type="dxa"/>
                    <w:right w:w="57" w:type="dxa"/>
                  </w:tcMar>
                  <w:vAlign w:val="center"/>
                </w:tcPr>
                <w:p>
                  <w:pPr>
                    <w:snapToGrid w:val="0"/>
                    <w:jc w:val="center"/>
                    <w:rPr>
                      <w:szCs w:val="21"/>
                      <w:highlight w:val="lightGray"/>
                    </w:rPr>
                  </w:pPr>
                  <w:r>
                    <w:rPr>
                      <w:rFonts w:hint="eastAsia"/>
                      <w:szCs w:val="21"/>
                      <w:highlight w:val="lightGray"/>
                    </w:rPr>
                    <w:t>7</w:t>
                  </w:r>
                </w:p>
              </w:tc>
              <w:tc>
                <w:tcPr>
                  <w:tcW w:w="569" w:type="dxa"/>
                  <w:tcMar>
                    <w:top w:w="28" w:type="dxa"/>
                    <w:left w:w="57" w:type="dxa"/>
                    <w:bottom w:w="28" w:type="dxa"/>
                    <w:right w:w="57" w:type="dxa"/>
                  </w:tcMar>
                  <w:vAlign w:val="center"/>
                </w:tcPr>
                <w:p>
                  <w:pPr>
                    <w:snapToGrid w:val="0"/>
                    <w:jc w:val="center"/>
                    <w:rPr>
                      <w:szCs w:val="21"/>
                      <w:highlight w:val="lightGray"/>
                    </w:rPr>
                  </w:pPr>
                  <w:r>
                    <w:rPr>
                      <w:rFonts w:hint="eastAsia"/>
                      <w:szCs w:val="21"/>
                      <w:highlight w:val="lightGray"/>
                    </w:rPr>
                    <w:t>消毒</w:t>
                  </w:r>
                </w:p>
              </w:tc>
              <w:tc>
                <w:tcPr>
                  <w:tcW w:w="1844" w:type="dxa"/>
                  <w:tcMar>
                    <w:top w:w="28" w:type="dxa"/>
                    <w:left w:w="57" w:type="dxa"/>
                    <w:bottom w:w="28" w:type="dxa"/>
                    <w:right w:w="57" w:type="dxa"/>
                  </w:tcMar>
                  <w:vAlign w:val="center"/>
                </w:tcPr>
                <w:p>
                  <w:pPr>
                    <w:snapToGrid w:val="0"/>
                    <w:jc w:val="center"/>
                    <w:rPr>
                      <w:rFonts w:hAnsi="宋体"/>
                      <w:szCs w:val="21"/>
                      <w:highlight w:val="lightGray"/>
                    </w:rPr>
                  </w:pPr>
                  <w:r>
                    <w:rPr>
                      <w:rFonts w:hint="eastAsia" w:hAnsi="宋体"/>
                      <w:szCs w:val="21"/>
                      <w:highlight w:val="lightGray"/>
                    </w:rPr>
                    <w:t>紫外消毒设备</w:t>
                  </w:r>
                </w:p>
              </w:tc>
              <w:tc>
                <w:tcPr>
                  <w:tcW w:w="992" w:type="dxa"/>
                  <w:tcMar>
                    <w:top w:w="28" w:type="dxa"/>
                    <w:left w:w="57" w:type="dxa"/>
                    <w:bottom w:w="28" w:type="dxa"/>
                    <w:right w:w="57" w:type="dxa"/>
                  </w:tcMar>
                  <w:vAlign w:val="center"/>
                </w:tcPr>
                <w:p>
                  <w:pPr>
                    <w:snapToGrid w:val="0"/>
                    <w:jc w:val="center"/>
                    <w:rPr>
                      <w:szCs w:val="21"/>
                      <w:highlight w:val="lightGray"/>
                    </w:rPr>
                  </w:pPr>
                  <w:r>
                    <w:rPr>
                      <w:rFonts w:hint="eastAsia"/>
                      <w:szCs w:val="21"/>
                      <w:highlight w:val="lightGray"/>
                    </w:rPr>
                    <w:t>污水站</w:t>
                  </w:r>
                </w:p>
              </w:tc>
              <w:tc>
                <w:tcPr>
                  <w:tcW w:w="1135" w:type="dxa"/>
                  <w:tcMar>
                    <w:top w:w="28" w:type="dxa"/>
                    <w:left w:w="57" w:type="dxa"/>
                    <w:bottom w:w="28" w:type="dxa"/>
                    <w:right w:w="57" w:type="dxa"/>
                  </w:tcMar>
                  <w:vAlign w:val="center"/>
                </w:tcPr>
                <w:p>
                  <w:pPr>
                    <w:snapToGrid w:val="0"/>
                    <w:jc w:val="center"/>
                    <w:rPr>
                      <w:szCs w:val="21"/>
                      <w:highlight w:val="lightGray"/>
                    </w:rPr>
                  </w:pPr>
                  <w:r>
                    <w:rPr>
                      <w:rFonts w:hint="eastAsia"/>
                      <w:szCs w:val="21"/>
                      <w:highlight w:val="lightGray"/>
                    </w:rPr>
                    <w:t>/</w:t>
                  </w:r>
                </w:p>
              </w:tc>
              <w:tc>
                <w:tcPr>
                  <w:tcW w:w="640" w:type="dxa"/>
                  <w:tcMar>
                    <w:top w:w="28" w:type="dxa"/>
                    <w:left w:w="57" w:type="dxa"/>
                    <w:bottom w:w="28" w:type="dxa"/>
                    <w:right w:w="57" w:type="dxa"/>
                  </w:tcMar>
                  <w:vAlign w:val="center"/>
                </w:tcPr>
                <w:p>
                  <w:pPr>
                    <w:snapToGrid w:val="0"/>
                    <w:jc w:val="center"/>
                    <w:rPr>
                      <w:szCs w:val="21"/>
                      <w:highlight w:val="lightGray"/>
                    </w:rPr>
                  </w:pPr>
                  <w:r>
                    <w:rPr>
                      <w:rFonts w:hint="eastAsia"/>
                      <w:szCs w:val="21"/>
                      <w:highlight w:val="lightGray"/>
                    </w:rPr>
                    <w:t>1套</w:t>
                  </w:r>
                </w:p>
              </w:tc>
              <w:tc>
                <w:tcPr>
                  <w:tcW w:w="2562" w:type="dxa"/>
                  <w:tcMar>
                    <w:top w:w="28" w:type="dxa"/>
                    <w:left w:w="57" w:type="dxa"/>
                    <w:bottom w:w="28" w:type="dxa"/>
                    <w:right w:w="57" w:type="dxa"/>
                  </w:tcMar>
                  <w:vAlign w:val="center"/>
                </w:tcPr>
                <w:p>
                  <w:pPr>
                    <w:snapToGrid w:val="0"/>
                    <w:jc w:val="center"/>
                    <w:rPr>
                      <w:szCs w:val="21"/>
                      <w:highlight w:val="lightGray"/>
                    </w:rPr>
                  </w:pPr>
                  <w:r>
                    <w:rPr>
                      <w:rFonts w:hint="eastAsia"/>
                      <w:szCs w:val="21"/>
                      <w:highlight w:val="lightGray"/>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731" w:hRule="atLeast"/>
                <w:jc w:val="center"/>
              </w:trPr>
              <w:tc>
                <w:tcPr>
                  <w:tcW w:w="564" w:type="dxa"/>
                  <w:tcMar>
                    <w:top w:w="28" w:type="dxa"/>
                    <w:left w:w="57" w:type="dxa"/>
                    <w:bottom w:w="28" w:type="dxa"/>
                    <w:right w:w="57" w:type="dxa"/>
                  </w:tcMar>
                  <w:vAlign w:val="center"/>
                </w:tcPr>
                <w:p>
                  <w:pPr>
                    <w:snapToGrid w:val="0"/>
                    <w:jc w:val="center"/>
                    <w:rPr>
                      <w:szCs w:val="21"/>
                      <w:highlight w:val="lightGray"/>
                    </w:rPr>
                  </w:pPr>
                  <w:r>
                    <w:rPr>
                      <w:rFonts w:hint="eastAsia"/>
                      <w:szCs w:val="21"/>
                      <w:highlight w:val="lightGray"/>
                    </w:rPr>
                    <w:t>8</w:t>
                  </w:r>
                </w:p>
              </w:tc>
              <w:tc>
                <w:tcPr>
                  <w:tcW w:w="569" w:type="dxa"/>
                  <w:tcMar>
                    <w:top w:w="28" w:type="dxa"/>
                    <w:left w:w="57" w:type="dxa"/>
                    <w:bottom w:w="28" w:type="dxa"/>
                    <w:right w:w="57" w:type="dxa"/>
                  </w:tcMar>
                  <w:vAlign w:val="center"/>
                </w:tcPr>
                <w:p>
                  <w:pPr>
                    <w:snapToGrid w:val="0"/>
                    <w:jc w:val="center"/>
                    <w:rPr>
                      <w:szCs w:val="21"/>
                      <w:highlight w:val="lightGray"/>
                    </w:rPr>
                  </w:pPr>
                  <w:r>
                    <w:rPr>
                      <w:rFonts w:hint="eastAsia"/>
                      <w:szCs w:val="21"/>
                      <w:highlight w:val="lightGray"/>
                    </w:rPr>
                    <w:t>运行管理</w:t>
                  </w:r>
                </w:p>
              </w:tc>
              <w:tc>
                <w:tcPr>
                  <w:tcW w:w="1844" w:type="dxa"/>
                  <w:tcMar>
                    <w:top w:w="28" w:type="dxa"/>
                    <w:left w:w="57" w:type="dxa"/>
                    <w:bottom w:w="28" w:type="dxa"/>
                    <w:right w:w="57" w:type="dxa"/>
                  </w:tcMar>
                  <w:vAlign w:val="center"/>
                </w:tcPr>
                <w:p>
                  <w:pPr>
                    <w:snapToGrid w:val="0"/>
                    <w:jc w:val="center"/>
                    <w:rPr>
                      <w:rFonts w:hAnsi="宋体"/>
                      <w:szCs w:val="21"/>
                      <w:highlight w:val="lightGray"/>
                    </w:rPr>
                  </w:pPr>
                  <w:r>
                    <w:rPr>
                      <w:rFonts w:hint="eastAsia" w:hAnsi="宋体"/>
                      <w:szCs w:val="21"/>
                      <w:highlight w:val="lightGray"/>
                    </w:rPr>
                    <w:t>运行台账</w:t>
                  </w:r>
                </w:p>
              </w:tc>
              <w:tc>
                <w:tcPr>
                  <w:tcW w:w="992" w:type="dxa"/>
                  <w:tcMar>
                    <w:top w:w="28" w:type="dxa"/>
                    <w:left w:w="57" w:type="dxa"/>
                    <w:bottom w:w="28" w:type="dxa"/>
                    <w:right w:w="57" w:type="dxa"/>
                  </w:tcMar>
                  <w:vAlign w:val="center"/>
                </w:tcPr>
                <w:p>
                  <w:pPr>
                    <w:snapToGrid w:val="0"/>
                    <w:jc w:val="center"/>
                    <w:rPr>
                      <w:szCs w:val="21"/>
                      <w:highlight w:val="lightGray"/>
                    </w:rPr>
                  </w:pPr>
                  <w:r>
                    <w:rPr>
                      <w:rFonts w:hint="eastAsia"/>
                      <w:szCs w:val="21"/>
                      <w:highlight w:val="lightGray"/>
                    </w:rPr>
                    <w:t>设备间</w:t>
                  </w:r>
                </w:p>
              </w:tc>
              <w:tc>
                <w:tcPr>
                  <w:tcW w:w="1135" w:type="dxa"/>
                  <w:tcMar>
                    <w:top w:w="28" w:type="dxa"/>
                    <w:left w:w="57" w:type="dxa"/>
                    <w:bottom w:w="28" w:type="dxa"/>
                    <w:right w:w="57" w:type="dxa"/>
                  </w:tcMar>
                  <w:vAlign w:val="center"/>
                </w:tcPr>
                <w:p>
                  <w:pPr>
                    <w:snapToGrid w:val="0"/>
                    <w:jc w:val="center"/>
                    <w:rPr>
                      <w:szCs w:val="21"/>
                      <w:highlight w:val="lightGray"/>
                    </w:rPr>
                  </w:pPr>
                  <w:r>
                    <w:rPr>
                      <w:rFonts w:hint="eastAsia"/>
                      <w:szCs w:val="21"/>
                      <w:highlight w:val="lightGray"/>
                    </w:rPr>
                    <w:t>/</w:t>
                  </w:r>
                </w:p>
              </w:tc>
              <w:tc>
                <w:tcPr>
                  <w:tcW w:w="640" w:type="dxa"/>
                  <w:tcMar>
                    <w:top w:w="28" w:type="dxa"/>
                    <w:left w:w="57" w:type="dxa"/>
                    <w:bottom w:w="28" w:type="dxa"/>
                    <w:right w:w="57" w:type="dxa"/>
                  </w:tcMar>
                  <w:vAlign w:val="center"/>
                </w:tcPr>
                <w:p>
                  <w:pPr>
                    <w:snapToGrid w:val="0"/>
                    <w:jc w:val="center"/>
                    <w:rPr>
                      <w:szCs w:val="21"/>
                      <w:highlight w:val="lightGray"/>
                    </w:rPr>
                  </w:pPr>
                  <w:r>
                    <w:rPr>
                      <w:rFonts w:hint="eastAsia"/>
                      <w:szCs w:val="21"/>
                      <w:highlight w:val="lightGray"/>
                    </w:rPr>
                    <w:t>1套</w:t>
                  </w:r>
                </w:p>
              </w:tc>
              <w:tc>
                <w:tcPr>
                  <w:tcW w:w="2562" w:type="dxa"/>
                  <w:tcMar>
                    <w:top w:w="28" w:type="dxa"/>
                    <w:left w:w="57" w:type="dxa"/>
                    <w:bottom w:w="28" w:type="dxa"/>
                    <w:right w:w="57" w:type="dxa"/>
                  </w:tcMar>
                  <w:vAlign w:val="center"/>
                </w:tcPr>
                <w:p>
                  <w:pPr>
                    <w:snapToGrid w:val="0"/>
                    <w:jc w:val="center"/>
                    <w:rPr>
                      <w:szCs w:val="21"/>
                      <w:highlight w:val="lightGray"/>
                    </w:rPr>
                  </w:pPr>
                  <w:r>
                    <w:rPr>
                      <w:rFonts w:hint="eastAsia"/>
                      <w:szCs w:val="21"/>
                      <w:highlight w:val="lightGray"/>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98" w:hRule="atLeast"/>
                <w:jc w:val="center"/>
              </w:trPr>
              <w:tc>
                <w:tcPr>
                  <w:tcW w:w="564" w:type="dxa"/>
                  <w:tcMar>
                    <w:top w:w="28" w:type="dxa"/>
                    <w:left w:w="57" w:type="dxa"/>
                    <w:bottom w:w="28" w:type="dxa"/>
                    <w:right w:w="57" w:type="dxa"/>
                  </w:tcMar>
                  <w:vAlign w:val="center"/>
                </w:tcPr>
                <w:p>
                  <w:pPr>
                    <w:snapToGrid w:val="0"/>
                    <w:jc w:val="center"/>
                    <w:rPr>
                      <w:szCs w:val="21"/>
                    </w:rPr>
                  </w:pPr>
                  <w:r>
                    <w:rPr>
                      <w:rFonts w:hint="eastAsia"/>
                      <w:szCs w:val="21"/>
                    </w:rPr>
                    <w:t>9</w:t>
                  </w:r>
                </w:p>
              </w:tc>
              <w:tc>
                <w:tcPr>
                  <w:tcW w:w="2413" w:type="dxa"/>
                  <w:gridSpan w:val="2"/>
                  <w:tcMar>
                    <w:top w:w="28" w:type="dxa"/>
                    <w:left w:w="57" w:type="dxa"/>
                    <w:bottom w:w="28" w:type="dxa"/>
                    <w:right w:w="57" w:type="dxa"/>
                  </w:tcMar>
                  <w:vAlign w:val="center"/>
                </w:tcPr>
                <w:p>
                  <w:pPr>
                    <w:snapToGrid w:val="0"/>
                    <w:jc w:val="center"/>
                    <w:rPr>
                      <w:szCs w:val="21"/>
                      <w:highlight w:val="lightGray"/>
                    </w:rPr>
                  </w:pPr>
                  <w:r>
                    <w:rPr>
                      <w:rFonts w:hint="eastAsia"/>
                      <w:szCs w:val="21"/>
                      <w:highlight w:val="lightGray"/>
                    </w:rPr>
                    <w:t>绿化</w:t>
                  </w:r>
                </w:p>
              </w:tc>
              <w:tc>
                <w:tcPr>
                  <w:tcW w:w="5329" w:type="dxa"/>
                  <w:gridSpan w:val="4"/>
                  <w:vAlign w:val="center"/>
                </w:tcPr>
                <w:p>
                  <w:pPr>
                    <w:snapToGrid w:val="0"/>
                    <w:jc w:val="center"/>
                    <w:rPr>
                      <w:szCs w:val="21"/>
                      <w:highlight w:val="lightGray"/>
                    </w:rPr>
                  </w:pPr>
                  <w:r>
                    <w:rPr>
                      <w:rFonts w:hint="eastAsia"/>
                      <w:szCs w:val="21"/>
                      <w:highlight w:val="lightGray"/>
                    </w:rPr>
                    <w:t>工程占地恢复绿化面积1387.28</w:t>
                  </w:r>
                  <w:r>
                    <w:rPr>
                      <w:szCs w:val="21"/>
                      <w:highlight w:val="lightGray"/>
                    </w:rPr>
                    <w:t>m</w:t>
                  </w:r>
                  <w:r>
                    <w:rPr>
                      <w:szCs w:val="21"/>
                      <w:highlight w:val="lightGray"/>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98" w:hRule="atLeast"/>
                <w:jc w:val="center"/>
              </w:trPr>
              <w:tc>
                <w:tcPr>
                  <w:tcW w:w="564" w:type="dxa"/>
                  <w:tcMar>
                    <w:top w:w="28" w:type="dxa"/>
                    <w:left w:w="57" w:type="dxa"/>
                    <w:bottom w:w="28" w:type="dxa"/>
                    <w:right w:w="57" w:type="dxa"/>
                  </w:tcMar>
                  <w:vAlign w:val="center"/>
                </w:tcPr>
                <w:p>
                  <w:pPr>
                    <w:snapToGrid w:val="0"/>
                    <w:jc w:val="center"/>
                    <w:rPr>
                      <w:szCs w:val="21"/>
                    </w:rPr>
                  </w:pPr>
                  <w:r>
                    <w:rPr>
                      <w:rFonts w:hint="eastAsia"/>
                      <w:szCs w:val="21"/>
                    </w:rPr>
                    <w:t>10</w:t>
                  </w:r>
                </w:p>
              </w:tc>
              <w:tc>
                <w:tcPr>
                  <w:tcW w:w="2413" w:type="dxa"/>
                  <w:gridSpan w:val="2"/>
                  <w:tcMar>
                    <w:top w:w="28" w:type="dxa"/>
                    <w:left w:w="57" w:type="dxa"/>
                    <w:bottom w:w="28" w:type="dxa"/>
                    <w:right w:w="57" w:type="dxa"/>
                  </w:tcMar>
                  <w:vAlign w:val="center"/>
                </w:tcPr>
                <w:p>
                  <w:pPr>
                    <w:snapToGrid w:val="0"/>
                    <w:jc w:val="center"/>
                    <w:rPr>
                      <w:szCs w:val="21"/>
                      <w:highlight w:val="lightGray"/>
                    </w:rPr>
                  </w:pPr>
                  <w:r>
                    <w:rPr>
                      <w:rFonts w:hint="eastAsia"/>
                      <w:szCs w:val="21"/>
                      <w:highlight w:val="lightGray"/>
                    </w:rPr>
                    <w:t>施工管理</w:t>
                  </w:r>
                </w:p>
              </w:tc>
              <w:tc>
                <w:tcPr>
                  <w:tcW w:w="5329" w:type="dxa"/>
                  <w:gridSpan w:val="4"/>
                  <w:vAlign w:val="center"/>
                </w:tcPr>
                <w:p>
                  <w:pPr>
                    <w:snapToGrid w:val="0"/>
                    <w:jc w:val="center"/>
                    <w:rPr>
                      <w:szCs w:val="21"/>
                      <w:highlight w:val="lightGray"/>
                    </w:rPr>
                  </w:pPr>
                  <w:r>
                    <w:rPr>
                      <w:rFonts w:hint="eastAsia"/>
                      <w:szCs w:val="21"/>
                      <w:highlight w:val="lightGray"/>
                    </w:rPr>
                    <w:t>施工期“三废”管理是否有遗留问题</w:t>
                  </w:r>
                </w:p>
              </w:tc>
            </w:tr>
          </w:tbl>
          <w:p>
            <w:pPr>
              <w:spacing w:line="360" w:lineRule="auto"/>
              <w:ind w:firstLine="480" w:firstLineChars="200"/>
              <w:rPr>
                <w:b/>
                <w:szCs w:val="21"/>
              </w:rPr>
            </w:pPr>
            <w:r>
              <w:rPr>
                <w:rFonts w:hint="eastAsia"/>
                <w:sz w:val="24"/>
                <w:szCs w:val="24"/>
              </w:rPr>
              <w:t>项目运营期污染物排放清单见表72。</w:t>
            </w:r>
          </w:p>
          <w:p>
            <w:pPr>
              <w:spacing w:line="360" w:lineRule="auto"/>
              <w:ind w:firstLine="420"/>
              <w:jc w:val="center"/>
              <w:rPr>
                <w:b/>
                <w:szCs w:val="21"/>
              </w:rPr>
            </w:pPr>
            <w:r>
              <w:rPr>
                <w:rFonts w:hint="eastAsia"/>
                <w:b/>
                <w:szCs w:val="21"/>
              </w:rPr>
              <w:t>表72    运营期污染物排放清单</w:t>
            </w:r>
          </w:p>
          <w:tbl>
            <w:tblPr>
              <w:tblStyle w:val="35"/>
              <w:tblW w:w="830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65"/>
              <w:gridCol w:w="709"/>
              <w:gridCol w:w="1135"/>
              <w:gridCol w:w="1419"/>
              <w:gridCol w:w="1274"/>
              <w:gridCol w:w="1366"/>
              <w:gridCol w:w="183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565"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b/>
                      <w:kern w:val="2"/>
                      <w:sz w:val="21"/>
                      <w:szCs w:val="21"/>
                    </w:rPr>
                  </w:pPr>
                  <w:r>
                    <w:rPr>
                      <w:rFonts w:ascii="Times New Roman" w:hAnsi="宋体" w:eastAsia="宋体"/>
                      <w:b/>
                      <w:kern w:val="2"/>
                      <w:sz w:val="21"/>
                      <w:szCs w:val="21"/>
                    </w:rPr>
                    <w:t>类别</w:t>
                  </w:r>
                </w:p>
              </w:tc>
              <w:tc>
                <w:tcPr>
                  <w:tcW w:w="70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b/>
                      <w:kern w:val="2"/>
                      <w:sz w:val="21"/>
                      <w:szCs w:val="21"/>
                    </w:rPr>
                  </w:pPr>
                  <w:r>
                    <w:rPr>
                      <w:rFonts w:ascii="Times New Roman" w:hAnsi="宋体" w:eastAsia="宋体"/>
                      <w:b/>
                      <w:kern w:val="2"/>
                      <w:sz w:val="21"/>
                      <w:szCs w:val="21"/>
                    </w:rPr>
                    <w:t>污染源</w:t>
                  </w:r>
                </w:p>
              </w:tc>
              <w:tc>
                <w:tcPr>
                  <w:tcW w:w="1135"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b/>
                      <w:kern w:val="2"/>
                      <w:sz w:val="21"/>
                      <w:szCs w:val="21"/>
                    </w:rPr>
                  </w:pPr>
                  <w:r>
                    <w:rPr>
                      <w:rFonts w:ascii="Times New Roman" w:hAnsi="宋体" w:eastAsia="宋体"/>
                      <w:b/>
                      <w:kern w:val="2"/>
                      <w:sz w:val="21"/>
                      <w:szCs w:val="21"/>
                    </w:rPr>
                    <w:t>污染物名称</w:t>
                  </w:r>
                </w:p>
              </w:tc>
              <w:tc>
                <w:tcPr>
                  <w:tcW w:w="141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b/>
                      <w:kern w:val="2"/>
                      <w:sz w:val="21"/>
                      <w:szCs w:val="21"/>
                    </w:rPr>
                  </w:pPr>
                  <w:r>
                    <w:rPr>
                      <w:rFonts w:ascii="Times New Roman" w:hAnsi="宋体" w:eastAsia="宋体"/>
                      <w:b/>
                      <w:kern w:val="2"/>
                      <w:sz w:val="21"/>
                      <w:szCs w:val="21"/>
                    </w:rPr>
                    <w:t>产生量</w:t>
                  </w:r>
                  <w:r>
                    <w:rPr>
                      <w:rFonts w:hint="eastAsia" w:ascii="Times New Roman" w:hAnsi="宋体" w:eastAsia="宋体"/>
                      <w:b/>
                      <w:kern w:val="2"/>
                      <w:sz w:val="21"/>
                      <w:szCs w:val="21"/>
                    </w:rPr>
                    <w:t>及</w:t>
                  </w:r>
                  <w:r>
                    <w:rPr>
                      <w:rFonts w:ascii="Times New Roman" w:hAnsi="宋体" w:eastAsia="宋体"/>
                      <w:b/>
                      <w:kern w:val="2"/>
                      <w:sz w:val="21"/>
                      <w:szCs w:val="21"/>
                    </w:rPr>
                    <w:t>浓度</w:t>
                  </w:r>
                </w:p>
              </w:tc>
              <w:tc>
                <w:tcPr>
                  <w:tcW w:w="1274"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b/>
                      <w:kern w:val="2"/>
                      <w:sz w:val="21"/>
                      <w:szCs w:val="21"/>
                    </w:rPr>
                  </w:pPr>
                  <w:r>
                    <w:rPr>
                      <w:rFonts w:ascii="Times New Roman" w:hAnsi="宋体" w:eastAsia="宋体"/>
                      <w:b/>
                      <w:kern w:val="2"/>
                      <w:sz w:val="21"/>
                      <w:szCs w:val="21"/>
                    </w:rPr>
                    <w:t>治理措施</w:t>
                  </w:r>
                </w:p>
              </w:tc>
              <w:tc>
                <w:tcPr>
                  <w:tcW w:w="1366"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b/>
                      <w:kern w:val="2"/>
                      <w:sz w:val="21"/>
                      <w:szCs w:val="21"/>
                    </w:rPr>
                  </w:pPr>
                  <w:r>
                    <w:rPr>
                      <w:rFonts w:ascii="Times New Roman" w:hAnsi="宋体" w:eastAsia="宋体"/>
                      <w:b/>
                      <w:kern w:val="2"/>
                      <w:sz w:val="21"/>
                      <w:szCs w:val="21"/>
                    </w:rPr>
                    <w:t>排放量</w:t>
                  </w:r>
                  <w:r>
                    <w:rPr>
                      <w:rFonts w:hint="eastAsia" w:ascii="Times New Roman" w:hAnsi="宋体" w:eastAsia="宋体"/>
                      <w:b/>
                      <w:kern w:val="2"/>
                      <w:sz w:val="21"/>
                      <w:szCs w:val="21"/>
                    </w:rPr>
                    <w:t>及</w:t>
                  </w:r>
                  <w:r>
                    <w:rPr>
                      <w:rFonts w:ascii="Times New Roman" w:hAnsi="宋体" w:eastAsia="宋体"/>
                      <w:b/>
                      <w:kern w:val="2"/>
                      <w:sz w:val="21"/>
                      <w:szCs w:val="21"/>
                    </w:rPr>
                    <w:t>浓度</w:t>
                  </w:r>
                </w:p>
              </w:tc>
              <w:tc>
                <w:tcPr>
                  <w:tcW w:w="1838"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b/>
                      <w:kern w:val="2"/>
                      <w:sz w:val="21"/>
                      <w:szCs w:val="21"/>
                    </w:rPr>
                  </w:pPr>
                  <w:r>
                    <w:rPr>
                      <w:rFonts w:ascii="Times New Roman" w:hAnsi="宋体" w:eastAsia="宋体"/>
                      <w:b/>
                      <w:kern w:val="2"/>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565" w:type="dxa"/>
                  <w:vMerge w:val="restart"/>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大气污染物</w:t>
                  </w:r>
                </w:p>
              </w:tc>
              <w:tc>
                <w:tcPr>
                  <w:tcW w:w="709" w:type="dxa"/>
                  <w:vMerge w:val="restart"/>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污水处理恶臭</w:t>
                  </w:r>
                </w:p>
              </w:tc>
              <w:tc>
                <w:tcPr>
                  <w:tcW w:w="1135"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hAnsi="宋体" w:eastAsia="宋体"/>
                      <w:kern w:val="2"/>
                      <w:sz w:val="21"/>
                      <w:szCs w:val="21"/>
                    </w:rPr>
                    <w:t>NH</w:t>
                  </w:r>
                  <w:r>
                    <w:rPr>
                      <w:rFonts w:hint="eastAsia" w:ascii="Times New Roman" w:hAnsi="宋体" w:eastAsia="宋体"/>
                      <w:kern w:val="2"/>
                      <w:sz w:val="21"/>
                      <w:szCs w:val="21"/>
                      <w:vertAlign w:val="subscript"/>
                    </w:rPr>
                    <w:t>3</w:t>
                  </w:r>
                </w:p>
              </w:tc>
              <w:tc>
                <w:tcPr>
                  <w:tcW w:w="141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14.7kg/a</w:t>
                  </w:r>
                </w:p>
              </w:tc>
              <w:tc>
                <w:tcPr>
                  <w:tcW w:w="1274" w:type="dxa"/>
                  <w:vMerge w:val="restart"/>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地埋设备、加盖密封</w:t>
                  </w:r>
                </w:p>
              </w:tc>
              <w:tc>
                <w:tcPr>
                  <w:tcW w:w="1366"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1.47kg/a，0.47</w:t>
                  </w:r>
                  <w:r>
                    <w:rPr>
                      <w:rFonts w:ascii="Times New Roman" w:eastAsia="宋体"/>
                      <w:bCs/>
                      <w:kern w:val="2"/>
                      <w:sz w:val="21"/>
                      <w:szCs w:val="21"/>
                    </w:rPr>
                    <w:t>mg/m</w:t>
                  </w:r>
                  <w:r>
                    <w:rPr>
                      <w:rFonts w:ascii="Times New Roman" w:eastAsia="宋体"/>
                      <w:bCs/>
                      <w:kern w:val="2"/>
                      <w:sz w:val="21"/>
                      <w:szCs w:val="21"/>
                      <w:vertAlign w:val="superscript"/>
                    </w:rPr>
                    <w:t>3</w:t>
                  </w:r>
                </w:p>
              </w:tc>
              <w:tc>
                <w:tcPr>
                  <w:tcW w:w="1838" w:type="dxa"/>
                  <w:vMerge w:val="restart"/>
                  <w:vAlign w:val="center"/>
                </w:tcPr>
                <w:p>
                  <w:pPr>
                    <w:pStyle w:val="204"/>
                    <w:snapToGrid w:val="0"/>
                    <w:spacing w:before="0" w:after="0" w:line="240" w:lineRule="auto"/>
                    <w:ind w:left="-105" w:leftChars="-50" w:right="-105" w:rightChars="-50" w:firstLine="0" w:firstLineChars="0"/>
                    <w:jc w:val="center"/>
                    <w:rPr>
                      <w:rFonts w:ascii="Times New Roman" w:eastAsia="宋体"/>
                      <w:kern w:val="2"/>
                      <w:sz w:val="21"/>
                      <w:szCs w:val="21"/>
                    </w:rPr>
                  </w:pPr>
                  <w:r>
                    <w:rPr>
                      <w:rFonts w:ascii="Times New Roman" w:eastAsia="宋体"/>
                      <w:bCs/>
                      <w:kern w:val="2"/>
                      <w:sz w:val="21"/>
                      <w:szCs w:val="21"/>
                    </w:rPr>
                    <w:t>《城镇污水处理厂污染物排放标准》（GB18918-2002）中表4</w:t>
                  </w:r>
                  <w:r>
                    <w:rPr>
                      <w:rFonts w:ascii="Times New Roman" w:eastAsia="宋体"/>
                      <w:kern w:val="2"/>
                      <w:sz w:val="21"/>
                      <w:szCs w:val="21"/>
                    </w:rPr>
                    <w:t>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565" w:type="dxa"/>
                  <w:vMerge w:val="continue"/>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p>
              </w:tc>
              <w:tc>
                <w:tcPr>
                  <w:tcW w:w="709" w:type="dxa"/>
                  <w:vMerge w:val="continue"/>
                  <w:vAlign w:val="center"/>
                </w:tcPr>
                <w:p>
                  <w:pPr>
                    <w:ind w:left="-105" w:leftChars="-50" w:right="-105" w:rightChars="-50"/>
                    <w:jc w:val="center"/>
                    <w:rPr>
                      <w:szCs w:val="21"/>
                    </w:rPr>
                  </w:pPr>
                </w:p>
              </w:tc>
              <w:tc>
                <w:tcPr>
                  <w:tcW w:w="1135" w:type="dxa"/>
                  <w:vAlign w:val="center"/>
                </w:tcPr>
                <w:p>
                  <w:pPr>
                    <w:spacing w:line="340" w:lineRule="exact"/>
                    <w:ind w:left="-105" w:leftChars="-50" w:right="-105" w:rightChars="-50"/>
                    <w:jc w:val="center"/>
                    <w:rPr>
                      <w:szCs w:val="21"/>
                    </w:rPr>
                  </w:pPr>
                  <w:r>
                    <w:rPr>
                      <w:rFonts w:hint="eastAsia"/>
                      <w:szCs w:val="21"/>
                    </w:rPr>
                    <w:t>H</w:t>
                  </w:r>
                  <w:r>
                    <w:rPr>
                      <w:rFonts w:hint="eastAsia"/>
                      <w:szCs w:val="21"/>
                      <w:vertAlign w:val="subscript"/>
                    </w:rPr>
                    <w:t>2</w:t>
                  </w:r>
                  <w:r>
                    <w:rPr>
                      <w:rFonts w:hint="eastAsia"/>
                      <w:szCs w:val="21"/>
                    </w:rPr>
                    <w:t>S</w:t>
                  </w:r>
                </w:p>
              </w:tc>
              <w:tc>
                <w:tcPr>
                  <w:tcW w:w="141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0.57kg/a</w:t>
                  </w:r>
                </w:p>
              </w:tc>
              <w:tc>
                <w:tcPr>
                  <w:tcW w:w="1274" w:type="dxa"/>
                  <w:vMerge w:val="continue"/>
                  <w:vAlign w:val="center"/>
                </w:tcPr>
                <w:p>
                  <w:pPr>
                    <w:snapToGrid w:val="0"/>
                    <w:ind w:left="-105" w:leftChars="-50" w:right="-105" w:rightChars="-50"/>
                    <w:jc w:val="center"/>
                    <w:rPr>
                      <w:szCs w:val="21"/>
                    </w:rPr>
                  </w:pPr>
                </w:p>
              </w:tc>
              <w:tc>
                <w:tcPr>
                  <w:tcW w:w="1366"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0.057kg/a，0.018</w:t>
                  </w:r>
                  <w:r>
                    <w:rPr>
                      <w:rFonts w:ascii="Times New Roman" w:eastAsia="宋体"/>
                      <w:bCs/>
                      <w:kern w:val="2"/>
                      <w:sz w:val="21"/>
                      <w:szCs w:val="21"/>
                    </w:rPr>
                    <w:t>mg/m</w:t>
                  </w:r>
                  <w:r>
                    <w:rPr>
                      <w:rFonts w:ascii="Times New Roman" w:eastAsia="宋体"/>
                      <w:bCs/>
                      <w:kern w:val="2"/>
                      <w:sz w:val="21"/>
                      <w:szCs w:val="21"/>
                      <w:vertAlign w:val="superscript"/>
                    </w:rPr>
                    <w:t>3</w:t>
                  </w:r>
                </w:p>
              </w:tc>
              <w:tc>
                <w:tcPr>
                  <w:tcW w:w="1838" w:type="dxa"/>
                  <w:vMerge w:val="continue"/>
                  <w:vAlign w:val="center"/>
                </w:tcPr>
                <w:p>
                  <w:pPr>
                    <w:pStyle w:val="204"/>
                    <w:snapToGrid w:val="0"/>
                    <w:spacing w:before="0" w:after="0"/>
                    <w:ind w:left="-105" w:leftChars="-50" w:right="-105" w:rightChars="-50" w:firstLine="420"/>
                    <w:jc w:val="center"/>
                    <w:rPr>
                      <w:rFonts w:ascii="Times New Roman" w:eastAsia="宋体"/>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565" w:type="dxa"/>
                  <w:vMerge w:val="continue"/>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p>
              </w:tc>
              <w:tc>
                <w:tcPr>
                  <w:tcW w:w="709" w:type="dxa"/>
                  <w:vMerge w:val="restart"/>
                  <w:vAlign w:val="center"/>
                </w:tcPr>
                <w:p>
                  <w:pPr>
                    <w:ind w:left="-105" w:leftChars="-50" w:right="-105" w:rightChars="-50"/>
                    <w:jc w:val="center"/>
                    <w:rPr>
                      <w:szCs w:val="21"/>
                    </w:rPr>
                  </w:pPr>
                  <w:r>
                    <w:rPr>
                      <w:rFonts w:hint="eastAsia"/>
                      <w:szCs w:val="21"/>
                    </w:rPr>
                    <w:t>汽车尾气</w:t>
                  </w:r>
                </w:p>
              </w:tc>
              <w:tc>
                <w:tcPr>
                  <w:tcW w:w="1135" w:type="dxa"/>
                  <w:vAlign w:val="center"/>
                </w:tcPr>
                <w:p>
                  <w:pPr>
                    <w:spacing w:line="340" w:lineRule="exact"/>
                    <w:ind w:left="-105" w:leftChars="-50" w:right="-105" w:rightChars="-50"/>
                    <w:jc w:val="center"/>
                    <w:rPr>
                      <w:szCs w:val="21"/>
                    </w:rPr>
                  </w:pPr>
                  <w:r>
                    <w:rPr>
                      <w:szCs w:val="21"/>
                    </w:rPr>
                    <w:t>NMHC</w:t>
                  </w:r>
                  <w:r>
                    <w:rPr>
                      <w:rFonts w:hint="eastAsia"/>
                      <w:szCs w:val="21"/>
                    </w:rPr>
                    <w:t>（低速）</w:t>
                  </w:r>
                </w:p>
              </w:tc>
              <w:tc>
                <w:tcPr>
                  <w:tcW w:w="141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ascii="Times New Roman" w:eastAsia="宋体"/>
                      <w:kern w:val="2"/>
                      <w:sz w:val="21"/>
                      <w:szCs w:val="21"/>
                    </w:rPr>
                    <w:t>670 ppm</w:t>
                  </w:r>
                </w:p>
              </w:tc>
              <w:tc>
                <w:tcPr>
                  <w:tcW w:w="1274" w:type="dxa"/>
                  <w:vMerge w:val="restart"/>
                  <w:vAlign w:val="center"/>
                </w:tcPr>
                <w:p>
                  <w:pPr>
                    <w:snapToGrid w:val="0"/>
                    <w:ind w:left="-105" w:leftChars="-50" w:right="-105" w:rightChars="-50"/>
                    <w:jc w:val="center"/>
                    <w:rPr>
                      <w:szCs w:val="21"/>
                    </w:rPr>
                  </w:pPr>
                  <w:r>
                    <w:rPr>
                      <w:rFonts w:hint="eastAsia"/>
                      <w:szCs w:val="21"/>
                    </w:rPr>
                    <w:t>限速、清洁路面、洒水</w:t>
                  </w:r>
                </w:p>
              </w:tc>
              <w:tc>
                <w:tcPr>
                  <w:tcW w:w="1366"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ascii="Times New Roman" w:eastAsia="宋体"/>
                      <w:kern w:val="2"/>
                      <w:sz w:val="21"/>
                      <w:szCs w:val="21"/>
                    </w:rPr>
                    <w:t>670 ppm</w:t>
                  </w:r>
                </w:p>
              </w:tc>
              <w:tc>
                <w:tcPr>
                  <w:tcW w:w="1838" w:type="dxa"/>
                  <w:vMerge w:val="restart"/>
                  <w:vAlign w:val="center"/>
                </w:tcPr>
                <w:p>
                  <w:pPr>
                    <w:pStyle w:val="204"/>
                    <w:snapToGrid w:val="0"/>
                    <w:spacing w:before="0" w:after="0" w:line="240" w:lineRule="auto"/>
                    <w:ind w:right="-105" w:rightChars="-50" w:firstLine="0" w:firstLineChars="0"/>
                    <w:rPr>
                      <w:rFonts w:ascii="Times New Roman" w:eastAsia="宋体"/>
                      <w:kern w:val="2"/>
                      <w:sz w:val="21"/>
                      <w:szCs w:val="21"/>
                    </w:rPr>
                  </w:pPr>
                  <w:r>
                    <w:rPr>
                      <w:rFonts w:ascii="Times New Roman" w:eastAsia="宋体"/>
                      <w:kern w:val="2"/>
                      <w:sz w:val="21"/>
                      <w:szCs w:val="21"/>
                    </w:rPr>
                    <w:t>《大气污染物综合排放标准》（GB16297-1996）</w:t>
                  </w:r>
                  <w:r>
                    <w:rPr>
                      <w:rFonts w:hint="eastAsia" w:ascii="Times New Roman" w:eastAsia="宋体"/>
                      <w:kern w:val="2"/>
                      <w:sz w:val="21"/>
                      <w:szCs w:val="21"/>
                    </w:rPr>
                    <w:t>表2二级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565" w:type="dxa"/>
                  <w:vMerge w:val="continue"/>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p>
              </w:tc>
              <w:tc>
                <w:tcPr>
                  <w:tcW w:w="709" w:type="dxa"/>
                  <w:vMerge w:val="continue"/>
                  <w:vAlign w:val="center"/>
                </w:tcPr>
                <w:p>
                  <w:pPr>
                    <w:ind w:left="-105" w:leftChars="-50" w:right="-105" w:rightChars="-50"/>
                    <w:jc w:val="center"/>
                    <w:rPr>
                      <w:szCs w:val="21"/>
                    </w:rPr>
                  </w:pPr>
                </w:p>
              </w:tc>
              <w:tc>
                <w:tcPr>
                  <w:tcW w:w="1135" w:type="dxa"/>
                  <w:vAlign w:val="center"/>
                </w:tcPr>
                <w:p>
                  <w:pPr>
                    <w:spacing w:line="340" w:lineRule="exact"/>
                    <w:ind w:left="-105" w:leftChars="-50" w:right="-105" w:rightChars="-50"/>
                    <w:jc w:val="center"/>
                    <w:rPr>
                      <w:szCs w:val="21"/>
                    </w:rPr>
                  </w:pPr>
                  <w:r>
                    <w:rPr>
                      <w:szCs w:val="21"/>
                    </w:rPr>
                    <w:t>NOx</w:t>
                  </w:r>
                  <w:r>
                    <w:rPr>
                      <w:rFonts w:hint="eastAsia"/>
                      <w:szCs w:val="21"/>
                    </w:rPr>
                    <w:t>（低速）</w:t>
                  </w:r>
                </w:p>
              </w:tc>
              <w:tc>
                <w:tcPr>
                  <w:tcW w:w="141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ascii="Times New Roman" w:eastAsia="宋体"/>
                      <w:kern w:val="2"/>
                      <w:sz w:val="21"/>
                      <w:szCs w:val="21"/>
                    </w:rPr>
                    <w:t>191 ppm</w:t>
                  </w:r>
                </w:p>
              </w:tc>
              <w:tc>
                <w:tcPr>
                  <w:tcW w:w="1274" w:type="dxa"/>
                  <w:vMerge w:val="continue"/>
                  <w:vAlign w:val="center"/>
                </w:tcPr>
                <w:p>
                  <w:pPr>
                    <w:snapToGrid w:val="0"/>
                    <w:ind w:left="-105" w:leftChars="-50" w:right="-105" w:rightChars="-50"/>
                    <w:jc w:val="center"/>
                    <w:rPr>
                      <w:szCs w:val="21"/>
                    </w:rPr>
                  </w:pPr>
                </w:p>
              </w:tc>
              <w:tc>
                <w:tcPr>
                  <w:tcW w:w="1366"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ascii="Times New Roman" w:eastAsia="宋体"/>
                      <w:kern w:val="2"/>
                      <w:sz w:val="21"/>
                      <w:szCs w:val="21"/>
                    </w:rPr>
                    <w:t>191 ppm</w:t>
                  </w:r>
                </w:p>
              </w:tc>
              <w:tc>
                <w:tcPr>
                  <w:tcW w:w="1838" w:type="dxa"/>
                  <w:vMerge w:val="continue"/>
                  <w:vAlign w:val="center"/>
                </w:tcPr>
                <w:p>
                  <w:pPr>
                    <w:pStyle w:val="204"/>
                    <w:snapToGrid w:val="0"/>
                    <w:spacing w:before="0" w:after="0"/>
                    <w:ind w:left="-105" w:leftChars="-50" w:right="-105" w:rightChars="-50" w:firstLine="420"/>
                    <w:jc w:val="center"/>
                    <w:rPr>
                      <w:rFonts w:ascii="Times New Roman" w:eastAsia="宋体"/>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565" w:type="dxa"/>
                  <w:vMerge w:val="continue"/>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p>
              </w:tc>
              <w:tc>
                <w:tcPr>
                  <w:tcW w:w="709" w:type="dxa"/>
                  <w:vMerge w:val="continue"/>
                  <w:vAlign w:val="center"/>
                </w:tcPr>
                <w:p>
                  <w:pPr>
                    <w:ind w:left="-105" w:leftChars="-50" w:right="-105" w:rightChars="-50"/>
                    <w:jc w:val="center"/>
                    <w:rPr>
                      <w:szCs w:val="21"/>
                    </w:rPr>
                  </w:pPr>
                </w:p>
              </w:tc>
              <w:tc>
                <w:tcPr>
                  <w:tcW w:w="1135" w:type="dxa"/>
                  <w:vAlign w:val="center"/>
                </w:tcPr>
                <w:p>
                  <w:pPr>
                    <w:spacing w:line="340" w:lineRule="exact"/>
                    <w:ind w:left="-105" w:leftChars="-50" w:right="-105" w:rightChars="-50"/>
                    <w:jc w:val="center"/>
                    <w:rPr>
                      <w:szCs w:val="21"/>
                    </w:rPr>
                  </w:pPr>
                  <w:r>
                    <w:rPr>
                      <w:szCs w:val="21"/>
                    </w:rPr>
                    <w:t>CO</w:t>
                  </w:r>
                </w:p>
              </w:tc>
              <w:tc>
                <w:tcPr>
                  <w:tcW w:w="141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ascii="Times New Roman" w:eastAsia="宋体"/>
                      <w:kern w:val="2"/>
                      <w:sz w:val="21"/>
                      <w:szCs w:val="21"/>
                    </w:rPr>
                    <w:t>3.5%</w:t>
                  </w:r>
                </w:p>
              </w:tc>
              <w:tc>
                <w:tcPr>
                  <w:tcW w:w="1274" w:type="dxa"/>
                  <w:vMerge w:val="continue"/>
                  <w:vAlign w:val="center"/>
                </w:tcPr>
                <w:p>
                  <w:pPr>
                    <w:snapToGrid w:val="0"/>
                    <w:ind w:left="-105" w:leftChars="-50" w:right="-105" w:rightChars="-50"/>
                    <w:jc w:val="center"/>
                    <w:rPr>
                      <w:szCs w:val="21"/>
                    </w:rPr>
                  </w:pPr>
                </w:p>
              </w:tc>
              <w:tc>
                <w:tcPr>
                  <w:tcW w:w="1366"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ascii="Times New Roman" w:eastAsia="宋体"/>
                      <w:kern w:val="2"/>
                      <w:sz w:val="21"/>
                      <w:szCs w:val="21"/>
                    </w:rPr>
                    <w:t>3.5%</w:t>
                  </w:r>
                </w:p>
              </w:tc>
              <w:tc>
                <w:tcPr>
                  <w:tcW w:w="1838" w:type="dxa"/>
                  <w:vMerge w:val="continue"/>
                  <w:vAlign w:val="center"/>
                </w:tcPr>
                <w:p>
                  <w:pPr>
                    <w:pStyle w:val="204"/>
                    <w:snapToGrid w:val="0"/>
                    <w:spacing w:before="0" w:after="0"/>
                    <w:ind w:left="-105" w:leftChars="-50" w:right="-105" w:rightChars="-50" w:firstLine="420"/>
                    <w:jc w:val="center"/>
                    <w:rPr>
                      <w:rFonts w:ascii="Times New Roman" w:eastAsia="宋体"/>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565" w:type="dxa"/>
                  <w:vMerge w:val="continue"/>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p>
              </w:tc>
              <w:tc>
                <w:tcPr>
                  <w:tcW w:w="709" w:type="dxa"/>
                  <w:vAlign w:val="center"/>
                </w:tcPr>
                <w:p>
                  <w:pPr>
                    <w:ind w:left="-105" w:leftChars="-50" w:right="-105" w:rightChars="-50"/>
                    <w:jc w:val="center"/>
                    <w:rPr>
                      <w:szCs w:val="21"/>
                    </w:rPr>
                  </w:pPr>
                  <w:r>
                    <w:rPr>
                      <w:rFonts w:hint="eastAsia"/>
                      <w:szCs w:val="21"/>
                    </w:rPr>
                    <w:t>公路扬尘</w:t>
                  </w:r>
                </w:p>
              </w:tc>
              <w:tc>
                <w:tcPr>
                  <w:tcW w:w="1135" w:type="dxa"/>
                  <w:vAlign w:val="center"/>
                </w:tcPr>
                <w:p>
                  <w:pPr>
                    <w:spacing w:line="340" w:lineRule="exact"/>
                    <w:ind w:left="-105" w:leftChars="-50" w:right="-105" w:rightChars="-50"/>
                    <w:jc w:val="center"/>
                    <w:rPr>
                      <w:szCs w:val="21"/>
                    </w:rPr>
                  </w:pPr>
                  <w:r>
                    <w:rPr>
                      <w:rFonts w:hint="eastAsia"/>
                      <w:szCs w:val="21"/>
                    </w:rPr>
                    <w:t>扬尘</w:t>
                  </w:r>
                </w:p>
              </w:tc>
              <w:tc>
                <w:tcPr>
                  <w:tcW w:w="141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少量</w:t>
                  </w:r>
                </w:p>
              </w:tc>
              <w:tc>
                <w:tcPr>
                  <w:tcW w:w="1274" w:type="dxa"/>
                  <w:vMerge w:val="continue"/>
                  <w:vAlign w:val="center"/>
                </w:tcPr>
                <w:p>
                  <w:pPr>
                    <w:snapToGrid w:val="0"/>
                    <w:ind w:left="-105" w:leftChars="-50" w:right="-105" w:rightChars="-50"/>
                    <w:jc w:val="center"/>
                    <w:rPr>
                      <w:szCs w:val="21"/>
                    </w:rPr>
                  </w:pPr>
                </w:p>
              </w:tc>
              <w:tc>
                <w:tcPr>
                  <w:tcW w:w="1366"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少量</w:t>
                  </w:r>
                </w:p>
              </w:tc>
              <w:tc>
                <w:tcPr>
                  <w:tcW w:w="1838" w:type="dxa"/>
                  <w:vMerge w:val="continue"/>
                  <w:vAlign w:val="center"/>
                </w:tcPr>
                <w:p>
                  <w:pPr>
                    <w:pStyle w:val="204"/>
                    <w:snapToGrid w:val="0"/>
                    <w:spacing w:before="0" w:after="0"/>
                    <w:ind w:left="-105" w:leftChars="-50" w:right="-105" w:rightChars="-50" w:firstLine="420"/>
                    <w:jc w:val="center"/>
                    <w:rPr>
                      <w:rFonts w:ascii="Times New Roman" w:eastAsia="宋体"/>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trPr>
              <w:tc>
                <w:tcPr>
                  <w:tcW w:w="565" w:type="dxa"/>
                  <w:vMerge w:val="restart"/>
                  <w:vAlign w:val="center"/>
                </w:tcPr>
                <w:p>
                  <w:pPr>
                    <w:pStyle w:val="204"/>
                    <w:snapToGrid w:val="0"/>
                    <w:ind w:right="-105" w:rightChars="-50" w:firstLine="0" w:firstLineChars="0"/>
                    <w:rPr>
                      <w:rFonts w:ascii="Times New Roman" w:hAnsi="宋体" w:eastAsia="宋体"/>
                      <w:kern w:val="2"/>
                      <w:sz w:val="21"/>
                      <w:szCs w:val="21"/>
                    </w:rPr>
                  </w:pPr>
                  <w:r>
                    <w:rPr>
                      <w:rFonts w:hint="eastAsia" w:ascii="Times New Roman" w:hAnsi="宋体" w:eastAsia="宋体"/>
                      <w:kern w:val="2"/>
                      <w:sz w:val="21"/>
                      <w:szCs w:val="21"/>
                    </w:rPr>
                    <w:t>水</w:t>
                  </w:r>
                  <w:r>
                    <w:rPr>
                      <w:rFonts w:ascii="Times New Roman" w:hAnsi="宋体" w:eastAsia="宋体"/>
                      <w:kern w:val="2"/>
                      <w:sz w:val="21"/>
                      <w:szCs w:val="21"/>
                    </w:rPr>
                    <w:t>污染物</w:t>
                  </w:r>
                </w:p>
              </w:tc>
              <w:tc>
                <w:tcPr>
                  <w:tcW w:w="70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r>
                    <w:rPr>
                      <w:rFonts w:hint="eastAsia" w:ascii="Times New Roman" w:hAnsi="宋体" w:eastAsia="宋体"/>
                      <w:kern w:val="2"/>
                      <w:sz w:val="21"/>
                      <w:szCs w:val="21"/>
                    </w:rPr>
                    <w:t>进厂生活污水</w:t>
                  </w:r>
                </w:p>
              </w:tc>
              <w:tc>
                <w:tcPr>
                  <w:tcW w:w="1135"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ascii="Times New Roman" w:eastAsia="宋体"/>
                      <w:kern w:val="2"/>
                      <w:sz w:val="21"/>
                      <w:szCs w:val="21"/>
                    </w:rPr>
                    <w:t>COD</w:t>
                  </w:r>
                  <w:r>
                    <w:rPr>
                      <w:rFonts w:ascii="Times New Roman" w:eastAsia="宋体"/>
                      <w:kern w:val="2"/>
                      <w:sz w:val="21"/>
                      <w:szCs w:val="21"/>
                      <w:vertAlign w:val="subscript"/>
                    </w:rPr>
                    <w:t>Cr</w:t>
                  </w:r>
                  <w:r>
                    <w:rPr>
                      <w:rFonts w:hint="eastAsia" w:ascii="Times New Roman" w:eastAsia="宋体"/>
                      <w:kern w:val="2"/>
                      <w:sz w:val="21"/>
                      <w:szCs w:val="21"/>
                    </w:rPr>
                    <w:t>、</w:t>
                  </w:r>
                  <w:r>
                    <w:rPr>
                      <w:rFonts w:ascii="Times New Roman" w:eastAsia="宋体"/>
                      <w:kern w:val="2"/>
                      <w:sz w:val="21"/>
                      <w:szCs w:val="21"/>
                    </w:rPr>
                    <w:t>BOD</w:t>
                  </w:r>
                  <w:r>
                    <w:rPr>
                      <w:rFonts w:ascii="Times New Roman" w:eastAsia="宋体"/>
                      <w:kern w:val="2"/>
                      <w:sz w:val="21"/>
                      <w:szCs w:val="21"/>
                      <w:vertAlign w:val="subscript"/>
                    </w:rPr>
                    <w:t>5</w:t>
                  </w:r>
                  <w:r>
                    <w:rPr>
                      <w:rFonts w:hint="eastAsia" w:ascii="Times New Roman" w:eastAsia="宋体"/>
                      <w:kern w:val="2"/>
                      <w:sz w:val="21"/>
                      <w:szCs w:val="21"/>
                    </w:rPr>
                    <w:t>、</w:t>
                  </w:r>
                  <w:r>
                    <w:rPr>
                      <w:rFonts w:ascii="Times New Roman" w:eastAsia="宋体"/>
                      <w:kern w:val="2"/>
                      <w:sz w:val="21"/>
                      <w:szCs w:val="21"/>
                    </w:rPr>
                    <w:t>SS</w:t>
                  </w:r>
                  <w:r>
                    <w:rPr>
                      <w:rFonts w:hint="eastAsia" w:ascii="Times New Roman" w:eastAsia="宋体"/>
                      <w:kern w:val="2"/>
                      <w:sz w:val="21"/>
                      <w:szCs w:val="21"/>
                    </w:rPr>
                    <w:t>、</w:t>
                  </w:r>
                  <w:r>
                    <w:rPr>
                      <w:rFonts w:ascii="Times New Roman" w:eastAsia="宋体"/>
                      <w:kern w:val="2"/>
                      <w:sz w:val="21"/>
                      <w:szCs w:val="21"/>
                    </w:rPr>
                    <w:t>NH</w:t>
                  </w:r>
                  <w:r>
                    <w:rPr>
                      <w:rFonts w:ascii="Times New Roman" w:eastAsia="宋体"/>
                      <w:kern w:val="2"/>
                      <w:sz w:val="21"/>
                      <w:szCs w:val="21"/>
                      <w:vertAlign w:val="subscript"/>
                    </w:rPr>
                    <w:t>3</w:t>
                  </w:r>
                  <w:r>
                    <w:rPr>
                      <w:rFonts w:ascii="Times New Roman" w:eastAsia="宋体"/>
                      <w:kern w:val="2"/>
                      <w:sz w:val="21"/>
                      <w:szCs w:val="21"/>
                    </w:rPr>
                    <w:t>-N</w:t>
                  </w:r>
                  <w:r>
                    <w:rPr>
                      <w:rFonts w:hint="eastAsia" w:ascii="Times New Roman" w:eastAsia="宋体"/>
                      <w:kern w:val="2"/>
                      <w:sz w:val="21"/>
                      <w:szCs w:val="21"/>
                    </w:rPr>
                    <w:t>、</w:t>
                  </w:r>
                  <w:r>
                    <w:rPr>
                      <w:rFonts w:ascii="Times New Roman" w:eastAsia="宋体"/>
                      <w:kern w:val="2"/>
                      <w:sz w:val="21"/>
                      <w:szCs w:val="21"/>
                    </w:rPr>
                    <w:t>TN</w:t>
                  </w:r>
                  <w:r>
                    <w:rPr>
                      <w:rFonts w:hint="eastAsia" w:ascii="Times New Roman" w:eastAsia="宋体"/>
                      <w:kern w:val="2"/>
                      <w:sz w:val="21"/>
                      <w:szCs w:val="21"/>
                    </w:rPr>
                    <w:t>、</w:t>
                  </w:r>
                  <w:r>
                    <w:rPr>
                      <w:rFonts w:ascii="Times New Roman" w:eastAsia="宋体"/>
                      <w:kern w:val="2"/>
                      <w:sz w:val="21"/>
                      <w:szCs w:val="21"/>
                    </w:rPr>
                    <w:t>TP</w:t>
                  </w:r>
                </w:p>
              </w:tc>
              <w:tc>
                <w:tcPr>
                  <w:tcW w:w="141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100m</w:t>
                  </w:r>
                  <w:r>
                    <w:rPr>
                      <w:rFonts w:hint="eastAsia" w:ascii="Times New Roman" w:eastAsia="宋体"/>
                      <w:kern w:val="2"/>
                      <w:sz w:val="21"/>
                      <w:szCs w:val="21"/>
                      <w:vertAlign w:val="superscript"/>
                    </w:rPr>
                    <w:t>3</w:t>
                  </w:r>
                  <w:r>
                    <w:rPr>
                      <w:rFonts w:hint="eastAsia" w:ascii="Times New Roman" w:eastAsia="宋体"/>
                      <w:kern w:val="2"/>
                      <w:sz w:val="21"/>
                      <w:szCs w:val="21"/>
                    </w:rPr>
                    <w:t>/d</w:t>
                  </w:r>
                </w:p>
              </w:tc>
              <w:tc>
                <w:tcPr>
                  <w:tcW w:w="1274" w:type="dxa"/>
                  <w:vAlign w:val="center"/>
                </w:tcPr>
                <w:p>
                  <w:pPr>
                    <w:pStyle w:val="204"/>
                    <w:snapToGrid w:val="0"/>
                    <w:spacing w:line="240" w:lineRule="auto"/>
                    <w:ind w:right="-105" w:rightChars="-50" w:firstLine="0" w:firstLineChars="0"/>
                    <w:jc w:val="center"/>
                    <w:rPr>
                      <w:rFonts w:ascii="Times New Roman" w:hAnsi="宋体" w:eastAsia="宋体"/>
                      <w:kern w:val="2"/>
                      <w:sz w:val="21"/>
                      <w:szCs w:val="21"/>
                    </w:rPr>
                  </w:pPr>
                  <w:r>
                    <w:rPr>
                      <w:rFonts w:hint="eastAsia" w:ascii="Times New Roman" w:hAnsi="宋体" w:eastAsia="宋体"/>
                      <w:bCs/>
                      <w:kern w:val="2"/>
                      <w:sz w:val="21"/>
                      <w:szCs w:val="21"/>
                    </w:rPr>
                    <w:t>多级生物接触氧化法</w:t>
                  </w:r>
                </w:p>
              </w:tc>
              <w:tc>
                <w:tcPr>
                  <w:tcW w:w="1366"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100m</w:t>
                  </w:r>
                  <w:r>
                    <w:rPr>
                      <w:rFonts w:hint="eastAsia" w:ascii="Times New Roman" w:eastAsia="宋体"/>
                      <w:kern w:val="2"/>
                      <w:sz w:val="21"/>
                      <w:szCs w:val="21"/>
                      <w:vertAlign w:val="superscript"/>
                    </w:rPr>
                    <w:t>3</w:t>
                  </w:r>
                  <w:r>
                    <w:rPr>
                      <w:rFonts w:hint="eastAsia" w:ascii="Times New Roman" w:eastAsia="宋体"/>
                      <w:kern w:val="2"/>
                      <w:sz w:val="21"/>
                      <w:szCs w:val="21"/>
                    </w:rPr>
                    <w:t>/d</w:t>
                  </w:r>
                </w:p>
              </w:tc>
              <w:tc>
                <w:tcPr>
                  <w:tcW w:w="1838" w:type="dxa"/>
                  <w:vAlign w:val="center"/>
                </w:tcPr>
                <w:p>
                  <w:pPr>
                    <w:pStyle w:val="204"/>
                    <w:snapToGrid w:val="0"/>
                    <w:spacing w:line="240" w:lineRule="auto"/>
                    <w:ind w:right="-105" w:rightChars="-50" w:firstLine="0" w:firstLineChars="0"/>
                    <w:jc w:val="center"/>
                    <w:rPr>
                      <w:rFonts w:ascii="Times New Roman" w:eastAsia="宋体"/>
                      <w:kern w:val="2"/>
                      <w:sz w:val="21"/>
                      <w:szCs w:val="21"/>
                    </w:rPr>
                  </w:pPr>
                  <w:r>
                    <w:rPr>
                      <w:rFonts w:ascii="Times New Roman" w:eastAsia="宋体"/>
                      <w:kern w:val="2"/>
                      <w:sz w:val="21"/>
                      <w:szCs w:val="21"/>
                    </w:rPr>
                    <w:t>《城镇污水处理厂污染物排放标准》（GB18918-2002）一</w:t>
                  </w:r>
                  <w:r>
                    <w:rPr>
                      <w:rFonts w:hint="eastAsia" w:ascii="Times New Roman" w:eastAsia="宋体"/>
                      <w:kern w:val="2"/>
                      <w:sz w:val="21"/>
                      <w:szCs w:val="21"/>
                    </w:rPr>
                    <w:t>级A</w:t>
                  </w:r>
                  <w:r>
                    <w:rPr>
                      <w:rFonts w:ascii="Times New Roman" w:eastAsia="宋体"/>
                      <w:kern w:val="2"/>
                      <w:sz w:val="21"/>
                      <w:szCs w:val="21"/>
                    </w:rPr>
                    <w:t>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trPr>
              <w:tc>
                <w:tcPr>
                  <w:tcW w:w="565" w:type="dxa"/>
                  <w:vMerge w:val="continue"/>
                  <w:vAlign w:val="center"/>
                </w:tcPr>
                <w:p>
                  <w:pPr>
                    <w:pStyle w:val="204"/>
                    <w:snapToGrid w:val="0"/>
                    <w:ind w:left="-105" w:leftChars="-50" w:right="-105" w:rightChars="-50" w:firstLine="0" w:firstLineChars="0"/>
                    <w:rPr>
                      <w:rFonts w:ascii="Times New Roman" w:hAnsi="宋体" w:eastAsia="宋体"/>
                      <w:kern w:val="2"/>
                      <w:sz w:val="21"/>
                      <w:szCs w:val="21"/>
                    </w:rPr>
                  </w:pPr>
                </w:p>
              </w:tc>
              <w:tc>
                <w:tcPr>
                  <w:tcW w:w="70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r>
                    <w:rPr>
                      <w:rFonts w:hint="eastAsia" w:ascii="Times New Roman" w:hAnsi="宋体" w:eastAsia="宋体"/>
                      <w:kern w:val="2"/>
                      <w:sz w:val="21"/>
                      <w:szCs w:val="21"/>
                    </w:rPr>
                    <w:t>公路地面径流</w:t>
                  </w:r>
                </w:p>
              </w:tc>
              <w:tc>
                <w:tcPr>
                  <w:tcW w:w="1135"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SS</w:t>
                  </w:r>
                </w:p>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ascii="Times New Roman" w:eastAsia="宋体"/>
                      <w:kern w:val="2"/>
                      <w:sz w:val="21"/>
                      <w:szCs w:val="21"/>
                    </w:rPr>
                    <w:t>BOD</w:t>
                  </w:r>
                  <w:r>
                    <w:rPr>
                      <w:rFonts w:ascii="Times New Roman" w:eastAsia="宋体"/>
                      <w:kern w:val="2"/>
                      <w:sz w:val="21"/>
                      <w:szCs w:val="21"/>
                      <w:vertAlign w:val="subscript"/>
                    </w:rPr>
                    <w:t>5</w:t>
                  </w:r>
                </w:p>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石油类</w:t>
                  </w:r>
                </w:p>
              </w:tc>
              <w:tc>
                <w:tcPr>
                  <w:tcW w:w="141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sz w:val="21"/>
                      <w:szCs w:val="21"/>
                    </w:rPr>
                  </w:pPr>
                  <w:r>
                    <w:rPr>
                      <w:rFonts w:hint="eastAsia" w:ascii="Times New Roman"/>
                      <w:sz w:val="21"/>
                      <w:szCs w:val="21"/>
                    </w:rPr>
                    <w:t>0.31t/a</w:t>
                  </w:r>
                </w:p>
                <w:p>
                  <w:pPr>
                    <w:pStyle w:val="204"/>
                    <w:snapToGrid w:val="0"/>
                    <w:spacing w:before="0" w:after="0" w:line="240" w:lineRule="auto"/>
                    <w:ind w:left="-105" w:leftChars="-50" w:right="-105" w:rightChars="-50" w:firstLine="0" w:firstLineChars="0"/>
                    <w:jc w:val="center"/>
                    <w:textAlignment w:val="auto"/>
                    <w:rPr>
                      <w:rFonts w:ascii="Times New Roman"/>
                      <w:sz w:val="21"/>
                      <w:szCs w:val="21"/>
                    </w:rPr>
                  </w:pPr>
                  <w:r>
                    <w:rPr>
                      <w:rFonts w:hint="eastAsia" w:ascii="Times New Roman"/>
                      <w:sz w:val="21"/>
                      <w:szCs w:val="21"/>
                    </w:rPr>
                    <w:t>0.016 t/a</w:t>
                  </w:r>
                </w:p>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sz w:val="21"/>
                      <w:szCs w:val="21"/>
                    </w:rPr>
                    <w:t>0.034 t/a</w:t>
                  </w:r>
                </w:p>
              </w:tc>
              <w:tc>
                <w:tcPr>
                  <w:tcW w:w="1274" w:type="dxa"/>
                  <w:vAlign w:val="center"/>
                </w:tcPr>
                <w:p>
                  <w:pPr>
                    <w:pStyle w:val="204"/>
                    <w:snapToGrid w:val="0"/>
                    <w:spacing w:line="240" w:lineRule="auto"/>
                    <w:ind w:right="-105" w:rightChars="-50" w:firstLine="0" w:firstLineChars="0"/>
                    <w:jc w:val="center"/>
                    <w:rPr>
                      <w:rFonts w:ascii="Times New Roman" w:hAnsi="宋体" w:eastAsia="宋体"/>
                      <w:bCs/>
                      <w:kern w:val="2"/>
                      <w:sz w:val="21"/>
                      <w:szCs w:val="21"/>
                    </w:rPr>
                  </w:pPr>
                  <w:r>
                    <w:rPr>
                      <w:rFonts w:hint="eastAsia" w:ascii="Times New Roman" w:hAnsi="宋体" w:eastAsia="宋体"/>
                      <w:bCs/>
                      <w:kern w:val="2"/>
                      <w:sz w:val="21"/>
                      <w:szCs w:val="21"/>
                    </w:rPr>
                    <w:t>日常清扫、定期检查集水设施</w:t>
                  </w:r>
                </w:p>
              </w:tc>
              <w:tc>
                <w:tcPr>
                  <w:tcW w:w="1366"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sz w:val="21"/>
                      <w:szCs w:val="21"/>
                    </w:rPr>
                  </w:pPr>
                  <w:r>
                    <w:rPr>
                      <w:rFonts w:hint="eastAsia" w:ascii="Times New Roman"/>
                      <w:sz w:val="21"/>
                      <w:szCs w:val="21"/>
                    </w:rPr>
                    <w:t>0.31t/a</w:t>
                  </w:r>
                </w:p>
                <w:p>
                  <w:pPr>
                    <w:pStyle w:val="204"/>
                    <w:snapToGrid w:val="0"/>
                    <w:spacing w:before="0" w:after="0" w:line="240" w:lineRule="auto"/>
                    <w:ind w:left="-105" w:leftChars="-50" w:right="-105" w:rightChars="-50" w:firstLine="0" w:firstLineChars="0"/>
                    <w:jc w:val="center"/>
                    <w:textAlignment w:val="auto"/>
                    <w:rPr>
                      <w:rFonts w:ascii="Times New Roman"/>
                      <w:sz w:val="21"/>
                      <w:szCs w:val="21"/>
                    </w:rPr>
                  </w:pPr>
                  <w:r>
                    <w:rPr>
                      <w:rFonts w:hint="eastAsia" w:ascii="Times New Roman"/>
                      <w:sz w:val="21"/>
                      <w:szCs w:val="21"/>
                    </w:rPr>
                    <w:t>0.016 t/a</w:t>
                  </w:r>
                </w:p>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sz w:val="21"/>
                      <w:szCs w:val="21"/>
                    </w:rPr>
                    <w:t>0.034 t/a</w:t>
                  </w:r>
                </w:p>
              </w:tc>
              <w:tc>
                <w:tcPr>
                  <w:tcW w:w="1838" w:type="dxa"/>
                  <w:vAlign w:val="center"/>
                </w:tcPr>
                <w:p>
                  <w:pPr>
                    <w:pStyle w:val="204"/>
                    <w:snapToGrid w:val="0"/>
                    <w:spacing w:line="240" w:lineRule="auto"/>
                    <w:ind w:right="-105" w:rightChars="-50" w:firstLine="0" w:firstLineChars="0"/>
                    <w:jc w:val="center"/>
                    <w:rPr>
                      <w:rFonts w:ascii="Times New Roman" w:eastAsia="宋体"/>
                      <w:kern w:val="2"/>
                      <w:sz w:val="21"/>
                      <w:szCs w:val="21"/>
                    </w:rPr>
                  </w:pPr>
                  <w:r>
                    <w:rPr>
                      <w:rFonts w:hint="eastAsia" w:ascii="Times New Roman" w:eastAsia="宋体"/>
                      <w:kern w:val="2"/>
                      <w:sz w:val="21"/>
                      <w:szCs w:val="21"/>
                    </w:rPr>
                    <w:t>排水通畅、禁止漫流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076" w:hRule="atLeast"/>
              </w:trPr>
              <w:tc>
                <w:tcPr>
                  <w:tcW w:w="565" w:type="dxa"/>
                  <w:vMerge w:val="restart"/>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ascii="Times New Roman" w:hAnsi="宋体" w:eastAsia="宋体"/>
                      <w:kern w:val="2"/>
                      <w:sz w:val="21"/>
                      <w:szCs w:val="21"/>
                    </w:rPr>
                    <w:t>噪声</w:t>
                  </w:r>
                </w:p>
              </w:tc>
              <w:tc>
                <w:tcPr>
                  <w:tcW w:w="709" w:type="dxa"/>
                  <w:vAlign w:val="center"/>
                </w:tcPr>
                <w:p>
                  <w:pPr>
                    <w:pStyle w:val="204"/>
                    <w:snapToGrid w:val="0"/>
                    <w:spacing w:before="0" w:after="0" w:line="240" w:lineRule="auto"/>
                    <w:ind w:left="-105" w:leftChars="-50" w:right="-105" w:rightChars="-50" w:firstLine="0" w:firstLineChars="0"/>
                    <w:jc w:val="center"/>
                    <w:rPr>
                      <w:rFonts w:ascii="Times New Roman" w:eastAsia="宋体"/>
                      <w:kern w:val="2"/>
                      <w:sz w:val="21"/>
                      <w:szCs w:val="21"/>
                    </w:rPr>
                  </w:pPr>
                  <w:r>
                    <w:rPr>
                      <w:rFonts w:hint="eastAsia" w:ascii="Times New Roman" w:hAnsi="宋体" w:eastAsia="宋体"/>
                      <w:kern w:val="2"/>
                      <w:sz w:val="21"/>
                      <w:szCs w:val="21"/>
                    </w:rPr>
                    <w:t>泵等设备运行</w:t>
                  </w:r>
                </w:p>
              </w:tc>
              <w:tc>
                <w:tcPr>
                  <w:tcW w:w="1135"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ascii="Times New Roman" w:hAnsi="宋体" w:eastAsia="宋体"/>
                      <w:kern w:val="2"/>
                      <w:sz w:val="21"/>
                      <w:szCs w:val="21"/>
                    </w:rPr>
                    <w:t>噪声</w:t>
                  </w:r>
                </w:p>
              </w:tc>
              <w:tc>
                <w:tcPr>
                  <w:tcW w:w="4059" w:type="dxa"/>
                  <w:gridSpan w:val="3"/>
                  <w:vAlign w:val="center"/>
                </w:tcPr>
                <w:p>
                  <w:pPr>
                    <w:pStyle w:val="204"/>
                    <w:snapToGrid w:val="0"/>
                    <w:spacing w:before="0" w:after="0" w:line="240" w:lineRule="auto"/>
                    <w:ind w:left="-105" w:leftChars="-50" w:right="-105" w:rightChars="-50" w:firstLine="420"/>
                    <w:jc w:val="center"/>
                    <w:rPr>
                      <w:rFonts w:ascii="Times New Roman" w:eastAsia="宋体"/>
                      <w:kern w:val="2"/>
                      <w:sz w:val="21"/>
                      <w:szCs w:val="21"/>
                    </w:rPr>
                  </w:pPr>
                  <w:r>
                    <w:rPr>
                      <w:rFonts w:hint="eastAsia" w:ascii="Times New Roman" w:hAnsi="宋体" w:eastAsia="宋体"/>
                      <w:bCs/>
                      <w:kern w:val="2"/>
                      <w:sz w:val="21"/>
                      <w:szCs w:val="21"/>
                    </w:rPr>
                    <w:t>减震、吸声、消声</w:t>
                  </w:r>
                </w:p>
              </w:tc>
              <w:tc>
                <w:tcPr>
                  <w:tcW w:w="1838"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ascii="Times New Roman" w:hAnsi="宋体" w:eastAsia="宋体"/>
                      <w:bCs/>
                      <w:kern w:val="2"/>
                      <w:sz w:val="21"/>
                      <w:szCs w:val="21"/>
                    </w:rPr>
                    <w:t>《工业企业厂界环境噪声排放标准》（</w:t>
                  </w:r>
                  <w:r>
                    <w:rPr>
                      <w:rFonts w:ascii="Times New Roman" w:eastAsia="宋体"/>
                      <w:bCs/>
                      <w:kern w:val="2"/>
                      <w:sz w:val="21"/>
                      <w:szCs w:val="21"/>
                    </w:rPr>
                    <w:t>GB12348-2008</w:t>
                  </w:r>
                  <w:r>
                    <w:rPr>
                      <w:rFonts w:ascii="Times New Roman" w:hAnsi="宋体" w:eastAsia="宋体"/>
                      <w:bCs/>
                      <w:kern w:val="2"/>
                      <w:sz w:val="21"/>
                      <w:szCs w:val="21"/>
                    </w:rPr>
                    <w:t>）</w:t>
                  </w:r>
                  <w:r>
                    <w:rPr>
                      <w:rFonts w:hint="eastAsia" w:ascii="Times New Roman" w:hAnsi="宋体" w:eastAsia="宋体"/>
                      <w:bCs/>
                      <w:kern w:val="2"/>
                      <w:sz w:val="21"/>
                      <w:szCs w:val="21"/>
                    </w:rPr>
                    <w:t>2</w:t>
                  </w:r>
                  <w:r>
                    <w:rPr>
                      <w:rFonts w:ascii="Times New Roman" w:hAnsi="宋体" w:eastAsia="宋体"/>
                      <w:bCs/>
                      <w:kern w:val="2"/>
                      <w:sz w:val="21"/>
                      <w:szCs w:val="21"/>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076" w:hRule="atLeast"/>
              </w:trPr>
              <w:tc>
                <w:tcPr>
                  <w:tcW w:w="565" w:type="dxa"/>
                  <w:vMerge w:val="continue"/>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p>
              </w:tc>
              <w:tc>
                <w:tcPr>
                  <w:tcW w:w="709" w:type="dxa"/>
                  <w:vAlign w:val="center"/>
                </w:tcPr>
                <w:p>
                  <w:pPr>
                    <w:pStyle w:val="204"/>
                    <w:snapToGrid w:val="0"/>
                    <w:spacing w:before="0" w:after="0" w:line="240" w:lineRule="auto"/>
                    <w:ind w:left="-105" w:leftChars="-50" w:right="-105" w:rightChars="-50" w:firstLine="0" w:firstLineChars="0"/>
                    <w:jc w:val="center"/>
                    <w:rPr>
                      <w:rFonts w:ascii="Times New Roman" w:hAnsi="宋体" w:eastAsia="宋体"/>
                      <w:kern w:val="2"/>
                      <w:sz w:val="21"/>
                      <w:szCs w:val="21"/>
                    </w:rPr>
                  </w:pPr>
                  <w:r>
                    <w:rPr>
                      <w:rFonts w:hint="eastAsia" w:ascii="Times New Roman" w:hAnsi="宋体" w:eastAsia="宋体"/>
                      <w:kern w:val="2"/>
                      <w:sz w:val="21"/>
                      <w:szCs w:val="21"/>
                    </w:rPr>
                    <w:t>车辆交通</w:t>
                  </w:r>
                </w:p>
              </w:tc>
              <w:tc>
                <w:tcPr>
                  <w:tcW w:w="1135"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r>
                    <w:rPr>
                      <w:rFonts w:hint="eastAsia" w:ascii="Times New Roman" w:hAnsi="宋体" w:eastAsia="宋体"/>
                      <w:kern w:val="2"/>
                      <w:sz w:val="21"/>
                      <w:szCs w:val="21"/>
                    </w:rPr>
                    <w:t>噪声</w:t>
                  </w:r>
                </w:p>
              </w:tc>
              <w:tc>
                <w:tcPr>
                  <w:tcW w:w="4059" w:type="dxa"/>
                  <w:gridSpan w:val="3"/>
                  <w:vAlign w:val="center"/>
                </w:tcPr>
                <w:p>
                  <w:pPr>
                    <w:pStyle w:val="204"/>
                    <w:snapToGrid w:val="0"/>
                    <w:spacing w:before="0" w:after="0" w:line="240" w:lineRule="auto"/>
                    <w:ind w:left="-105" w:leftChars="-50" w:right="-105" w:rightChars="-50" w:firstLine="420"/>
                    <w:jc w:val="center"/>
                    <w:rPr>
                      <w:rFonts w:ascii="Times New Roman" w:hAnsi="宋体" w:eastAsia="宋体"/>
                      <w:bCs/>
                      <w:kern w:val="2"/>
                      <w:sz w:val="21"/>
                      <w:szCs w:val="21"/>
                    </w:rPr>
                  </w:pPr>
                  <w:r>
                    <w:rPr>
                      <w:rFonts w:hint="eastAsia" w:ascii="Times New Roman" w:hAnsi="宋体" w:eastAsia="宋体"/>
                      <w:bCs/>
                      <w:kern w:val="2"/>
                      <w:sz w:val="21"/>
                      <w:szCs w:val="21"/>
                    </w:rPr>
                    <w:t>禁鸣标志、安装超速监控设施</w:t>
                  </w:r>
                </w:p>
              </w:tc>
              <w:tc>
                <w:tcPr>
                  <w:tcW w:w="1838"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bCs/>
                      <w:kern w:val="2"/>
                      <w:sz w:val="21"/>
                      <w:szCs w:val="21"/>
                    </w:rPr>
                  </w:pPr>
                  <w:r>
                    <w:rPr>
                      <w:rFonts w:ascii="Times New Roman" w:hAnsi="宋体" w:eastAsia="宋体"/>
                      <w:bCs/>
                      <w:kern w:val="2"/>
                      <w:sz w:val="21"/>
                      <w:szCs w:val="21"/>
                    </w:rPr>
                    <w:t>《工业企业厂界环境噪声排放标准》（</w:t>
                  </w:r>
                  <w:r>
                    <w:rPr>
                      <w:rFonts w:ascii="Times New Roman" w:eastAsia="宋体"/>
                      <w:bCs/>
                      <w:kern w:val="2"/>
                      <w:sz w:val="21"/>
                      <w:szCs w:val="21"/>
                    </w:rPr>
                    <w:t>GB12348-2008</w:t>
                  </w:r>
                  <w:r>
                    <w:rPr>
                      <w:rFonts w:ascii="Times New Roman" w:hAnsi="宋体" w:eastAsia="宋体"/>
                      <w:bCs/>
                      <w:kern w:val="2"/>
                      <w:sz w:val="21"/>
                      <w:szCs w:val="21"/>
                    </w:rPr>
                    <w:t>）</w:t>
                  </w:r>
                  <w:r>
                    <w:rPr>
                      <w:rFonts w:hint="eastAsia" w:ascii="Times New Roman" w:hAnsi="宋体" w:eastAsia="宋体"/>
                      <w:bCs/>
                      <w:kern w:val="2"/>
                      <w:sz w:val="21"/>
                      <w:szCs w:val="21"/>
                    </w:rPr>
                    <w:t>4</w:t>
                  </w:r>
                  <w:r>
                    <w:rPr>
                      <w:rFonts w:ascii="Times New Roman" w:hAnsi="宋体" w:eastAsia="宋体"/>
                      <w:bCs/>
                      <w:kern w:val="2"/>
                      <w:sz w:val="21"/>
                      <w:szCs w:val="21"/>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565" w:type="dxa"/>
                  <w:vMerge w:val="restart"/>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ascii="Times New Roman" w:hAnsi="宋体" w:eastAsia="宋体"/>
                      <w:kern w:val="2"/>
                      <w:sz w:val="21"/>
                      <w:szCs w:val="21"/>
                    </w:rPr>
                    <w:t>固废</w:t>
                  </w:r>
                </w:p>
              </w:tc>
              <w:tc>
                <w:tcPr>
                  <w:tcW w:w="70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hAnsi="宋体" w:eastAsia="宋体"/>
                      <w:kern w:val="2"/>
                      <w:sz w:val="21"/>
                      <w:szCs w:val="21"/>
                    </w:rPr>
                    <w:t>格栅</w:t>
                  </w:r>
                </w:p>
              </w:tc>
              <w:tc>
                <w:tcPr>
                  <w:tcW w:w="1135"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hAnsi="宋体" w:eastAsia="宋体"/>
                      <w:kern w:val="2"/>
                      <w:sz w:val="21"/>
                      <w:szCs w:val="21"/>
                    </w:rPr>
                    <w:t>栅渣</w:t>
                  </w:r>
                </w:p>
              </w:tc>
              <w:tc>
                <w:tcPr>
                  <w:tcW w:w="141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3.65t</w:t>
                  </w:r>
                  <w:r>
                    <w:rPr>
                      <w:rFonts w:ascii="Times New Roman" w:eastAsia="宋体"/>
                      <w:kern w:val="2"/>
                      <w:sz w:val="21"/>
                      <w:szCs w:val="21"/>
                    </w:rPr>
                    <w:t>/a</w:t>
                  </w:r>
                </w:p>
              </w:tc>
              <w:tc>
                <w:tcPr>
                  <w:tcW w:w="1274" w:type="dxa"/>
                  <w:vMerge w:val="restart"/>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ascii="Times New Roman" w:eastAsia="宋体"/>
                      <w:kern w:val="2"/>
                      <w:sz w:val="21"/>
                      <w:szCs w:val="21"/>
                    </w:rPr>
                    <w:t>外运至</w:t>
                  </w:r>
                  <w:r>
                    <w:rPr>
                      <w:rFonts w:hint="eastAsia" w:ascii="Times New Roman" w:eastAsia="宋体"/>
                      <w:kern w:val="2"/>
                      <w:sz w:val="21"/>
                      <w:szCs w:val="21"/>
                    </w:rPr>
                    <w:t>宁县和盛镇生活</w:t>
                  </w:r>
                  <w:r>
                    <w:rPr>
                      <w:rFonts w:ascii="Times New Roman" w:eastAsia="宋体"/>
                      <w:kern w:val="2"/>
                      <w:sz w:val="21"/>
                      <w:szCs w:val="21"/>
                    </w:rPr>
                    <w:t>垃圾填埋场卫生填埋</w:t>
                  </w:r>
                </w:p>
              </w:tc>
              <w:tc>
                <w:tcPr>
                  <w:tcW w:w="1366"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0</w:t>
                  </w:r>
                </w:p>
              </w:tc>
              <w:tc>
                <w:tcPr>
                  <w:tcW w:w="1838" w:type="dxa"/>
                  <w:vMerge w:val="restart"/>
                  <w:vAlign w:val="center"/>
                </w:tcPr>
                <w:p>
                  <w:pPr>
                    <w:pStyle w:val="204"/>
                    <w:snapToGrid w:val="0"/>
                    <w:spacing w:line="240" w:lineRule="auto"/>
                    <w:ind w:left="-105" w:leftChars="-50" w:right="-105" w:rightChars="-50" w:firstLine="0" w:firstLineChars="0"/>
                    <w:rPr>
                      <w:rFonts w:ascii="Times New Roman" w:eastAsia="宋体"/>
                      <w:kern w:val="2"/>
                      <w:sz w:val="21"/>
                      <w:szCs w:val="21"/>
                    </w:rPr>
                  </w:pPr>
                  <w:r>
                    <w:rPr>
                      <w:rFonts w:ascii="Times New Roman" w:hAnsi="宋体" w:eastAsia="宋体"/>
                      <w:kern w:val="2"/>
                      <w:sz w:val="21"/>
                      <w:szCs w:val="21"/>
                    </w:rPr>
                    <w:t>《一般工业固体废物贮存、处置场污染控制标准》（GB 18599-2001）及其修改单（国家环保部2013年第36号文件）要求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565" w:type="dxa"/>
                  <w:vMerge w:val="continue"/>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p>
              </w:tc>
              <w:tc>
                <w:tcPr>
                  <w:tcW w:w="70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r>
                    <w:rPr>
                      <w:rFonts w:hint="eastAsia" w:ascii="Times New Roman" w:hAnsi="宋体" w:eastAsia="宋体"/>
                      <w:kern w:val="2"/>
                      <w:sz w:val="21"/>
                      <w:szCs w:val="21"/>
                    </w:rPr>
                    <w:t>过滤工艺</w:t>
                  </w:r>
                </w:p>
              </w:tc>
              <w:tc>
                <w:tcPr>
                  <w:tcW w:w="1135"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r>
                    <w:rPr>
                      <w:rFonts w:hint="eastAsia" w:ascii="Times New Roman" w:hAnsi="宋体" w:eastAsia="宋体"/>
                      <w:kern w:val="2"/>
                      <w:sz w:val="21"/>
                      <w:szCs w:val="21"/>
                    </w:rPr>
                    <w:t>废滤料</w:t>
                  </w:r>
                </w:p>
              </w:tc>
              <w:tc>
                <w:tcPr>
                  <w:tcW w:w="141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0.25t/5a</w:t>
                  </w:r>
                </w:p>
              </w:tc>
              <w:tc>
                <w:tcPr>
                  <w:tcW w:w="1274" w:type="dxa"/>
                  <w:vMerge w:val="continue"/>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p>
              </w:tc>
              <w:tc>
                <w:tcPr>
                  <w:tcW w:w="1366"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0</w:t>
                  </w:r>
                </w:p>
              </w:tc>
              <w:tc>
                <w:tcPr>
                  <w:tcW w:w="1838" w:type="dxa"/>
                  <w:vMerge w:val="continue"/>
                  <w:vAlign w:val="center"/>
                </w:tcPr>
                <w:p>
                  <w:pPr>
                    <w:pStyle w:val="204"/>
                    <w:snapToGrid w:val="0"/>
                    <w:spacing w:line="240" w:lineRule="auto"/>
                    <w:ind w:left="-105" w:leftChars="-50" w:right="-105" w:rightChars="-50" w:firstLine="0" w:firstLineChars="0"/>
                    <w:rPr>
                      <w:rFonts w:ascii="Times New Roman" w:hAnsi="宋体" w:eastAsia="宋体"/>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565" w:type="dxa"/>
                  <w:vMerge w:val="continue"/>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p>
              </w:tc>
              <w:tc>
                <w:tcPr>
                  <w:tcW w:w="70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r>
                    <w:rPr>
                      <w:rFonts w:hint="eastAsia" w:ascii="Times New Roman" w:hAnsi="宋体" w:eastAsia="宋体"/>
                      <w:kern w:val="2"/>
                      <w:sz w:val="21"/>
                      <w:szCs w:val="21"/>
                    </w:rPr>
                    <w:t>污水管网</w:t>
                  </w:r>
                </w:p>
              </w:tc>
              <w:tc>
                <w:tcPr>
                  <w:tcW w:w="1135"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r>
                    <w:rPr>
                      <w:rFonts w:hint="eastAsia" w:ascii="Times New Roman" w:hAnsi="宋体" w:eastAsia="宋体"/>
                      <w:kern w:val="2"/>
                      <w:sz w:val="21"/>
                      <w:szCs w:val="21"/>
                    </w:rPr>
                    <w:t>淤泥</w:t>
                  </w:r>
                </w:p>
              </w:tc>
              <w:tc>
                <w:tcPr>
                  <w:tcW w:w="141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2.2t</w:t>
                  </w:r>
                  <w:r>
                    <w:rPr>
                      <w:rFonts w:ascii="Times New Roman" w:eastAsia="宋体"/>
                      <w:kern w:val="2"/>
                      <w:sz w:val="21"/>
                      <w:szCs w:val="21"/>
                    </w:rPr>
                    <w:t>/a</w:t>
                  </w:r>
                </w:p>
              </w:tc>
              <w:tc>
                <w:tcPr>
                  <w:tcW w:w="1274"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和污水站污泥一起处理</w:t>
                  </w:r>
                </w:p>
              </w:tc>
              <w:tc>
                <w:tcPr>
                  <w:tcW w:w="1366"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0</w:t>
                  </w:r>
                </w:p>
              </w:tc>
              <w:tc>
                <w:tcPr>
                  <w:tcW w:w="1838" w:type="dxa"/>
                  <w:vMerge w:val="continue"/>
                  <w:vAlign w:val="center"/>
                </w:tcPr>
                <w:p>
                  <w:pPr>
                    <w:pStyle w:val="204"/>
                    <w:snapToGrid w:val="0"/>
                    <w:spacing w:line="240" w:lineRule="auto"/>
                    <w:ind w:left="-105" w:leftChars="-50" w:right="-105" w:rightChars="-50" w:firstLine="0" w:firstLineChars="0"/>
                    <w:rPr>
                      <w:rFonts w:ascii="Times New Roman" w:hAnsi="宋体" w:eastAsia="宋体"/>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565" w:type="dxa"/>
                  <w:vMerge w:val="continue"/>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p>
              </w:tc>
              <w:tc>
                <w:tcPr>
                  <w:tcW w:w="70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r>
                    <w:rPr>
                      <w:rFonts w:hint="eastAsia" w:ascii="Times New Roman" w:hAnsi="宋体" w:eastAsia="宋体"/>
                      <w:kern w:val="2"/>
                      <w:sz w:val="21"/>
                      <w:szCs w:val="21"/>
                    </w:rPr>
                    <w:t>污水处理站</w:t>
                  </w:r>
                </w:p>
              </w:tc>
              <w:tc>
                <w:tcPr>
                  <w:tcW w:w="1135"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r>
                    <w:rPr>
                      <w:rFonts w:hint="eastAsia" w:ascii="Times New Roman" w:hAnsi="宋体" w:eastAsia="宋体"/>
                      <w:kern w:val="2"/>
                      <w:sz w:val="21"/>
                      <w:szCs w:val="21"/>
                    </w:rPr>
                    <w:t>剩余污泥</w:t>
                  </w:r>
                </w:p>
              </w:tc>
              <w:tc>
                <w:tcPr>
                  <w:tcW w:w="141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21.9</w:t>
                  </w:r>
                  <w:r>
                    <w:rPr>
                      <w:rFonts w:ascii="Times New Roman" w:eastAsia="宋体"/>
                      <w:kern w:val="2"/>
                      <w:sz w:val="21"/>
                      <w:szCs w:val="21"/>
                    </w:rPr>
                    <w:t>t/a</w:t>
                  </w:r>
                </w:p>
              </w:tc>
              <w:tc>
                <w:tcPr>
                  <w:tcW w:w="1274"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r>
                    <w:rPr>
                      <w:rFonts w:hint="eastAsia" w:ascii="Times New Roman" w:hAnsi="宋体" w:eastAsia="宋体"/>
                      <w:bCs/>
                      <w:kern w:val="2"/>
                      <w:sz w:val="21"/>
                      <w:szCs w:val="21"/>
                    </w:rPr>
                    <w:t>近期交由有资质单位处理，远期建设深度处理，至含水率低于60%送</w:t>
                  </w:r>
                  <w:r>
                    <w:rPr>
                      <w:rFonts w:hint="eastAsia" w:ascii="Times New Roman" w:hAnsi="宋体" w:eastAsia="宋体"/>
                      <w:kern w:val="2"/>
                      <w:sz w:val="21"/>
                      <w:szCs w:val="21"/>
                    </w:rPr>
                    <w:t>宁县和盛镇生活垃圾填埋场</w:t>
                  </w:r>
                  <w:r>
                    <w:rPr>
                      <w:rFonts w:hint="eastAsia" w:ascii="Times New Roman" w:hAnsi="宋体" w:eastAsia="宋体"/>
                      <w:bCs/>
                      <w:kern w:val="2"/>
                      <w:sz w:val="21"/>
                      <w:szCs w:val="21"/>
                    </w:rPr>
                    <w:t>卫生填埋</w:t>
                  </w:r>
                </w:p>
              </w:tc>
              <w:tc>
                <w:tcPr>
                  <w:tcW w:w="1366"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0</w:t>
                  </w:r>
                </w:p>
              </w:tc>
              <w:tc>
                <w:tcPr>
                  <w:tcW w:w="1838" w:type="dxa"/>
                  <w:vMerge w:val="continue"/>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565" w:type="dxa"/>
                  <w:vMerge w:val="continue"/>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p>
              </w:tc>
              <w:tc>
                <w:tcPr>
                  <w:tcW w:w="70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r>
                    <w:rPr>
                      <w:rFonts w:hint="eastAsia" w:ascii="Times New Roman" w:hAnsi="宋体" w:eastAsia="宋体"/>
                      <w:kern w:val="2"/>
                      <w:sz w:val="21"/>
                      <w:szCs w:val="21"/>
                    </w:rPr>
                    <w:t>公路路面</w:t>
                  </w:r>
                </w:p>
              </w:tc>
              <w:tc>
                <w:tcPr>
                  <w:tcW w:w="1135"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r>
                    <w:rPr>
                      <w:rFonts w:hint="eastAsia" w:ascii="Times New Roman" w:hAnsi="宋体" w:eastAsia="宋体"/>
                      <w:kern w:val="2"/>
                      <w:sz w:val="21"/>
                      <w:szCs w:val="21"/>
                    </w:rPr>
                    <w:t>生活垃圾、落叶等</w:t>
                  </w:r>
                </w:p>
              </w:tc>
              <w:tc>
                <w:tcPr>
                  <w:tcW w:w="141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1.8</w:t>
                  </w:r>
                  <w:r>
                    <w:rPr>
                      <w:rFonts w:ascii="Times New Roman" w:eastAsia="宋体"/>
                      <w:kern w:val="2"/>
                      <w:sz w:val="21"/>
                      <w:szCs w:val="21"/>
                    </w:rPr>
                    <w:t xml:space="preserve"> t/a</w:t>
                  </w:r>
                </w:p>
              </w:tc>
              <w:tc>
                <w:tcPr>
                  <w:tcW w:w="1274" w:type="dxa"/>
                  <w:vMerge w:val="restart"/>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r>
                    <w:rPr>
                      <w:rFonts w:hint="eastAsia" w:ascii="Times New Roman" w:hAnsi="宋体" w:eastAsia="宋体"/>
                      <w:kern w:val="2"/>
                      <w:sz w:val="21"/>
                      <w:szCs w:val="21"/>
                    </w:rPr>
                    <w:t>清理</w:t>
                  </w:r>
                  <w:r>
                    <w:rPr>
                      <w:rFonts w:hint="eastAsia" w:ascii="Times New Roman" w:hAnsi="宋体" w:eastAsia="宋体"/>
                      <w:bCs/>
                      <w:kern w:val="2"/>
                      <w:sz w:val="21"/>
                      <w:szCs w:val="21"/>
                    </w:rPr>
                    <w:t>运至</w:t>
                  </w:r>
                  <w:r>
                    <w:rPr>
                      <w:rFonts w:ascii="Times New Roman" w:hAnsi="宋体" w:eastAsia="宋体"/>
                      <w:kern w:val="2"/>
                      <w:sz w:val="21"/>
                      <w:szCs w:val="21"/>
                    </w:rPr>
                    <w:t>政府指定的生活垃圾填埋场处置</w:t>
                  </w:r>
                </w:p>
              </w:tc>
              <w:tc>
                <w:tcPr>
                  <w:tcW w:w="1366"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0</w:t>
                  </w:r>
                </w:p>
              </w:tc>
              <w:tc>
                <w:tcPr>
                  <w:tcW w:w="1838" w:type="dxa"/>
                  <w:vMerge w:val="continue"/>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565" w:type="dxa"/>
                  <w:vMerge w:val="continue"/>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p>
              </w:tc>
              <w:tc>
                <w:tcPr>
                  <w:tcW w:w="70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r>
                    <w:rPr>
                      <w:rFonts w:hint="eastAsia" w:ascii="Times New Roman" w:hAnsi="宋体" w:eastAsia="宋体"/>
                      <w:kern w:val="2"/>
                      <w:sz w:val="21"/>
                      <w:szCs w:val="21"/>
                    </w:rPr>
                    <w:t>广场</w:t>
                  </w:r>
                </w:p>
              </w:tc>
              <w:tc>
                <w:tcPr>
                  <w:tcW w:w="1135"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r>
                    <w:rPr>
                      <w:rFonts w:hint="eastAsia" w:ascii="Times New Roman" w:hAnsi="宋体" w:eastAsia="宋体"/>
                      <w:kern w:val="2"/>
                      <w:sz w:val="21"/>
                      <w:szCs w:val="21"/>
                    </w:rPr>
                    <w:t>生活垃圾</w:t>
                  </w:r>
                </w:p>
              </w:tc>
              <w:tc>
                <w:tcPr>
                  <w:tcW w:w="1419"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1.6</w:t>
                  </w:r>
                  <w:r>
                    <w:rPr>
                      <w:rFonts w:ascii="Times New Roman" w:eastAsia="宋体"/>
                      <w:kern w:val="2"/>
                      <w:sz w:val="21"/>
                      <w:szCs w:val="21"/>
                    </w:rPr>
                    <w:t xml:space="preserve"> t/a</w:t>
                  </w:r>
                </w:p>
              </w:tc>
              <w:tc>
                <w:tcPr>
                  <w:tcW w:w="1274" w:type="dxa"/>
                  <w:vMerge w:val="continue"/>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p>
              </w:tc>
              <w:tc>
                <w:tcPr>
                  <w:tcW w:w="1366" w:type="dxa"/>
                  <w:vAlign w:val="center"/>
                </w:tcPr>
                <w:p>
                  <w:pPr>
                    <w:pStyle w:val="204"/>
                    <w:snapToGrid w:val="0"/>
                    <w:spacing w:before="0" w:after="0" w:line="240" w:lineRule="auto"/>
                    <w:ind w:left="-105" w:leftChars="-50" w:right="-105" w:rightChars="-50" w:firstLine="0" w:firstLineChars="0"/>
                    <w:jc w:val="center"/>
                    <w:textAlignment w:val="auto"/>
                    <w:rPr>
                      <w:rFonts w:ascii="Times New Roman" w:eastAsia="宋体"/>
                      <w:kern w:val="2"/>
                      <w:sz w:val="21"/>
                      <w:szCs w:val="21"/>
                    </w:rPr>
                  </w:pPr>
                  <w:r>
                    <w:rPr>
                      <w:rFonts w:hint="eastAsia" w:ascii="Times New Roman" w:eastAsia="宋体"/>
                      <w:kern w:val="2"/>
                      <w:sz w:val="21"/>
                      <w:szCs w:val="21"/>
                    </w:rPr>
                    <w:t>0</w:t>
                  </w:r>
                </w:p>
              </w:tc>
              <w:tc>
                <w:tcPr>
                  <w:tcW w:w="1838" w:type="dxa"/>
                  <w:vMerge w:val="continue"/>
                  <w:vAlign w:val="center"/>
                </w:tcPr>
                <w:p>
                  <w:pPr>
                    <w:pStyle w:val="204"/>
                    <w:snapToGrid w:val="0"/>
                    <w:spacing w:before="0" w:after="0" w:line="240" w:lineRule="auto"/>
                    <w:ind w:left="-105" w:leftChars="-50" w:right="-105" w:rightChars="-50" w:firstLine="0" w:firstLineChars="0"/>
                    <w:jc w:val="center"/>
                    <w:textAlignment w:val="auto"/>
                    <w:rPr>
                      <w:rFonts w:ascii="Times New Roman" w:hAnsi="宋体" w:eastAsia="宋体"/>
                      <w:kern w:val="2"/>
                      <w:sz w:val="21"/>
                      <w:szCs w:val="21"/>
                    </w:rPr>
                  </w:pPr>
                </w:p>
              </w:tc>
            </w:tr>
          </w:tbl>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bl>
    <w:p>
      <w:pPr>
        <w:outlineLvl w:val="0"/>
        <w:rPr>
          <w:b/>
          <w:sz w:val="32"/>
        </w:rPr>
      </w:pPr>
    </w:p>
    <w:p>
      <w:pPr>
        <w:outlineLvl w:val="0"/>
        <w:rPr>
          <w:b/>
          <w:sz w:val="32"/>
        </w:rPr>
      </w:pPr>
    </w:p>
    <w:p>
      <w:pPr>
        <w:outlineLvl w:val="0"/>
        <w:rPr>
          <w:b/>
          <w:sz w:val="32"/>
        </w:rPr>
      </w:pPr>
    </w:p>
    <w:p>
      <w:pPr>
        <w:outlineLvl w:val="0"/>
        <w:rPr>
          <w:b/>
          <w:sz w:val="32"/>
        </w:rPr>
      </w:pPr>
      <w:r>
        <w:rPr>
          <w:rFonts w:hint="eastAsia"/>
          <w:b/>
          <w:sz w:val="32"/>
        </w:rPr>
        <w:t>结论与建议</w:t>
      </w:r>
    </w:p>
    <w:tbl>
      <w:tblPr>
        <w:tblStyle w:val="35"/>
        <w:tblW w:w="9117"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117"/>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396" w:hRule="atLeast"/>
          <w:jc w:val="center"/>
        </w:trPr>
        <w:tc>
          <w:tcPr>
            <w:tcW w:w="9117" w:type="dxa"/>
            <w:tcBorders>
              <w:top w:val="single" w:color="auto" w:sz="12" w:space="0"/>
              <w:bottom w:val="single" w:color="auto" w:sz="12" w:space="0"/>
            </w:tcBorders>
          </w:tcPr>
          <w:p>
            <w:pPr>
              <w:spacing w:line="360" w:lineRule="auto"/>
              <w:rPr>
                <w:b/>
                <w:sz w:val="24"/>
                <w:szCs w:val="24"/>
              </w:rPr>
            </w:pPr>
            <w:r>
              <w:rPr>
                <w:rFonts w:hint="eastAsia"/>
                <w:b/>
                <w:sz w:val="24"/>
                <w:szCs w:val="24"/>
              </w:rPr>
              <w:t>一、结论</w:t>
            </w:r>
            <w:bookmarkStart w:id="93" w:name="_GoBack"/>
            <w:bookmarkEnd w:id="93"/>
          </w:p>
          <w:p>
            <w:pPr>
              <w:spacing w:line="360" w:lineRule="auto"/>
              <w:ind w:firstLine="482" w:firstLineChars="200"/>
              <w:rPr>
                <w:rFonts w:hAnsi="宋体"/>
                <w:b/>
                <w:sz w:val="24"/>
              </w:rPr>
            </w:pPr>
            <w:r>
              <w:rPr>
                <w:rFonts w:hAnsi="宋体"/>
                <w:b/>
                <w:sz w:val="24"/>
              </w:rPr>
              <w:t>1</w:t>
            </w:r>
            <w:r>
              <w:rPr>
                <w:rFonts w:hint="eastAsia" w:hAnsi="宋体"/>
                <w:b/>
                <w:sz w:val="24"/>
              </w:rPr>
              <w:t>、项目概况</w:t>
            </w:r>
          </w:p>
          <w:p>
            <w:pPr>
              <w:spacing w:line="360" w:lineRule="auto"/>
              <w:ind w:firstLine="480" w:firstLineChars="200"/>
              <w:rPr>
                <w:rFonts w:hAnsi="宋体"/>
                <w:bCs/>
                <w:sz w:val="24"/>
              </w:rPr>
            </w:pPr>
            <w:r>
              <w:rPr>
                <w:rFonts w:hint="eastAsia" w:hAnsi="宋体"/>
                <w:bCs/>
                <w:sz w:val="24"/>
              </w:rPr>
              <w:t>宁县太昌镇人民政府投资建设</w:t>
            </w:r>
            <w:r>
              <w:rPr>
                <w:rFonts w:hint="eastAsia"/>
                <w:bCs/>
                <w:sz w:val="24"/>
                <w:szCs w:val="28"/>
              </w:rPr>
              <w:t>宁县太昌镇东风村易地扶贫搬迁附属工程建设项目</w:t>
            </w:r>
            <w:r>
              <w:rPr>
                <w:rFonts w:hint="eastAsia"/>
                <w:spacing w:val="-12"/>
                <w:sz w:val="24"/>
                <w:szCs w:val="24"/>
              </w:rPr>
              <w:t>，项目位于</w:t>
            </w:r>
            <w:r>
              <w:rPr>
                <w:rFonts w:hint="eastAsia"/>
                <w:bCs/>
                <w:spacing w:val="-12"/>
                <w:sz w:val="24"/>
                <w:szCs w:val="24"/>
              </w:rPr>
              <w:t>太昌镇街道</w:t>
            </w:r>
            <w:r>
              <w:rPr>
                <w:rFonts w:hint="eastAsia"/>
                <w:spacing w:val="-12"/>
                <w:sz w:val="24"/>
                <w:szCs w:val="24"/>
              </w:rPr>
              <w:t>，</w:t>
            </w:r>
            <w:r>
              <w:rPr>
                <w:rFonts w:hint="eastAsia"/>
                <w:bCs/>
                <w:sz w:val="24"/>
                <w:szCs w:val="28"/>
              </w:rPr>
              <w:t>建设内容包括人行道铺装硬化、混凝土道路、绿化带、广场、污水处理站、给排水、电气设计、原有道路及人行道拆除等。</w:t>
            </w:r>
            <w:r>
              <w:rPr>
                <w:rFonts w:hint="eastAsia"/>
                <w:spacing w:val="-12"/>
                <w:sz w:val="24"/>
                <w:szCs w:val="24"/>
              </w:rPr>
              <w:t>总用地面积</w:t>
            </w:r>
            <w:r>
              <w:rPr>
                <w:rFonts w:hint="eastAsia"/>
                <w:bCs/>
                <w:sz w:val="24"/>
                <w:szCs w:val="28"/>
              </w:rPr>
              <w:t>16959.08</w:t>
            </w:r>
            <w:r>
              <w:rPr>
                <w:spacing w:val="-12"/>
                <w:sz w:val="24"/>
                <w:szCs w:val="24"/>
              </w:rPr>
              <w:t>m</w:t>
            </w:r>
            <w:r>
              <w:rPr>
                <w:spacing w:val="-12"/>
                <w:sz w:val="24"/>
                <w:szCs w:val="24"/>
                <w:vertAlign w:val="superscript"/>
              </w:rPr>
              <w:t>2</w:t>
            </w:r>
            <w:r>
              <w:rPr>
                <w:rFonts w:hint="eastAsia"/>
                <w:sz w:val="24"/>
              </w:rPr>
              <w:t>。总投资</w:t>
            </w:r>
            <w:r>
              <w:rPr>
                <w:rFonts w:hint="eastAsia"/>
                <w:sz w:val="24"/>
                <w:szCs w:val="24"/>
              </w:rPr>
              <w:t>872.58</w:t>
            </w:r>
            <w:r>
              <w:rPr>
                <w:rFonts w:hint="eastAsia"/>
                <w:spacing w:val="-12"/>
                <w:sz w:val="24"/>
                <w:szCs w:val="24"/>
              </w:rPr>
              <w:t>万元，其中环保投资44万元。</w:t>
            </w:r>
          </w:p>
          <w:p>
            <w:pPr>
              <w:spacing w:line="360" w:lineRule="auto"/>
              <w:ind w:firstLine="482" w:firstLineChars="200"/>
              <w:rPr>
                <w:b/>
                <w:sz w:val="24"/>
                <w:szCs w:val="24"/>
              </w:rPr>
            </w:pPr>
            <w:r>
              <w:rPr>
                <w:b/>
                <w:sz w:val="24"/>
                <w:szCs w:val="24"/>
              </w:rPr>
              <w:t>2</w:t>
            </w:r>
            <w:r>
              <w:rPr>
                <w:rFonts w:hint="eastAsia"/>
                <w:b/>
                <w:sz w:val="24"/>
                <w:szCs w:val="24"/>
              </w:rPr>
              <w:t>、选址合理性结论</w:t>
            </w:r>
          </w:p>
          <w:p>
            <w:pPr>
              <w:autoSpaceDE w:val="0"/>
              <w:autoSpaceDN w:val="0"/>
              <w:adjustRightInd w:val="0"/>
              <w:spacing w:line="360" w:lineRule="auto"/>
              <w:ind w:firstLine="480" w:firstLineChars="200"/>
              <w:rPr>
                <w:sz w:val="24"/>
                <w:szCs w:val="28"/>
              </w:rPr>
            </w:pPr>
            <w:r>
              <w:rPr>
                <w:rFonts w:hint="eastAsia"/>
                <w:bCs/>
                <w:sz w:val="24"/>
                <w:szCs w:val="28"/>
              </w:rPr>
              <w:t>项目已取得宁县城乡规划局《</w:t>
            </w:r>
            <w:r>
              <w:rPr>
                <w:rFonts w:hint="eastAsia"/>
                <w:sz w:val="24"/>
                <w:szCs w:val="28"/>
              </w:rPr>
              <w:t>建设项目选址意见书</w:t>
            </w:r>
            <w:r>
              <w:rPr>
                <w:rFonts w:hint="eastAsia"/>
                <w:bCs/>
                <w:sz w:val="24"/>
                <w:szCs w:val="28"/>
              </w:rPr>
              <w:t>》</w:t>
            </w:r>
            <w:r>
              <w:rPr>
                <w:rFonts w:hint="eastAsia"/>
                <w:sz w:val="24"/>
                <w:szCs w:val="28"/>
              </w:rPr>
              <w:t>（选字第2017-028号），审核本建设项目符合城乡规划要求；项目已取得宁县国土资源局《证明》（宁国土资函字[2017]171号），批复项目实施范围在街区原国有土地基础上进行，无新增占用耕地，符合太昌镇城镇土地利用总体规划。</w:t>
            </w:r>
          </w:p>
          <w:p>
            <w:pPr>
              <w:autoSpaceDE w:val="0"/>
              <w:autoSpaceDN w:val="0"/>
              <w:adjustRightInd w:val="0"/>
              <w:spacing w:line="360" w:lineRule="auto"/>
              <w:ind w:firstLine="480" w:firstLineChars="200"/>
              <w:rPr>
                <w:sz w:val="24"/>
                <w:szCs w:val="28"/>
              </w:rPr>
            </w:pPr>
            <w:r>
              <w:rPr>
                <w:rFonts w:hint="eastAsia"/>
                <w:bCs/>
                <w:sz w:val="24"/>
                <w:szCs w:val="28"/>
              </w:rPr>
              <w:t>项目选址符合城镇土地利用总体规划；场地地质适宜建设本工程；排水管网不涉及农户拆迁，选线基本合理；广场不占用公路，不占用农田，选址基本合理；污水处理站不在饮用水源地保护区范围内，环评要求污水处理站生产区周围设置50m卫生防护距离，根据2018年11月环评现场踏勘，污水处理站周围最近居民房屋距离生产区为51m，且处于侧风向区域，因此，污水处理站选址基本合理。</w:t>
            </w:r>
          </w:p>
          <w:p>
            <w:pPr>
              <w:autoSpaceDE w:val="0"/>
              <w:autoSpaceDN w:val="0"/>
              <w:adjustRightInd w:val="0"/>
              <w:spacing w:line="360" w:lineRule="auto"/>
              <w:ind w:firstLine="480" w:firstLineChars="200"/>
              <w:rPr>
                <w:bCs/>
                <w:sz w:val="24"/>
                <w:szCs w:val="28"/>
              </w:rPr>
            </w:pPr>
            <w:r>
              <w:rPr>
                <w:rFonts w:hint="eastAsia"/>
                <w:sz w:val="24"/>
                <w:szCs w:val="28"/>
              </w:rPr>
              <w:t>经分析，项目选址基本合理。</w:t>
            </w:r>
          </w:p>
          <w:p>
            <w:pPr>
              <w:spacing w:line="360" w:lineRule="auto"/>
              <w:ind w:firstLine="482" w:firstLineChars="200"/>
              <w:rPr>
                <w:b/>
                <w:sz w:val="24"/>
                <w:szCs w:val="24"/>
              </w:rPr>
            </w:pPr>
            <w:r>
              <w:rPr>
                <w:b/>
                <w:sz w:val="24"/>
                <w:szCs w:val="24"/>
              </w:rPr>
              <w:t>3</w:t>
            </w:r>
            <w:r>
              <w:rPr>
                <w:rFonts w:hint="eastAsia"/>
                <w:b/>
                <w:sz w:val="24"/>
                <w:szCs w:val="24"/>
              </w:rPr>
              <w:t>、产业政策符合性结论</w:t>
            </w:r>
          </w:p>
          <w:p>
            <w:pPr>
              <w:autoSpaceDE w:val="0"/>
              <w:autoSpaceDN w:val="0"/>
              <w:adjustRightInd w:val="0"/>
              <w:spacing w:line="360" w:lineRule="auto"/>
              <w:ind w:firstLine="480" w:firstLineChars="200"/>
              <w:rPr>
                <w:sz w:val="24"/>
                <w:szCs w:val="28"/>
              </w:rPr>
            </w:pPr>
            <w:r>
              <w:rPr>
                <w:rFonts w:hint="eastAsia"/>
                <w:sz w:val="24"/>
                <w:szCs w:val="28"/>
              </w:rPr>
              <w:t>根据《国民经济行业分类》（GB/T4754-2017），本项目属于E4819 其他道路、隧道和桥梁工程建筑、E4852 管道工程建筑、</w:t>
            </w:r>
            <w:r>
              <w:rPr>
                <w:rFonts w:hint="eastAsia"/>
                <w:sz w:val="24"/>
              </w:rPr>
              <w:t>D4620 污水处理及其再生利用</w:t>
            </w:r>
            <w:r>
              <w:rPr>
                <w:rFonts w:hint="eastAsia"/>
                <w:sz w:val="24"/>
                <w:szCs w:val="28"/>
              </w:rPr>
              <w:t>。</w:t>
            </w:r>
            <w:r>
              <w:rPr>
                <w:sz w:val="24"/>
                <w:szCs w:val="28"/>
              </w:rPr>
              <w:t>根据《产业结构调整指导目录》（2011年本）及《国家发展改革委关于修改&lt;产业结构调整指导目录（2011年本）&gt;有关条款的决定》（国家发展和改革委员会令第21号，2013年2月16日），</w:t>
            </w:r>
            <w:r>
              <w:rPr>
                <w:rFonts w:hint="eastAsia"/>
                <w:sz w:val="24"/>
                <w:szCs w:val="28"/>
              </w:rPr>
              <w:t>拟建项目属于鼓励类“第二十二项城市基础设施—9城镇供排水管网工程、供水水源及净水厂工程”、“第二十二项城市基础设施—19再生水利用技术与工程”，以及其他建设工程内容不属于限制类和禁止类，符合国家产业政策。</w:t>
            </w:r>
          </w:p>
          <w:p>
            <w:pPr>
              <w:spacing w:line="360" w:lineRule="auto"/>
              <w:ind w:firstLine="480" w:firstLineChars="200"/>
              <w:rPr>
                <w:sz w:val="24"/>
                <w:szCs w:val="28"/>
              </w:rPr>
            </w:pPr>
            <w:r>
              <w:rPr>
                <w:rFonts w:hint="eastAsia"/>
                <w:sz w:val="24"/>
                <w:szCs w:val="28"/>
              </w:rPr>
              <w:t>污水处理站</w:t>
            </w:r>
            <w:r>
              <w:rPr>
                <w:sz w:val="24"/>
                <w:szCs w:val="28"/>
              </w:rPr>
              <w:t>污水处理工艺符合国家计委、建设部颁发的《城市污水处理工程项目建设标准（修订2001）》，建设部、国家环境保护总局及科技部印发的《城市污水处理及污染防治技术政策（建城2000[24]号）》的要求。</w:t>
            </w:r>
          </w:p>
          <w:p>
            <w:pPr>
              <w:spacing w:line="360" w:lineRule="auto"/>
              <w:ind w:firstLine="482" w:firstLineChars="200"/>
              <w:rPr>
                <w:rFonts w:hAnsi="宋体"/>
                <w:b/>
                <w:sz w:val="24"/>
              </w:rPr>
            </w:pPr>
            <w:r>
              <w:rPr>
                <w:rFonts w:hint="eastAsia" w:hAnsi="宋体"/>
                <w:b/>
                <w:sz w:val="24"/>
              </w:rPr>
              <w:t>4、环境质量现状</w:t>
            </w:r>
          </w:p>
          <w:p>
            <w:pPr>
              <w:spacing w:line="360" w:lineRule="auto"/>
              <w:ind w:firstLine="480" w:firstLineChars="200"/>
              <w:rPr>
                <w:rFonts w:hAnsi="宋体"/>
                <w:sz w:val="24"/>
              </w:rPr>
            </w:pPr>
            <w:r>
              <w:rPr>
                <w:rFonts w:hint="eastAsia" w:hAnsi="宋体"/>
                <w:sz w:val="24"/>
              </w:rPr>
              <w:t>（</w:t>
            </w:r>
            <w:r>
              <w:rPr>
                <w:rFonts w:hAnsi="宋体"/>
                <w:sz w:val="24"/>
              </w:rPr>
              <w:t>1</w:t>
            </w:r>
            <w:r>
              <w:rPr>
                <w:rFonts w:hint="eastAsia" w:hAnsi="宋体"/>
                <w:sz w:val="24"/>
              </w:rPr>
              <w:t>）环境空气质量现状</w:t>
            </w:r>
          </w:p>
          <w:p>
            <w:pPr>
              <w:spacing w:line="360" w:lineRule="auto"/>
              <w:ind w:firstLine="480" w:firstLineChars="200"/>
              <w:rPr>
                <w:rFonts w:hAnsi="宋体"/>
                <w:sz w:val="24"/>
              </w:rPr>
            </w:pPr>
            <w:r>
              <w:rPr>
                <w:rFonts w:hint="eastAsia" w:hAnsi="宋体"/>
                <w:sz w:val="24"/>
              </w:rPr>
              <w:t>由监测数据可知，</w:t>
            </w:r>
            <w:r>
              <w:rPr>
                <w:rFonts w:hint="eastAsia"/>
                <w:sz w:val="24"/>
              </w:rPr>
              <w:t>SO</w:t>
            </w:r>
            <w:r>
              <w:rPr>
                <w:rFonts w:hint="eastAsia"/>
                <w:sz w:val="24"/>
                <w:vertAlign w:val="subscript"/>
              </w:rPr>
              <w:t>2</w:t>
            </w:r>
            <w:r>
              <w:rPr>
                <w:rFonts w:hint="eastAsia"/>
                <w:sz w:val="24"/>
              </w:rPr>
              <w:t>、NO</w:t>
            </w:r>
            <w:r>
              <w:rPr>
                <w:rFonts w:hint="eastAsia"/>
                <w:sz w:val="24"/>
                <w:vertAlign w:val="subscript"/>
              </w:rPr>
              <w:t>2</w:t>
            </w:r>
            <w:r>
              <w:rPr>
                <w:rFonts w:hint="eastAsia"/>
                <w:sz w:val="24"/>
              </w:rPr>
              <w:t>1小时平均浓度和CO一次浓度值满足</w:t>
            </w:r>
            <w:r>
              <w:rPr>
                <w:bCs/>
                <w:sz w:val="24"/>
              </w:rPr>
              <w:t>《环境空气质量标准》（GB3095-</w:t>
            </w:r>
            <w:r>
              <w:rPr>
                <w:rFonts w:hint="eastAsia"/>
                <w:bCs/>
                <w:sz w:val="24"/>
              </w:rPr>
              <w:t>2012</w:t>
            </w:r>
            <w:r>
              <w:rPr>
                <w:bCs/>
                <w:sz w:val="24"/>
              </w:rPr>
              <w:t>）二级标准限值要求</w:t>
            </w:r>
            <w:r>
              <w:rPr>
                <w:rFonts w:hint="eastAsia"/>
                <w:bCs/>
                <w:sz w:val="24"/>
              </w:rPr>
              <w:t>，无超标现象；</w:t>
            </w:r>
            <w:r>
              <w:rPr>
                <w:rFonts w:hint="eastAsia"/>
                <w:sz w:val="24"/>
              </w:rPr>
              <w:t xml:space="preserve"> SO</w:t>
            </w:r>
            <w:r>
              <w:rPr>
                <w:rFonts w:hint="eastAsia"/>
                <w:sz w:val="24"/>
                <w:vertAlign w:val="subscript"/>
              </w:rPr>
              <w:t>2</w:t>
            </w:r>
            <w:r>
              <w:rPr>
                <w:rFonts w:hint="eastAsia"/>
                <w:sz w:val="24"/>
              </w:rPr>
              <w:t>、NO</w:t>
            </w:r>
            <w:r>
              <w:rPr>
                <w:rFonts w:hint="eastAsia"/>
                <w:sz w:val="24"/>
                <w:vertAlign w:val="subscript"/>
              </w:rPr>
              <w:t>2</w:t>
            </w:r>
            <w:r>
              <w:rPr>
                <w:rFonts w:hint="eastAsia"/>
                <w:sz w:val="24"/>
              </w:rPr>
              <w:t>、PM</w:t>
            </w:r>
            <w:r>
              <w:rPr>
                <w:rFonts w:hint="eastAsia"/>
                <w:sz w:val="24"/>
                <w:vertAlign w:val="subscript"/>
              </w:rPr>
              <w:t>10</w:t>
            </w:r>
            <w:r>
              <w:rPr>
                <w:rFonts w:hint="eastAsia"/>
                <w:sz w:val="24"/>
              </w:rPr>
              <w:t>、TSP24小时平均浓度满足</w:t>
            </w:r>
            <w:r>
              <w:rPr>
                <w:bCs/>
                <w:sz w:val="24"/>
              </w:rPr>
              <w:t>《环境空气质量标准》（GB3095-</w:t>
            </w:r>
            <w:r>
              <w:rPr>
                <w:rFonts w:hint="eastAsia"/>
                <w:bCs/>
                <w:sz w:val="24"/>
              </w:rPr>
              <w:t>2012</w:t>
            </w:r>
            <w:r>
              <w:rPr>
                <w:bCs/>
                <w:sz w:val="24"/>
              </w:rPr>
              <w:t>）二级标准限值要求</w:t>
            </w:r>
            <w:r>
              <w:rPr>
                <w:rFonts w:hint="eastAsia"/>
                <w:bCs/>
                <w:sz w:val="24"/>
              </w:rPr>
              <w:t>，无超标现象； NH</w:t>
            </w:r>
            <w:r>
              <w:rPr>
                <w:rFonts w:hint="eastAsia"/>
                <w:bCs/>
                <w:sz w:val="24"/>
                <w:vertAlign w:val="subscript"/>
              </w:rPr>
              <w:t>3</w:t>
            </w:r>
            <w:r>
              <w:rPr>
                <w:rFonts w:hint="eastAsia"/>
                <w:bCs/>
                <w:sz w:val="24"/>
              </w:rPr>
              <w:t>、H</w:t>
            </w:r>
            <w:r>
              <w:rPr>
                <w:rFonts w:hint="eastAsia"/>
                <w:bCs/>
                <w:sz w:val="24"/>
                <w:vertAlign w:val="subscript"/>
              </w:rPr>
              <w:t>2</w:t>
            </w:r>
            <w:r>
              <w:rPr>
                <w:rFonts w:hint="eastAsia"/>
                <w:bCs/>
                <w:sz w:val="24"/>
              </w:rPr>
              <w:t>S一次浓度满足《工业企业设计卫生标准》（TJ36-1979），无超标现象。</w:t>
            </w:r>
            <w:r>
              <w:rPr>
                <w:rFonts w:hint="eastAsia"/>
                <w:sz w:val="24"/>
                <w:szCs w:val="24"/>
              </w:rPr>
              <w:t>因此，项目评价区域环境空气质量良好。</w:t>
            </w:r>
          </w:p>
          <w:p>
            <w:pPr>
              <w:spacing w:line="360" w:lineRule="auto"/>
              <w:ind w:firstLine="480" w:firstLineChars="200"/>
              <w:rPr>
                <w:rFonts w:hAnsi="宋体"/>
                <w:sz w:val="24"/>
              </w:rPr>
            </w:pPr>
            <w:r>
              <w:rPr>
                <w:rFonts w:hint="eastAsia" w:hAnsi="宋体"/>
                <w:sz w:val="24"/>
              </w:rPr>
              <w:t>（2）地表水环境质量现状</w:t>
            </w:r>
          </w:p>
          <w:p>
            <w:pPr>
              <w:spacing w:line="360" w:lineRule="auto"/>
              <w:ind w:firstLine="480" w:firstLineChars="200"/>
              <w:rPr>
                <w:rFonts w:hAnsi="宋体"/>
                <w:sz w:val="24"/>
              </w:rPr>
            </w:pPr>
            <w:r>
              <w:rPr>
                <w:rFonts w:hint="eastAsia" w:hAnsi="宋体"/>
                <w:sz w:val="24"/>
              </w:rPr>
              <w:t>根据监测数据，评价区内地表水—老虎沟各监测断面监测因子浓度均满足《地表水环境质量标准》（GB3838-2002）</w:t>
            </w:r>
            <w:r>
              <w:rPr>
                <w:rFonts w:hint="eastAsia"/>
                <w:bCs/>
                <w:sz w:val="24"/>
                <w:szCs w:val="24"/>
              </w:rPr>
              <w:t>Ⅳ</w:t>
            </w:r>
            <w:r>
              <w:rPr>
                <w:rFonts w:hint="eastAsia" w:hAnsi="宋体"/>
                <w:sz w:val="24"/>
              </w:rPr>
              <w:t>类浓度限值要求。</w:t>
            </w:r>
          </w:p>
          <w:p>
            <w:pPr>
              <w:spacing w:line="360" w:lineRule="auto"/>
              <w:ind w:firstLine="480" w:firstLineChars="200"/>
              <w:rPr>
                <w:rFonts w:hAnsi="宋体"/>
                <w:sz w:val="24"/>
              </w:rPr>
            </w:pPr>
            <w:r>
              <w:rPr>
                <w:rFonts w:hint="eastAsia" w:hAnsi="宋体"/>
                <w:sz w:val="24"/>
              </w:rPr>
              <w:t>（3）地下水环境质量现状</w:t>
            </w:r>
          </w:p>
          <w:p>
            <w:pPr>
              <w:spacing w:line="360" w:lineRule="auto"/>
              <w:ind w:firstLine="480" w:firstLineChars="200"/>
              <w:rPr>
                <w:rFonts w:hAnsi="宋体"/>
                <w:sz w:val="24"/>
              </w:rPr>
            </w:pPr>
            <w:r>
              <w:rPr>
                <w:rFonts w:hint="eastAsia" w:hAnsi="宋体"/>
                <w:sz w:val="24"/>
              </w:rPr>
              <w:t>根据监测结果，各监测点位监测因子浓度均满足《地下水质量标准》（GB/T14848-2017）</w:t>
            </w:r>
            <w:r>
              <w:rPr>
                <w:rFonts w:hAnsi="宋体"/>
                <w:sz w:val="24"/>
              </w:rPr>
              <w:fldChar w:fldCharType="begin"/>
            </w:r>
            <w:r>
              <w:rPr>
                <w:rFonts w:hAnsi="宋体"/>
                <w:sz w:val="24"/>
              </w:rPr>
              <w:instrText xml:space="preserve"> = 4 \* ROMAN \* MERGEFORMAT </w:instrText>
            </w:r>
            <w:r>
              <w:rPr>
                <w:rFonts w:hAnsi="宋体"/>
                <w:sz w:val="24"/>
              </w:rPr>
              <w:fldChar w:fldCharType="separate"/>
            </w:r>
            <w:r>
              <w:rPr>
                <w:rFonts w:hint="eastAsia" w:hAnsi="宋体"/>
                <w:sz w:val="24"/>
              </w:rPr>
              <w:t>Ⅲ</w:t>
            </w:r>
            <w:r>
              <w:rPr>
                <w:rFonts w:hAnsi="宋体"/>
                <w:sz w:val="24"/>
              </w:rPr>
              <w:fldChar w:fldCharType="end"/>
            </w:r>
            <w:r>
              <w:rPr>
                <w:rFonts w:hint="eastAsia" w:hAnsi="宋体"/>
                <w:sz w:val="24"/>
              </w:rPr>
              <w:t>类标准限值要求。</w:t>
            </w:r>
          </w:p>
          <w:p>
            <w:pPr>
              <w:spacing w:line="360" w:lineRule="auto"/>
              <w:ind w:firstLine="480" w:firstLineChars="200"/>
              <w:rPr>
                <w:rFonts w:hAnsi="宋体"/>
                <w:sz w:val="24"/>
              </w:rPr>
            </w:pPr>
            <w:r>
              <w:rPr>
                <w:rFonts w:hint="eastAsia" w:hAnsi="宋体"/>
                <w:sz w:val="24"/>
              </w:rPr>
              <w:t>（4）声环境质量现状</w:t>
            </w:r>
          </w:p>
          <w:p>
            <w:pPr>
              <w:spacing w:line="360" w:lineRule="auto"/>
              <w:ind w:firstLine="480" w:firstLineChars="200"/>
              <w:rPr>
                <w:rFonts w:hAnsi="宋体"/>
                <w:sz w:val="24"/>
              </w:rPr>
            </w:pPr>
            <w:r>
              <w:rPr>
                <w:rFonts w:hint="eastAsia" w:hAnsi="宋体"/>
                <w:sz w:val="24"/>
              </w:rPr>
              <w:t>由监测结果可知，现状噪声监测值昼、夜间均满足《声环境质量标准》（</w:t>
            </w:r>
            <w:r>
              <w:rPr>
                <w:rFonts w:hAnsi="宋体"/>
                <w:sz w:val="24"/>
              </w:rPr>
              <w:t>GB3096-2008</w:t>
            </w:r>
            <w:r>
              <w:rPr>
                <w:rFonts w:hint="eastAsia" w:hAnsi="宋体"/>
                <w:sz w:val="24"/>
              </w:rPr>
              <w:t>）中的2类和4a类标准限值。</w:t>
            </w:r>
          </w:p>
          <w:p>
            <w:pPr>
              <w:spacing w:line="360" w:lineRule="auto"/>
              <w:ind w:firstLine="482" w:firstLineChars="200"/>
              <w:rPr>
                <w:rFonts w:hAnsi="宋体"/>
                <w:b/>
                <w:sz w:val="24"/>
              </w:rPr>
            </w:pPr>
            <w:r>
              <w:rPr>
                <w:rFonts w:hint="eastAsia" w:hAnsi="宋体"/>
                <w:b/>
                <w:sz w:val="24"/>
              </w:rPr>
              <w:t>5、环境保护措施及环境影响分析结论</w:t>
            </w:r>
          </w:p>
          <w:p>
            <w:pPr>
              <w:spacing w:line="360" w:lineRule="auto"/>
              <w:ind w:firstLine="480"/>
              <w:rPr>
                <w:sz w:val="24"/>
                <w:szCs w:val="24"/>
              </w:rPr>
            </w:pPr>
            <w:r>
              <w:rPr>
                <w:rFonts w:hint="eastAsia"/>
                <w:sz w:val="24"/>
                <w:szCs w:val="24"/>
              </w:rPr>
              <w:t>（</w:t>
            </w:r>
            <w:r>
              <w:rPr>
                <w:sz w:val="24"/>
                <w:szCs w:val="24"/>
              </w:rPr>
              <w:t>1</w:t>
            </w:r>
            <w:r>
              <w:rPr>
                <w:rFonts w:hint="eastAsia"/>
                <w:sz w:val="24"/>
                <w:szCs w:val="24"/>
              </w:rPr>
              <w:t>）水环境影响</w:t>
            </w:r>
          </w:p>
          <w:p>
            <w:pPr>
              <w:spacing w:line="360" w:lineRule="auto"/>
              <w:ind w:firstLine="480"/>
              <w:rPr>
                <w:sz w:val="24"/>
                <w:szCs w:val="24"/>
              </w:rPr>
            </w:pPr>
            <w:r>
              <w:rPr>
                <w:rFonts w:hint="eastAsia"/>
                <w:sz w:val="24"/>
                <w:szCs w:val="24"/>
              </w:rPr>
              <w:t>项目为乡镇搬迁附属工程，污水站</w:t>
            </w:r>
            <w:r>
              <w:rPr>
                <w:sz w:val="24"/>
                <w:szCs w:val="24"/>
              </w:rPr>
              <w:t>采用</w:t>
            </w:r>
            <w:r>
              <w:rPr>
                <w:rFonts w:hint="eastAsia"/>
                <w:sz w:val="24"/>
                <w:szCs w:val="24"/>
              </w:rPr>
              <w:t>多级生物接触氧化法设备处理，</w:t>
            </w:r>
            <w:r>
              <w:rPr>
                <w:sz w:val="24"/>
                <w:szCs w:val="24"/>
              </w:rPr>
              <w:t>出水水质均能够满足《城镇污水处理厂污染物排放标准》（GB18918-2002）一级</w:t>
            </w:r>
            <w:r>
              <w:rPr>
                <w:rFonts w:hint="eastAsia"/>
                <w:sz w:val="24"/>
                <w:szCs w:val="24"/>
              </w:rPr>
              <w:t>A</w:t>
            </w:r>
            <w:r>
              <w:rPr>
                <w:sz w:val="24"/>
                <w:szCs w:val="24"/>
              </w:rPr>
              <w:t>标准</w:t>
            </w:r>
            <w:r>
              <w:rPr>
                <w:rFonts w:hint="eastAsia"/>
                <w:sz w:val="24"/>
                <w:szCs w:val="24"/>
              </w:rPr>
              <w:t>，对水环境影响较小</w:t>
            </w:r>
            <w:r>
              <w:rPr>
                <w:sz w:val="24"/>
                <w:szCs w:val="24"/>
              </w:rPr>
              <w:t>。</w:t>
            </w:r>
          </w:p>
          <w:p>
            <w:pPr>
              <w:spacing w:line="360" w:lineRule="auto"/>
              <w:ind w:firstLine="480"/>
              <w:rPr>
                <w:sz w:val="24"/>
                <w:szCs w:val="24"/>
              </w:rPr>
            </w:pPr>
            <w:r>
              <w:rPr>
                <w:rFonts w:hint="eastAsia"/>
                <w:sz w:val="24"/>
                <w:szCs w:val="24"/>
              </w:rPr>
              <w:t>（</w:t>
            </w:r>
            <w:r>
              <w:rPr>
                <w:sz w:val="24"/>
                <w:szCs w:val="24"/>
              </w:rPr>
              <w:t>2</w:t>
            </w:r>
            <w:r>
              <w:rPr>
                <w:rFonts w:hint="eastAsia"/>
                <w:sz w:val="24"/>
                <w:szCs w:val="24"/>
              </w:rPr>
              <w:t>）大气环境影响</w:t>
            </w:r>
          </w:p>
          <w:p>
            <w:pPr>
              <w:spacing w:line="360" w:lineRule="auto"/>
              <w:ind w:firstLine="480" w:firstLineChars="200"/>
              <w:rPr>
                <w:rFonts w:hAnsi="宋体"/>
                <w:sz w:val="24"/>
              </w:rPr>
            </w:pPr>
            <w:r>
              <w:rPr>
                <w:rFonts w:hint="eastAsia" w:hAnsi="宋体"/>
                <w:sz w:val="24"/>
              </w:rPr>
              <w:t>拟建项目选址位于太昌镇街道，本次</w:t>
            </w:r>
            <w:r>
              <w:rPr>
                <w:rFonts w:hAnsi="宋体"/>
                <w:sz w:val="24"/>
              </w:rPr>
              <w:t>拟建</w:t>
            </w:r>
            <w:r>
              <w:rPr>
                <w:rFonts w:hint="eastAsia" w:hAnsi="宋体"/>
                <w:sz w:val="24"/>
              </w:rPr>
              <w:t>污水站</w:t>
            </w:r>
            <w:r>
              <w:rPr>
                <w:rFonts w:hAnsi="宋体"/>
                <w:sz w:val="24"/>
              </w:rPr>
              <w:t>污水处理</w:t>
            </w:r>
            <w:r>
              <w:rPr>
                <w:rFonts w:hint="eastAsia" w:hAnsi="宋体"/>
                <w:sz w:val="24"/>
              </w:rPr>
              <w:t>设施均为封闭地埋式设施，均有加盖措施，同时建议在站内充分绿化并分区段设置绿化措施，有效减小气味对周围环境的影响。项目污水站设置生产区周围50m卫生防护距离，卫生防护距离内无其他居民点等环境保护目标。</w:t>
            </w:r>
          </w:p>
          <w:p>
            <w:pPr>
              <w:spacing w:line="360" w:lineRule="auto"/>
              <w:ind w:firstLine="480" w:firstLineChars="200"/>
              <w:rPr>
                <w:rFonts w:hAnsi="宋体"/>
                <w:sz w:val="24"/>
              </w:rPr>
            </w:pPr>
            <w:r>
              <w:rPr>
                <w:rFonts w:hint="eastAsia" w:hAnsi="宋体"/>
                <w:sz w:val="24"/>
              </w:rPr>
              <w:t>汽车尾气及扬尘在采取限速、安装监控设备、定期洒水后，对环境的影响较小。</w:t>
            </w:r>
          </w:p>
          <w:p>
            <w:pPr>
              <w:pStyle w:val="198"/>
              <w:adjustRightInd/>
              <w:snapToGrid/>
              <w:ind w:firstLine="480"/>
              <w:rPr>
                <w:rFonts w:ascii="Times New Roman" w:cs="Times New Roman"/>
              </w:rPr>
            </w:pPr>
            <w:r>
              <w:rPr>
                <w:rFonts w:hint="eastAsia" w:ascii="Times New Roman" w:cs="Times New Roman"/>
              </w:rPr>
              <w:t>（</w:t>
            </w:r>
            <w:r>
              <w:rPr>
                <w:rFonts w:ascii="Times New Roman" w:cs="Times New Roman"/>
              </w:rPr>
              <w:t>3</w:t>
            </w:r>
            <w:r>
              <w:rPr>
                <w:rFonts w:hint="eastAsia" w:ascii="Times New Roman" w:cs="Times New Roman"/>
              </w:rPr>
              <w:t>）</w:t>
            </w:r>
            <w:r>
              <w:rPr>
                <w:rFonts w:hint="eastAsia"/>
              </w:rPr>
              <w:t>声环境影响</w:t>
            </w:r>
          </w:p>
          <w:p>
            <w:pPr>
              <w:spacing w:line="360" w:lineRule="auto"/>
              <w:ind w:firstLine="480" w:firstLineChars="200"/>
              <w:rPr>
                <w:rFonts w:hAnsi="宋体"/>
                <w:sz w:val="24"/>
              </w:rPr>
            </w:pPr>
            <w:r>
              <w:rPr>
                <w:rFonts w:hint="eastAsia" w:hAnsi="宋体"/>
                <w:sz w:val="24"/>
              </w:rPr>
              <w:t>拟建项目污水站噪声源经吸声、隔声、消声、减震等措施后，厂界处贡献值噪声均满足《工业企业厂界环境噪声排放标准》（GB12348-2008）中2类区要求。公路车辆交通噪声在禁鸣、减速慢行后可满足《工业企业厂界环境噪声排放标准》（GB12348-2008）中4类区要求。</w:t>
            </w:r>
          </w:p>
          <w:p>
            <w:pPr>
              <w:spacing w:line="360" w:lineRule="auto"/>
              <w:ind w:firstLine="480"/>
              <w:rPr>
                <w:sz w:val="24"/>
              </w:rPr>
            </w:pPr>
            <w:r>
              <w:rPr>
                <w:rFonts w:hint="eastAsia"/>
                <w:sz w:val="24"/>
              </w:rPr>
              <w:t>（</w:t>
            </w:r>
            <w:r>
              <w:rPr>
                <w:sz w:val="24"/>
              </w:rPr>
              <w:t>4</w:t>
            </w:r>
            <w:r>
              <w:rPr>
                <w:rFonts w:hint="eastAsia"/>
                <w:sz w:val="24"/>
              </w:rPr>
              <w:t>）固体废物处置</w:t>
            </w:r>
          </w:p>
          <w:p>
            <w:pPr>
              <w:spacing w:line="360" w:lineRule="auto"/>
              <w:ind w:firstLine="480" w:firstLineChars="200"/>
              <w:rPr>
                <w:sz w:val="24"/>
              </w:rPr>
            </w:pPr>
            <w:r>
              <w:rPr>
                <w:rFonts w:hAnsi="宋体"/>
                <w:sz w:val="24"/>
              </w:rPr>
              <w:t>废渣处理主要是通过格栅来完成，并</w:t>
            </w:r>
            <w:r>
              <w:rPr>
                <w:rFonts w:hint="eastAsia" w:hAnsi="宋体"/>
                <w:sz w:val="24"/>
              </w:rPr>
              <w:t>定期</w:t>
            </w:r>
            <w:r>
              <w:rPr>
                <w:rFonts w:hAnsi="宋体"/>
                <w:sz w:val="24"/>
              </w:rPr>
              <w:t>将其外运至</w:t>
            </w:r>
            <w:r>
              <w:rPr>
                <w:rFonts w:hint="eastAsia" w:hAnsi="宋体"/>
                <w:sz w:val="24"/>
              </w:rPr>
              <w:t>宁县和盛镇生活</w:t>
            </w:r>
            <w:r>
              <w:rPr>
                <w:rFonts w:hAnsi="宋体"/>
                <w:sz w:val="24"/>
              </w:rPr>
              <w:t>垃圾填埋场卫生填埋</w:t>
            </w:r>
            <w:r>
              <w:rPr>
                <w:rFonts w:hint="eastAsia" w:hAnsi="宋体"/>
                <w:sz w:val="24"/>
              </w:rPr>
              <w:t>；废滤料属于一般固废，定期</w:t>
            </w:r>
            <w:r>
              <w:rPr>
                <w:rFonts w:hAnsi="宋体"/>
                <w:sz w:val="24"/>
              </w:rPr>
              <w:t>将其外运至</w:t>
            </w:r>
            <w:r>
              <w:rPr>
                <w:rFonts w:hint="eastAsia" w:hAnsi="宋体"/>
                <w:sz w:val="24"/>
              </w:rPr>
              <w:t>宁县和盛镇生活</w:t>
            </w:r>
            <w:r>
              <w:rPr>
                <w:rFonts w:hAnsi="宋体"/>
                <w:sz w:val="24"/>
              </w:rPr>
              <w:t>垃圾填埋场卫生填埋</w:t>
            </w:r>
            <w:r>
              <w:rPr>
                <w:rFonts w:hint="eastAsia" w:hAnsi="宋体"/>
                <w:sz w:val="24"/>
              </w:rPr>
              <w:t>；污水管网淤泥和污水站污泥一起处理；</w:t>
            </w:r>
            <w:r>
              <w:rPr>
                <w:rFonts w:hint="eastAsia" w:hAnsi="宋体"/>
                <w:sz w:val="24"/>
                <w:szCs w:val="24"/>
              </w:rPr>
              <w:t>剩余污泥</w:t>
            </w:r>
            <w:r>
              <w:rPr>
                <w:rFonts w:hint="eastAsia" w:hAnsi="宋体"/>
                <w:bCs/>
                <w:sz w:val="24"/>
                <w:szCs w:val="24"/>
              </w:rPr>
              <w:t>近期交由有资质单位处理，远期建设深度处理，至含水率低于60%送</w:t>
            </w:r>
            <w:r>
              <w:rPr>
                <w:rFonts w:hint="eastAsia" w:hAnsi="宋体"/>
                <w:sz w:val="24"/>
                <w:szCs w:val="24"/>
              </w:rPr>
              <w:t>宁县和盛镇生活垃圾填埋场</w:t>
            </w:r>
            <w:r>
              <w:rPr>
                <w:rFonts w:hint="eastAsia" w:hAnsi="宋体"/>
                <w:bCs/>
                <w:sz w:val="24"/>
                <w:szCs w:val="24"/>
              </w:rPr>
              <w:t>卫生填埋</w:t>
            </w:r>
            <w:r>
              <w:rPr>
                <w:rFonts w:hint="eastAsia" w:hAnsi="宋体"/>
                <w:sz w:val="24"/>
                <w:szCs w:val="24"/>
              </w:rPr>
              <w:t>；</w:t>
            </w:r>
            <w:r>
              <w:rPr>
                <w:rFonts w:hint="eastAsia"/>
                <w:sz w:val="24"/>
                <w:szCs w:val="24"/>
              </w:rPr>
              <w:t>路面及广场垃圾</w:t>
            </w:r>
            <w:r>
              <w:rPr>
                <w:rFonts w:hint="eastAsia"/>
                <w:sz w:val="24"/>
              </w:rPr>
              <w:t>清理</w:t>
            </w:r>
            <w:r>
              <w:rPr>
                <w:rFonts w:hint="eastAsia"/>
                <w:bCs/>
                <w:sz w:val="24"/>
              </w:rPr>
              <w:t>运至</w:t>
            </w:r>
            <w:r>
              <w:rPr>
                <w:sz w:val="24"/>
              </w:rPr>
              <w:t>政府指定的生活垃圾填埋场处置</w:t>
            </w:r>
            <w:r>
              <w:rPr>
                <w:rFonts w:hint="eastAsia"/>
                <w:sz w:val="24"/>
              </w:rPr>
              <w:t>。经上述措施处理后，本项目固体废物对周围环境影响较小。</w:t>
            </w:r>
          </w:p>
          <w:p>
            <w:pPr>
              <w:spacing w:line="360" w:lineRule="auto"/>
              <w:ind w:firstLine="480" w:firstLineChars="200"/>
              <w:rPr>
                <w:sz w:val="24"/>
              </w:rPr>
            </w:pPr>
            <w:r>
              <w:rPr>
                <w:rFonts w:hint="eastAsia"/>
                <w:sz w:val="24"/>
              </w:rPr>
              <w:t>（5）地下水环境影响</w:t>
            </w:r>
          </w:p>
          <w:p>
            <w:pPr>
              <w:spacing w:line="360" w:lineRule="auto"/>
              <w:ind w:firstLine="480" w:firstLineChars="200"/>
              <w:rPr>
                <w:sz w:val="24"/>
              </w:rPr>
            </w:pPr>
            <w:r>
              <w:rPr>
                <w:sz w:val="24"/>
              </w:rPr>
              <w:t>污水处理</w:t>
            </w:r>
            <w:r>
              <w:rPr>
                <w:rFonts w:hint="eastAsia"/>
                <w:sz w:val="24"/>
              </w:rPr>
              <w:t>厂</w:t>
            </w:r>
            <w:r>
              <w:rPr>
                <w:sz w:val="24"/>
              </w:rPr>
              <w:t>各废水处理构筑物</w:t>
            </w:r>
            <w:r>
              <w:rPr>
                <w:rFonts w:hint="eastAsia"/>
                <w:sz w:val="24"/>
              </w:rPr>
              <w:t>及污水管网</w:t>
            </w:r>
            <w:r>
              <w:rPr>
                <w:sz w:val="24"/>
              </w:rPr>
              <w:t>应考虑防渗，设备、污水处理构筑物应采取严格的控制措施，防止污染物的跑、冒、滴、漏，厂区应硬化地表，将污染物泄漏的环境风险事故降到最低限度。</w:t>
            </w:r>
            <w:r>
              <w:rPr>
                <w:rFonts w:hint="eastAsia"/>
                <w:sz w:val="24"/>
              </w:rPr>
              <w:t>环评要求项目厂区进行分区防渗，</w:t>
            </w:r>
            <w:r>
              <w:rPr>
                <w:sz w:val="24"/>
              </w:rPr>
              <w:t>对于污水处理</w:t>
            </w:r>
            <w:r>
              <w:rPr>
                <w:rFonts w:hint="eastAsia"/>
                <w:sz w:val="24"/>
              </w:rPr>
              <w:t>站</w:t>
            </w:r>
            <w:r>
              <w:rPr>
                <w:sz w:val="24"/>
              </w:rPr>
              <w:t>各水处理构筑物</w:t>
            </w:r>
            <w:r>
              <w:rPr>
                <w:rFonts w:hint="eastAsia"/>
                <w:sz w:val="24"/>
              </w:rPr>
              <w:t>及管网</w:t>
            </w:r>
            <w:r>
              <w:rPr>
                <w:sz w:val="24"/>
              </w:rPr>
              <w:t>要求</w:t>
            </w:r>
            <w:r>
              <w:rPr>
                <w:rFonts w:hint="eastAsia"/>
                <w:sz w:val="24"/>
              </w:rPr>
              <w:t>为重点防渗，该区采取防渗措施后，</w:t>
            </w:r>
            <w:r>
              <w:rPr>
                <w:bCs/>
                <w:sz w:val="24"/>
              </w:rPr>
              <w:t>抗渗混凝土的渗透系数≤1.0×10</w:t>
            </w:r>
            <w:r>
              <w:rPr>
                <w:bCs/>
                <w:sz w:val="24"/>
                <w:vertAlign w:val="superscript"/>
              </w:rPr>
              <w:t>-</w:t>
            </w:r>
            <w:r>
              <w:rPr>
                <w:rFonts w:hint="eastAsia"/>
                <w:bCs/>
                <w:sz w:val="24"/>
                <w:vertAlign w:val="superscript"/>
              </w:rPr>
              <w:t>7</w:t>
            </w:r>
            <w:r>
              <w:rPr>
                <w:bCs/>
                <w:sz w:val="24"/>
              </w:rPr>
              <w:t>cm/s</w:t>
            </w:r>
            <w:r>
              <w:rPr>
                <w:rFonts w:hint="eastAsia"/>
                <w:sz w:val="24"/>
              </w:rPr>
              <w:t>，厂区其余采用一般防渗。</w:t>
            </w:r>
          </w:p>
          <w:p>
            <w:pPr>
              <w:spacing w:line="360" w:lineRule="auto"/>
              <w:ind w:firstLine="480" w:firstLineChars="200"/>
              <w:rPr>
                <w:sz w:val="24"/>
              </w:rPr>
            </w:pPr>
            <w:r>
              <w:rPr>
                <w:rFonts w:hint="eastAsia"/>
                <w:sz w:val="24"/>
              </w:rPr>
              <w:t>（6）环境风险分析</w:t>
            </w:r>
          </w:p>
          <w:p>
            <w:pPr>
              <w:spacing w:line="360" w:lineRule="auto"/>
              <w:ind w:firstLine="480" w:firstLineChars="200"/>
              <w:rPr>
                <w:sz w:val="24"/>
              </w:rPr>
            </w:pPr>
            <w:r>
              <w:rPr>
                <w:sz w:val="24"/>
              </w:rPr>
              <w:t>拟建项目采用成熟可靠的生产工艺和设备，各专业在设计中严格执行各专业有关规范中的</w:t>
            </w:r>
            <w:r>
              <w:rPr>
                <w:rFonts w:hint="eastAsia"/>
                <w:sz w:val="24"/>
              </w:rPr>
              <w:t>环保要求</w:t>
            </w:r>
            <w:r>
              <w:rPr>
                <w:sz w:val="24"/>
              </w:rPr>
              <w:t>，对影响</w:t>
            </w:r>
            <w:r>
              <w:rPr>
                <w:rFonts w:hint="eastAsia"/>
                <w:sz w:val="24"/>
              </w:rPr>
              <w:t>环境</w:t>
            </w:r>
            <w:r>
              <w:rPr>
                <w:sz w:val="24"/>
              </w:rPr>
              <w:t>的因素，均采取了措施予以防范，正常情况下能够保证</w:t>
            </w:r>
            <w:r>
              <w:rPr>
                <w:rFonts w:hint="eastAsia"/>
                <w:sz w:val="24"/>
              </w:rPr>
              <w:t>出水正常排放</w:t>
            </w:r>
            <w:r>
              <w:rPr>
                <w:sz w:val="24"/>
              </w:rPr>
              <w:t>。</w:t>
            </w:r>
            <w:r>
              <w:rPr>
                <w:rFonts w:hint="eastAsia"/>
                <w:sz w:val="24"/>
              </w:rPr>
              <w:t>通过采取防范措施，</w:t>
            </w:r>
            <w:r>
              <w:rPr>
                <w:sz w:val="24"/>
              </w:rPr>
              <w:t>拟建项目在建成后将能有效的防止</w:t>
            </w:r>
            <w:r>
              <w:rPr>
                <w:rFonts w:hint="eastAsia"/>
                <w:sz w:val="24"/>
              </w:rPr>
              <w:t>因</w:t>
            </w:r>
            <w:r>
              <w:rPr>
                <w:sz w:val="24"/>
              </w:rPr>
              <w:t>事故的发生，一旦发生事故，依靠装置内的安全防护设施和事故应急措施也能及时控制事故，防止事故的蔓延。因此，只要严格遵守各</w:t>
            </w:r>
            <w:r>
              <w:rPr>
                <w:rFonts w:hint="eastAsia"/>
                <w:sz w:val="24"/>
              </w:rPr>
              <w:t>设备</w:t>
            </w:r>
            <w:r>
              <w:rPr>
                <w:sz w:val="24"/>
              </w:rPr>
              <w:t>操作规程和</w:t>
            </w:r>
            <w:r>
              <w:rPr>
                <w:rFonts w:hint="eastAsia"/>
                <w:sz w:val="24"/>
              </w:rPr>
              <w:t>要求</w:t>
            </w:r>
            <w:r>
              <w:rPr>
                <w:sz w:val="24"/>
              </w:rPr>
              <w:t>，加强</w:t>
            </w:r>
            <w:r>
              <w:rPr>
                <w:rFonts w:hint="eastAsia"/>
                <w:sz w:val="24"/>
              </w:rPr>
              <w:t>设备维护和</w:t>
            </w:r>
            <w:r>
              <w:rPr>
                <w:sz w:val="24"/>
              </w:rPr>
              <w:t>管理，</w:t>
            </w:r>
            <w:r>
              <w:rPr>
                <w:rFonts w:hint="eastAsia"/>
                <w:sz w:val="24"/>
              </w:rPr>
              <w:t>禁止发生直接排放，</w:t>
            </w:r>
            <w:r>
              <w:rPr>
                <w:sz w:val="24"/>
              </w:rPr>
              <w:t>拟建项目完工后，其</w:t>
            </w:r>
            <w:r>
              <w:rPr>
                <w:rFonts w:hint="eastAsia"/>
                <w:sz w:val="24"/>
              </w:rPr>
              <w:t>运营</w:t>
            </w:r>
            <w:r>
              <w:rPr>
                <w:sz w:val="24"/>
              </w:rPr>
              <w:t>是</w:t>
            </w:r>
            <w:r>
              <w:rPr>
                <w:rFonts w:hint="eastAsia"/>
                <w:sz w:val="24"/>
              </w:rPr>
              <w:t>从环保角度考虑是</w:t>
            </w:r>
            <w:r>
              <w:rPr>
                <w:sz w:val="24"/>
              </w:rPr>
              <w:t>可靠的。</w:t>
            </w:r>
          </w:p>
          <w:p>
            <w:pPr>
              <w:spacing w:line="360" w:lineRule="auto"/>
              <w:ind w:firstLine="482" w:firstLineChars="200"/>
              <w:rPr>
                <w:b/>
                <w:sz w:val="24"/>
              </w:rPr>
            </w:pPr>
            <w:r>
              <w:rPr>
                <w:rFonts w:hint="eastAsia"/>
                <w:b/>
                <w:sz w:val="24"/>
              </w:rPr>
              <w:t>6、总量控制指标</w:t>
            </w:r>
          </w:p>
          <w:p>
            <w:pPr>
              <w:spacing w:line="360" w:lineRule="auto"/>
              <w:ind w:firstLine="480" w:firstLineChars="200"/>
              <w:rPr>
                <w:rFonts w:ascii="??" w:hAnsi="??" w:cs="??"/>
                <w:kern w:val="0"/>
                <w:sz w:val="24"/>
                <w:szCs w:val="24"/>
              </w:rPr>
            </w:pPr>
            <w:r>
              <w:rPr>
                <w:rFonts w:ascii="??" w:hAnsi="??" w:cs="??"/>
                <w:kern w:val="0"/>
                <w:sz w:val="24"/>
                <w:szCs w:val="24"/>
              </w:rPr>
              <w:t>根据国家和省市环保部门对实施污染物排放总量控制的要求以及本项目的工艺特征和污染物排放的特点，本次评价</w:t>
            </w:r>
            <w:r>
              <w:rPr>
                <w:rFonts w:hint="eastAsia" w:ascii="??" w:hAnsi="??" w:cs="??"/>
                <w:kern w:val="0"/>
                <w:sz w:val="24"/>
                <w:szCs w:val="24"/>
              </w:rPr>
              <w:t>涉及</w:t>
            </w:r>
            <w:r>
              <w:rPr>
                <w:rFonts w:ascii="??" w:hAnsi="??" w:cs="??"/>
                <w:kern w:val="0"/>
                <w:sz w:val="24"/>
                <w:szCs w:val="24"/>
              </w:rPr>
              <w:t>的污染物排放总量控制因子为COD</w:t>
            </w:r>
            <w:r>
              <w:rPr>
                <w:rFonts w:hint="eastAsia" w:ascii="??" w:hAnsi="??" w:cs="??"/>
                <w:kern w:val="0"/>
                <w:sz w:val="24"/>
                <w:szCs w:val="24"/>
                <w:vertAlign w:val="subscript"/>
              </w:rPr>
              <w:t>C</w:t>
            </w:r>
            <w:r>
              <w:rPr>
                <w:rFonts w:ascii="??" w:hAnsi="??" w:cs="??"/>
                <w:kern w:val="0"/>
                <w:sz w:val="24"/>
                <w:szCs w:val="24"/>
                <w:vertAlign w:val="subscript"/>
              </w:rPr>
              <w:t>r</w:t>
            </w:r>
            <w:r>
              <w:rPr>
                <w:rFonts w:ascii="??" w:hAnsi="??" w:cs="??"/>
                <w:kern w:val="0"/>
                <w:sz w:val="24"/>
                <w:szCs w:val="24"/>
              </w:rPr>
              <w:t>、NH</w:t>
            </w:r>
            <w:r>
              <w:rPr>
                <w:rFonts w:ascii="??" w:hAnsi="??" w:cs="??"/>
                <w:kern w:val="0"/>
                <w:sz w:val="24"/>
                <w:szCs w:val="24"/>
                <w:vertAlign w:val="subscript"/>
              </w:rPr>
              <w:t>3</w:t>
            </w:r>
            <w:r>
              <w:rPr>
                <w:rFonts w:ascii="??" w:hAnsi="??" w:cs="??"/>
                <w:kern w:val="0"/>
                <w:sz w:val="24"/>
                <w:szCs w:val="24"/>
              </w:rPr>
              <w:t>-N。项目</w:t>
            </w:r>
            <w:r>
              <w:rPr>
                <w:rFonts w:hint="eastAsia" w:ascii="??" w:hAnsi="??" w:cs="??"/>
                <w:kern w:val="0"/>
                <w:sz w:val="24"/>
                <w:szCs w:val="24"/>
              </w:rPr>
              <w:t>处理污水经下沟管道排入老虎沟，因此对本项目</w:t>
            </w:r>
            <w:r>
              <w:rPr>
                <w:rFonts w:ascii="??" w:hAnsi="??" w:cs="??"/>
                <w:kern w:val="0"/>
                <w:sz w:val="24"/>
                <w:szCs w:val="24"/>
              </w:rPr>
              <w:t>CODcr、NH</w:t>
            </w:r>
            <w:r>
              <w:rPr>
                <w:rFonts w:ascii="??" w:hAnsi="??" w:cs="??"/>
                <w:kern w:val="0"/>
                <w:sz w:val="24"/>
                <w:szCs w:val="24"/>
                <w:vertAlign w:val="subscript"/>
              </w:rPr>
              <w:t>3</w:t>
            </w:r>
            <w:r>
              <w:rPr>
                <w:rFonts w:ascii="??" w:hAnsi="??" w:cs="??"/>
                <w:kern w:val="0"/>
                <w:sz w:val="24"/>
                <w:szCs w:val="24"/>
              </w:rPr>
              <w:t>-N</w:t>
            </w:r>
            <w:r>
              <w:rPr>
                <w:rFonts w:hint="eastAsia" w:ascii="??" w:hAnsi="??" w:cs="??"/>
                <w:kern w:val="0"/>
                <w:sz w:val="24"/>
                <w:szCs w:val="24"/>
              </w:rPr>
              <w:t>确定总量控制指标分别为</w:t>
            </w:r>
            <w:r>
              <w:rPr>
                <w:rFonts w:hint="eastAsia" w:ascii="??" w:hAnsi="??" w:cs="??"/>
                <w:kern w:val="0"/>
                <w:sz w:val="24"/>
                <w:szCs w:val="24"/>
                <w:lang w:val="de-DE"/>
              </w:rPr>
              <w:t>1.825t/a、0.1825t/a。</w:t>
            </w:r>
          </w:p>
          <w:p>
            <w:pPr>
              <w:adjustRightInd w:val="0"/>
              <w:snapToGrid w:val="0"/>
              <w:spacing w:beforeLines="50" w:line="360" w:lineRule="auto"/>
              <w:ind w:firstLine="482" w:firstLineChars="200"/>
              <w:rPr>
                <w:b/>
                <w:bCs/>
                <w:spacing w:val="4"/>
                <w:kern w:val="0"/>
                <w:sz w:val="24"/>
              </w:rPr>
            </w:pPr>
            <w:r>
              <w:rPr>
                <w:rFonts w:hint="eastAsia"/>
                <w:b/>
                <w:sz w:val="24"/>
              </w:rPr>
              <w:t>7、总结论</w:t>
            </w:r>
          </w:p>
          <w:p>
            <w:pPr>
              <w:spacing w:beforeLines="50" w:line="360" w:lineRule="auto"/>
              <w:ind w:firstLine="480"/>
              <w:rPr>
                <w:b/>
                <w:sz w:val="24"/>
              </w:rPr>
            </w:pPr>
            <w:r>
              <w:rPr>
                <w:rFonts w:hint="eastAsia"/>
                <w:b/>
                <w:bCs/>
                <w:shadow/>
                <w:snapToGrid w:val="0"/>
                <w:kern w:val="0"/>
                <w:sz w:val="24"/>
                <w:szCs w:val="24"/>
              </w:rPr>
              <w:t>综上所述，宁县太昌镇人民政府投资建设的宁县太昌镇东风村易地扶贫搬迁附属工程建设项目</w:t>
            </w:r>
            <w:r>
              <w:rPr>
                <w:rFonts w:hint="eastAsia"/>
                <w:b/>
                <w:sz w:val="24"/>
              </w:rPr>
              <w:t>符合国家产业政策、选址合理、污染物的防治措施在技术上和经济上可行，能实现达标排放。项目在建设过程中应严格认真执行环境保护</w:t>
            </w:r>
            <w:r>
              <w:rPr>
                <w:b/>
                <w:sz w:val="24"/>
              </w:rPr>
              <w:t>“</w:t>
            </w:r>
            <w:r>
              <w:rPr>
                <w:rFonts w:hint="eastAsia"/>
                <w:b/>
                <w:sz w:val="24"/>
              </w:rPr>
              <w:t>三同时</w:t>
            </w:r>
            <w:r>
              <w:rPr>
                <w:b/>
                <w:sz w:val="24"/>
              </w:rPr>
              <w:t>”</w:t>
            </w:r>
            <w:r>
              <w:rPr>
                <w:rFonts w:hint="eastAsia"/>
                <w:b/>
                <w:sz w:val="24"/>
              </w:rPr>
              <w:t>制度，切实落实本报告的各项污染防治措施和环境管理措施，确保设施正常运行，做到污染物达标排放的情况下，本项目</w:t>
            </w:r>
            <w:r>
              <w:rPr>
                <w:b/>
                <w:sz w:val="24"/>
              </w:rPr>
              <w:t>从</w:t>
            </w:r>
            <w:r>
              <w:rPr>
                <w:rFonts w:hint="eastAsia"/>
                <w:b/>
                <w:sz w:val="24"/>
              </w:rPr>
              <w:t>满足环境质量目标角度分析，项目可行</w:t>
            </w:r>
            <w:r>
              <w:rPr>
                <w:b/>
                <w:sz w:val="24"/>
              </w:rPr>
              <w:t>。</w:t>
            </w:r>
          </w:p>
          <w:p>
            <w:pPr>
              <w:tabs>
                <w:tab w:val="left" w:pos="6480"/>
              </w:tabs>
              <w:spacing w:beforeLines="50" w:line="360" w:lineRule="auto"/>
              <w:rPr>
                <w:b/>
                <w:sz w:val="28"/>
              </w:rPr>
            </w:pPr>
            <w:r>
              <w:rPr>
                <w:rFonts w:hint="eastAsia"/>
                <w:b/>
                <w:sz w:val="28"/>
              </w:rPr>
              <w:t>二、要求与建议</w:t>
            </w:r>
          </w:p>
          <w:p>
            <w:pPr>
              <w:spacing w:line="360" w:lineRule="auto"/>
              <w:ind w:firstLine="480" w:firstLineChars="200"/>
              <w:rPr>
                <w:sz w:val="24"/>
              </w:rPr>
            </w:pPr>
            <w:r>
              <w:rPr>
                <w:rFonts w:hint="eastAsia"/>
                <w:sz w:val="24"/>
              </w:rPr>
              <w:t>建设方应认真地全面地落实污染防治措施；严格执行国家和甘肃省的有关环保法规和条例；加强环保管理工作，要有专人负责此项工作，以求达到污染防治的预期效果。</w:t>
            </w:r>
          </w:p>
          <w:p>
            <w:pPr>
              <w:spacing w:line="360" w:lineRule="auto"/>
              <w:ind w:firstLine="480" w:firstLineChars="200"/>
              <w:rPr>
                <w:sz w:val="24"/>
              </w:rPr>
            </w:pPr>
            <w:r>
              <w:rPr>
                <w:rFonts w:hint="eastAsia"/>
                <w:sz w:val="24"/>
              </w:rPr>
              <w:t>建议：</w:t>
            </w:r>
          </w:p>
          <w:p>
            <w:pPr>
              <w:spacing w:line="360" w:lineRule="auto"/>
              <w:ind w:firstLine="480" w:firstLineChars="200"/>
              <w:rPr>
                <w:rFonts w:cs="宋体"/>
                <w:sz w:val="24"/>
              </w:rPr>
            </w:pPr>
            <w:r>
              <w:rPr>
                <w:rFonts w:hint="eastAsia" w:cs="宋体"/>
                <w:sz w:val="24"/>
              </w:rPr>
              <w:t>①污水站处理出水可回收利用于绿化或道路洒水。</w:t>
            </w:r>
          </w:p>
          <w:p>
            <w:pPr>
              <w:spacing w:line="360" w:lineRule="auto"/>
              <w:ind w:firstLine="480" w:firstLineChars="200"/>
              <w:rPr>
                <w:sz w:val="24"/>
              </w:rPr>
            </w:pPr>
            <w:r>
              <w:rPr>
                <w:rFonts w:hint="eastAsia" w:cs="宋体"/>
                <w:sz w:val="24"/>
              </w:rPr>
              <w:t>②</w:t>
            </w:r>
            <w:r>
              <w:rPr>
                <w:rFonts w:hint="eastAsia"/>
                <w:sz w:val="24"/>
              </w:rPr>
              <w:t>实施绿化建设时，在周边及内部进行合理绿化设计，适当考虑乔木、灌木、草坪的比例，形成立体的绿化网带。</w:t>
            </w:r>
          </w:p>
          <w:p>
            <w:pPr>
              <w:spacing w:line="360" w:lineRule="auto"/>
              <w:ind w:firstLine="480" w:firstLineChars="200"/>
              <w:rPr>
                <w:sz w:val="24"/>
              </w:rPr>
            </w:pPr>
            <w:r>
              <w:rPr>
                <w:rFonts w:hint="eastAsia"/>
                <w:sz w:val="24"/>
              </w:rPr>
              <w:t>③污水站四周适当布设绿化。</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4" w:hRule="atLeast"/>
          <w:jc w:val="center"/>
        </w:trPr>
        <w:tc>
          <w:tcPr>
            <w:tcW w:w="9117" w:type="dxa"/>
            <w:tcBorders>
              <w:top w:val="single" w:color="auto" w:sz="12" w:space="0"/>
              <w:bottom w:val="single" w:color="auto" w:sz="12" w:space="0"/>
            </w:tcBorders>
          </w:tcPr>
          <w:p>
            <w:pPr>
              <w:adjustRightInd w:val="0"/>
              <w:snapToGrid w:val="0"/>
              <w:spacing w:line="520" w:lineRule="exact"/>
              <w:jc w:val="center"/>
              <w:rPr>
                <w:b/>
                <w:sz w:val="28"/>
                <w:szCs w:val="28"/>
              </w:rPr>
            </w:pPr>
            <w:r>
              <w:rPr>
                <w:rFonts w:hint="eastAsia"/>
                <w:b/>
                <w:sz w:val="28"/>
                <w:szCs w:val="28"/>
              </w:rPr>
              <w:t>注</w:t>
            </w:r>
            <w:r>
              <w:rPr>
                <w:b/>
                <w:sz w:val="28"/>
                <w:szCs w:val="28"/>
              </w:rPr>
              <w:t xml:space="preserve">    </w:t>
            </w:r>
            <w:r>
              <w:rPr>
                <w:rFonts w:hint="eastAsia"/>
                <w:b/>
                <w:sz w:val="28"/>
                <w:szCs w:val="28"/>
              </w:rPr>
              <w:t>释</w:t>
            </w:r>
          </w:p>
          <w:p>
            <w:pPr>
              <w:adjustRightInd w:val="0"/>
              <w:snapToGrid w:val="0"/>
              <w:spacing w:line="520" w:lineRule="exact"/>
              <w:jc w:val="center"/>
              <w:rPr>
                <w:b/>
                <w:sz w:val="28"/>
                <w:szCs w:val="28"/>
              </w:rPr>
            </w:pPr>
          </w:p>
          <w:p>
            <w:pPr>
              <w:pStyle w:val="25"/>
              <w:spacing w:after="0" w:line="480" w:lineRule="auto"/>
              <w:ind w:left="0" w:firstLine="480" w:firstLineChars="200"/>
              <w:rPr>
                <w:sz w:val="24"/>
                <w:szCs w:val="24"/>
              </w:rPr>
            </w:pPr>
            <w:r>
              <w:rPr>
                <w:rFonts w:hint="eastAsia"/>
                <w:sz w:val="24"/>
                <w:szCs w:val="24"/>
              </w:rPr>
              <w:t>一、本报告表应附以下附件、附图：</w:t>
            </w:r>
          </w:p>
          <w:p>
            <w:pPr>
              <w:pStyle w:val="25"/>
              <w:spacing w:after="0" w:line="360" w:lineRule="auto"/>
              <w:ind w:left="0" w:firstLine="480" w:firstLineChars="200"/>
              <w:rPr>
                <w:sz w:val="24"/>
                <w:szCs w:val="24"/>
              </w:rPr>
            </w:pPr>
            <w:r>
              <w:rPr>
                <w:rFonts w:hint="eastAsia"/>
                <w:sz w:val="24"/>
                <w:szCs w:val="24"/>
              </w:rPr>
              <w:t>附件</w:t>
            </w:r>
            <w:r>
              <w:rPr>
                <w:sz w:val="24"/>
                <w:szCs w:val="24"/>
              </w:rPr>
              <w:t xml:space="preserve">1   </w:t>
            </w:r>
            <w:r>
              <w:rPr>
                <w:rFonts w:hint="eastAsia"/>
                <w:sz w:val="24"/>
                <w:szCs w:val="24"/>
              </w:rPr>
              <w:t>环评委托书</w:t>
            </w:r>
          </w:p>
          <w:p>
            <w:pPr>
              <w:pStyle w:val="25"/>
              <w:spacing w:after="0" w:line="360" w:lineRule="auto"/>
              <w:ind w:left="0" w:firstLine="480" w:firstLineChars="200"/>
              <w:rPr>
                <w:sz w:val="24"/>
                <w:szCs w:val="24"/>
              </w:rPr>
            </w:pPr>
            <w:r>
              <w:rPr>
                <w:rFonts w:hint="eastAsia"/>
                <w:sz w:val="24"/>
                <w:szCs w:val="24"/>
              </w:rPr>
              <w:t>附件2</w:t>
            </w:r>
            <w:r>
              <w:rPr>
                <w:sz w:val="24"/>
                <w:szCs w:val="24"/>
              </w:rPr>
              <w:t xml:space="preserve">   </w:t>
            </w:r>
            <w:r>
              <w:rPr>
                <w:rFonts w:hint="eastAsia"/>
                <w:sz w:val="24"/>
                <w:szCs w:val="24"/>
              </w:rPr>
              <w:t>立项文件</w:t>
            </w:r>
          </w:p>
          <w:p>
            <w:pPr>
              <w:pStyle w:val="25"/>
              <w:spacing w:after="0" w:line="360" w:lineRule="auto"/>
              <w:ind w:left="0" w:firstLine="480" w:firstLineChars="200"/>
              <w:rPr>
                <w:sz w:val="24"/>
                <w:szCs w:val="24"/>
              </w:rPr>
            </w:pPr>
            <w:r>
              <w:rPr>
                <w:rFonts w:hint="eastAsia"/>
                <w:sz w:val="24"/>
                <w:szCs w:val="24"/>
              </w:rPr>
              <w:t>附件3</w:t>
            </w:r>
            <w:r>
              <w:rPr>
                <w:sz w:val="24"/>
                <w:szCs w:val="24"/>
              </w:rPr>
              <w:t xml:space="preserve">   </w:t>
            </w:r>
            <w:r>
              <w:rPr>
                <w:rFonts w:hint="eastAsia"/>
                <w:sz w:val="24"/>
                <w:szCs w:val="24"/>
              </w:rPr>
              <w:t>选址意见书</w:t>
            </w:r>
          </w:p>
          <w:p>
            <w:pPr>
              <w:pStyle w:val="25"/>
              <w:spacing w:after="0" w:line="360" w:lineRule="auto"/>
              <w:ind w:left="0" w:firstLine="480" w:firstLineChars="200"/>
              <w:rPr>
                <w:sz w:val="24"/>
                <w:szCs w:val="24"/>
              </w:rPr>
            </w:pPr>
            <w:r>
              <w:rPr>
                <w:rFonts w:hint="eastAsia"/>
                <w:sz w:val="24"/>
                <w:szCs w:val="24"/>
              </w:rPr>
              <w:t>附件4</w:t>
            </w:r>
            <w:r>
              <w:rPr>
                <w:sz w:val="24"/>
                <w:szCs w:val="24"/>
              </w:rPr>
              <w:t xml:space="preserve">   </w:t>
            </w:r>
            <w:r>
              <w:rPr>
                <w:rFonts w:hint="eastAsia"/>
                <w:sz w:val="24"/>
                <w:szCs w:val="24"/>
              </w:rPr>
              <w:t>规划文件</w:t>
            </w:r>
          </w:p>
          <w:p>
            <w:pPr>
              <w:pStyle w:val="25"/>
              <w:spacing w:after="0" w:line="360" w:lineRule="auto"/>
              <w:ind w:left="0" w:firstLine="480" w:firstLineChars="200"/>
              <w:rPr>
                <w:sz w:val="24"/>
                <w:szCs w:val="24"/>
              </w:rPr>
            </w:pPr>
            <w:r>
              <w:rPr>
                <w:rFonts w:hint="eastAsia"/>
                <w:sz w:val="24"/>
                <w:szCs w:val="24"/>
              </w:rPr>
              <w:t>附件5   土地文件</w:t>
            </w:r>
          </w:p>
          <w:p>
            <w:pPr>
              <w:pStyle w:val="25"/>
              <w:spacing w:after="0" w:line="360" w:lineRule="auto"/>
              <w:ind w:left="0" w:firstLine="480" w:firstLineChars="200"/>
              <w:rPr>
                <w:sz w:val="24"/>
                <w:szCs w:val="24"/>
              </w:rPr>
            </w:pPr>
            <w:r>
              <w:rPr>
                <w:rFonts w:hint="eastAsia"/>
                <w:sz w:val="24"/>
                <w:szCs w:val="24"/>
              </w:rPr>
              <w:t>附件6   监测报告</w:t>
            </w:r>
          </w:p>
          <w:p>
            <w:pPr>
              <w:pStyle w:val="25"/>
              <w:spacing w:after="0" w:line="360" w:lineRule="auto"/>
              <w:ind w:left="0" w:firstLine="480" w:firstLineChars="200"/>
              <w:rPr>
                <w:sz w:val="24"/>
                <w:szCs w:val="24"/>
              </w:rPr>
            </w:pPr>
            <w:r>
              <w:rPr>
                <w:rFonts w:hint="eastAsia"/>
                <w:sz w:val="24"/>
                <w:szCs w:val="24"/>
              </w:rPr>
              <w:t>附图</w:t>
            </w:r>
            <w:r>
              <w:rPr>
                <w:sz w:val="24"/>
                <w:szCs w:val="24"/>
              </w:rPr>
              <w:t>1</w:t>
            </w:r>
            <w:r>
              <w:rPr>
                <w:rFonts w:hint="eastAsia"/>
                <w:sz w:val="24"/>
                <w:szCs w:val="24"/>
              </w:rPr>
              <w:t xml:space="preserve"> </w:t>
            </w:r>
            <w:r>
              <w:rPr>
                <w:sz w:val="24"/>
                <w:szCs w:val="24"/>
              </w:rPr>
              <w:t xml:space="preserve">  </w:t>
            </w:r>
            <w:r>
              <w:rPr>
                <w:rFonts w:hint="eastAsia"/>
                <w:sz w:val="24"/>
                <w:szCs w:val="24"/>
              </w:rPr>
              <w:t>甘肃省水系图</w:t>
            </w:r>
          </w:p>
          <w:p>
            <w:pPr>
              <w:pStyle w:val="25"/>
              <w:spacing w:after="0" w:line="360" w:lineRule="auto"/>
              <w:ind w:left="0" w:firstLine="480" w:firstLineChars="200"/>
              <w:rPr>
                <w:sz w:val="24"/>
                <w:szCs w:val="24"/>
              </w:rPr>
            </w:pPr>
            <w:r>
              <w:rPr>
                <w:rFonts w:hint="eastAsia"/>
                <w:sz w:val="24"/>
                <w:szCs w:val="24"/>
              </w:rPr>
              <w:t>附图</w:t>
            </w:r>
            <w:r>
              <w:rPr>
                <w:sz w:val="24"/>
                <w:szCs w:val="24"/>
              </w:rPr>
              <w:t xml:space="preserve">2 </w:t>
            </w:r>
            <w:r>
              <w:rPr>
                <w:rFonts w:hint="eastAsia"/>
                <w:sz w:val="24"/>
                <w:szCs w:val="24"/>
              </w:rPr>
              <w:t xml:space="preserve"> </w:t>
            </w:r>
            <w:r>
              <w:rPr>
                <w:sz w:val="24"/>
                <w:szCs w:val="24"/>
              </w:rPr>
              <w:t xml:space="preserve"> </w:t>
            </w:r>
            <w:r>
              <w:rPr>
                <w:rFonts w:hint="eastAsia"/>
                <w:sz w:val="24"/>
                <w:szCs w:val="24"/>
              </w:rPr>
              <w:t>项目地理位置图</w:t>
            </w:r>
          </w:p>
          <w:p>
            <w:pPr>
              <w:pStyle w:val="25"/>
              <w:spacing w:after="0" w:line="360" w:lineRule="auto"/>
              <w:ind w:left="0" w:firstLine="480" w:firstLineChars="200"/>
              <w:rPr>
                <w:sz w:val="24"/>
                <w:szCs w:val="24"/>
              </w:rPr>
            </w:pPr>
            <w:r>
              <w:rPr>
                <w:rFonts w:hint="eastAsia"/>
                <w:sz w:val="24"/>
                <w:szCs w:val="24"/>
              </w:rPr>
              <w:t>附图3   项目道路设计图</w:t>
            </w:r>
          </w:p>
          <w:p>
            <w:pPr>
              <w:pStyle w:val="25"/>
              <w:spacing w:after="0" w:line="360" w:lineRule="auto"/>
              <w:ind w:left="0" w:firstLine="480" w:firstLineChars="200"/>
              <w:rPr>
                <w:sz w:val="24"/>
                <w:szCs w:val="24"/>
              </w:rPr>
            </w:pPr>
            <w:r>
              <w:rPr>
                <w:rFonts w:hint="eastAsia"/>
                <w:sz w:val="24"/>
                <w:szCs w:val="24"/>
              </w:rPr>
              <w:t xml:space="preserve">附图4 </w:t>
            </w:r>
            <w:r>
              <w:rPr>
                <w:sz w:val="24"/>
                <w:szCs w:val="24"/>
              </w:rPr>
              <w:t xml:space="preserve"> </w:t>
            </w:r>
            <w:r>
              <w:rPr>
                <w:rFonts w:hint="eastAsia"/>
                <w:sz w:val="24"/>
                <w:szCs w:val="24"/>
              </w:rPr>
              <w:t xml:space="preserve"> 项目广场平面布置图</w:t>
            </w:r>
          </w:p>
          <w:p>
            <w:pPr>
              <w:pStyle w:val="25"/>
              <w:spacing w:after="0" w:line="360" w:lineRule="auto"/>
              <w:ind w:left="0" w:firstLine="480" w:firstLineChars="200"/>
              <w:rPr>
                <w:sz w:val="24"/>
                <w:szCs w:val="24"/>
              </w:rPr>
            </w:pPr>
            <w:r>
              <w:rPr>
                <w:rFonts w:hint="eastAsia"/>
                <w:sz w:val="24"/>
                <w:szCs w:val="24"/>
              </w:rPr>
              <w:t>附图5   项目给排水管网平面布置图</w:t>
            </w:r>
          </w:p>
          <w:p>
            <w:pPr>
              <w:pStyle w:val="25"/>
              <w:spacing w:after="0" w:line="360" w:lineRule="auto"/>
              <w:ind w:left="0" w:firstLine="480" w:firstLineChars="200"/>
              <w:rPr>
                <w:sz w:val="24"/>
                <w:szCs w:val="24"/>
              </w:rPr>
            </w:pPr>
            <w:r>
              <w:rPr>
                <w:rFonts w:hint="eastAsia"/>
                <w:sz w:val="24"/>
                <w:szCs w:val="24"/>
              </w:rPr>
              <w:t>附图6   项目污水站平面布置图</w:t>
            </w:r>
          </w:p>
          <w:p>
            <w:pPr>
              <w:pStyle w:val="25"/>
              <w:spacing w:after="0" w:line="360" w:lineRule="auto"/>
              <w:ind w:left="0" w:firstLine="480" w:firstLineChars="200"/>
              <w:rPr>
                <w:sz w:val="24"/>
                <w:szCs w:val="24"/>
              </w:rPr>
            </w:pPr>
            <w:r>
              <w:rPr>
                <w:rFonts w:hint="eastAsia"/>
                <w:sz w:val="24"/>
                <w:szCs w:val="24"/>
              </w:rPr>
              <w:t>附图7   本项目与饮用水源地保护区位置关系示意图</w:t>
            </w:r>
          </w:p>
          <w:p>
            <w:pPr>
              <w:pStyle w:val="25"/>
              <w:spacing w:after="0" w:line="360" w:lineRule="auto"/>
              <w:ind w:left="0" w:firstLine="480" w:firstLineChars="200"/>
              <w:rPr>
                <w:sz w:val="24"/>
                <w:szCs w:val="24"/>
              </w:rPr>
            </w:pPr>
            <w:r>
              <w:rPr>
                <w:rFonts w:hint="eastAsia"/>
                <w:sz w:val="24"/>
                <w:szCs w:val="24"/>
              </w:rPr>
              <w:t>附图8   项目大气、声、地下水环境监测点位图</w:t>
            </w:r>
          </w:p>
          <w:p>
            <w:pPr>
              <w:pStyle w:val="25"/>
              <w:spacing w:after="0" w:line="360" w:lineRule="auto"/>
              <w:ind w:left="0" w:firstLine="480" w:firstLineChars="200"/>
              <w:rPr>
                <w:sz w:val="24"/>
                <w:szCs w:val="24"/>
              </w:rPr>
            </w:pPr>
            <w:r>
              <w:rPr>
                <w:rFonts w:hint="eastAsia"/>
                <w:sz w:val="24"/>
                <w:szCs w:val="24"/>
              </w:rPr>
              <w:t>附图9   项目地表水监测点位图</w:t>
            </w:r>
          </w:p>
          <w:p>
            <w:pPr>
              <w:pStyle w:val="25"/>
              <w:spacing w:after="0" w:line="360" w:lineRule="auto"/>
              <w:ind w:left="0" w:firstLine="480" w:firstLineChars="200"/>
              <w:rPr>
                <w:sz w:val="24"/>
                <w:szCs w:val="24"/>
              </w:rPr>
            </w:pPr>
            <w:r>
              <w:rPr>
                <w:rFonts w:hint="eastAsia"/>
                <w:sz w:val="24"/>
                <w:szCs w:val="24"/>
              </w:rPr>
              <w:t>附图10   项目外环境关系图</w:t>
            </w:r>
          </w:p>
          <w:p>
            <w:pPr>
              <w:pStyle w:val="25"/>
              <w:spacing w:after="0" w:line="360" w:lineRule="auto"/>
              <w:ind w:left="0" w:firstLine="480" w:firstLineChars="200"/>
              <w:rPr>
                <w:sz w:val="24"/>
                <w:szCs w:val="24"/>
              </w:rPr>
            </w:pPr>
            <w:r>
              <w:rPr>
                <w:rFonts w:hint="eastAsia"/>
                <w:sz w:val="24"/>
                <w:szCs w:val="24"/>
              </w:rPr>
              <w:t>附图11   项目老虎沟监测断面与宁县桥头例行监测断面位置关系示意图</w:t>
            </w:r>
          </w:p>
          <w:p>
            <w:pPr>
              <w:pStyle w:val="25"/>
              <w:spacing w:after="0" w:line="360" w:lineRule="auto"/>
              <w:ind w:left="0" w:firstLine="480" w:firstLineChars="200"/>
              <w:rPr>
                <w:sz w:val="24"/>
                <w:szCs w:val="24"/>
              </w:rPr>
            </w:pPr>
            <w:r>
              <w:rPr>
                <w:rFonts w:hint="eastAsia"/>
                <w:sz w:val="24"/>
                <w:szCs w:val="24"/>
              </w:rPr>
              <w:t>附图12   太昌镇水井分布示意图</w:t>
            </w:r>
          </w:p>
          <w:p>
            <w:pPr>
              <w:pStyle w:val="25"/>
              <w:spacing w:after="0" w:line="360" w:lineRule="auto"/>
              <w:ind w:left="0" w:firstLine="480" w:firstLineChars="200"/>
              <w:rPr>
                <w:sz w:val="24"/>
                <w:szCs w:val="24"/>
              </w:rPr>
            </w:pPr>
            <w:r>
              <w:rPr>
                <w:rFonts w:hint="eastAsia"/>
                <w:sz w:val="24"/>
                <w:szCs w:val="24"/>
              </w:rPr>
              <w:t>附图13   分区防渗示意图</w:t>
            </w:r>
          </w:p>
          <w:p>
            <w:pPr>
              <w:pStyle w:val="25"/>
              <w:spacing w:after="0" w:line="360" w:lineRule="auto"/>
              <w:ind w:left="0" w:firstLine="480" w:firstLineChars="200"/>
              <w:rPr>
                <w:sz w:val="24"/>
                <w:szCs w:val="24"/>
              </w:rPr>
            </w:pPr>
            <w:r>
              <w:rPr>
                <w:rFonts w:hint="eastAsia"/>
                <w:sz w:val="24"/>
                <w:szCs w:val="24"/>
              </w:rPr>
              <w:t>附图14   地下水流场示意图</w:t>
            </w:r>
          </w:p>
          <w:p>
            <w:pPr>
              <w:pStyle w:val="25"/>
              <w:spacing w:after="0" w:line="360" w:lineRule="auto"/>
              <w:ind w:left="0" w:firstLine="480" w:firstLineChars="200"/>
              <w:rPr>
                <w:sz w:val="24"/>
                <w:szCs w:val="24"/>
              </w:rPr>
            </w:pPr>
            <w:r>
              <w:rPr>
                <w:rFonts w:hint="eastAsia"/>
                <w:sz w:val="24"/>
                <w:szCs w:val="24"/>
              </w:rPr>
              <w:t>二、如果本报告表不能说明项目产生的污染及对环境造成的影响，应进行专项评价。根据建设项目的特点和当地环境特征，应选下列</w:t>
            </w:r>
            <w:r>
              <w:rPr>
                <w:sz w:val="24"/>
                <w:szCs w:val="24"/>
              </w:rPr>
              <w:t>1-2</w:t>
            </w:r>
            <w:r>
              <w:rPr>
                <w:rFonts w:hint="eastAsia"/>
                <w:sz w:val="24"/>
                <w:szCs w:val="24"/>
              </w:rPr>
              <w:t>项进行专项评价。</w:t>
            </w:r>
          </w:p>
          <w:p>
            <w:pPr>
              <w:pStyle w:val="25"/>
              <w:spacing w:after="0" w:line="360" w:lineRule="auto"/>
              <w:ind w:left="0" w:firstLine="480" w:firstLineChars="200"/>
              <w:rPr>
                <w:sz w:val="24"/>
                <w:szCs w:val="24"/>
              </w:rPr>
            </w:pPr>
            <w:r>
              <w:rPr>
                <w:sz w:val="24"/>
                <w:szCs w:val="24"/>
              </w:rPr>
              <w:t>1</w:t>
            </w:r>
            <w:r>
              <w:rPr>
                <w:rFonts w:hint="eastAsia"/>
                <w:sz w:val="24"/>
                <w:szCs w:val="24"/>
              </w:rPr>
              <w:t>、大气环境影响专项评价</w:t>
            </w:r>
          </w:p>
          <w:p>
            <w:pPr>
              <w:pStyle w:val="25"/>
              <w:spacing w:after="0" w:line="360" w:lineRule="auto"/>
              <w:ind w:left="0" w:firstLine="480" w:firstLineChars="200"/>
              <w:rPr>
                <w:sz w:val="24"/>
                <w:szCs w:val="24"/>
              </w:rPr>
            </w:pPr>
            <w:r>
              <w:rPr>
                <w:sz w:val="24"/>
                <w:szCs w:val="24"/>
              </w:rPr>
              <w:t>2</w:t>
            </w:r>
            <w:r>
              <w:rPr>
                <w:rFonts w:hint="eastAsia"/>
                <w:sz w:val="24"/>
                <w:szCs w:val="24"/>
              </w:rPr>
              <w:t>、水环境影响专项评价（包括地表水和地下水）</w:t>
            </w:r>
          </w:p>
          <w:p>
            <w:pPr>
              <w:pStyle w:val="25"/>
              <w:spacing w:after="0" w:line="360" w:lineRule="auto"/>
              <w:ind w:left="0" w:firstLine="480" w:firstLineChars="200"/>
              <w:rPr>
                <w:sz w:val="24"/>
                <w:szCs w:val="24"/>
              </w:rPr>
            </w:pPr>
            <w:r>
              <w:rPr>
                <w:sz w:val="24"/>
                <w:szCs w:val="24"/>
              </w:rPr>
              <w:t>3</w:t>
            </w:r>
            <w:r>
              <w:rPr>
                <w:rFonts w:hint="eastAsia"/>
                <w:sz w:val="24"/>
                <w:szCs w:val="24"/>
              </w:rPr>
              <w:t>、生态影响专项评价</w:t>
            </w:r>
          </w:p>
          <w:p>
            <w:pPr>
              <w:pStyle w:val="25"/>
              <w:spacing w:after="0" w:line="360" w:lineRule="auto"/>
              <w:ind w:left="0" w:firstLine="480" w:firstLineChars="200"/>
              <w:rPr>
                <w:sz w:val="24"/>
                <w:szCs w:val="24"/>
              </w:rPr>
            </w:pPr>
            <w:r>
              <w:rPr>
                <w:sz w:val="24"/>
                <w:szCs w:val="24"/>
              </w:rPr>
              <w:t>4</w:t>
            </w:r>
            <w:r>
              <w:rPr>
                <w:rFonts w:hint="eastAsia"/>
                <w:sz w:val="24"/>
                <w:szCs w:val="24"/>
              </w:rPr>
              <w:t>、声影响专项评价</w:t>
            </w:r>
          </w:p>
          <w:p>
            <w:pPr>
              <w:pStyle w:val="25"/>
              <w:spacing w:after="0" w:line="360" w:lineRule="auto"/>
              <w:ind w:left="0" w:firstLine="480" w:firstLineChars="200"/>
              <w:rPr>
                <w:sz w:val="24"/>
                <w:szCs w:val="24"/>
              </w:rPr>
            </w:pPr>
            <w:r>
              <w:rPr>
                <w:sz w:val="24"/>
                <w:szCs w:val="24"/>
              </w:rPr>
              <w:t>5</w:t>
            </w:r>
            <w:r>
              <w:rPr>
                <w:rFonts w:hint="eastAsia"/>
                <w:sz w:val="24"/>
                <w:szCs w:val="24"/>
              </w:rPr>
              <w:t>、土壤影响专项评价</w:t>
            </w:r>
          </w:p>
          <w:p>
            <w:pPr>
              <w:pStyle w:val="25"/>
              <w:spacing w:after="0" w:line="360" w:lineRule="auto"/>
              <w:ind w:left="0" w:firstLine="480" w:firstLineChars="200"/>
              <w:rPr>
                <w:sz w:val="24"/>
                <w:szCs w:val="24"/>
              </w:rPr>
            </w:pPr>
            <w:r>
              <w:rPr>
                <w:sz w:val="24"/>
                <w:szCs w:val="24"/>
              </w:rPr>
              <w:t>6</w:t>
            </w:r>
            <w:r>
              <w:rPr>
                <w:rFonts w:hint="eastAsia"/>
                <w:sz w:val="24"/>
                <w:szCs w:val="24"/>
              </w:rPr>
              <w:t>、固体废弃物影响专项评价</w:t>
            </w:r>
          </w:p>
          <w:p>
            <w:pPr>
              <w:spacing w:line="360" w:lineRule="auto"/>
              <w:rPr>
                <w:sz w:val="24"/>
                <w:szCs w:val="24"/>
              </w:rPr>
            </w:pPr>
            <w:r>
              <w:rPr>
                <w:rFonts w:hint="eastAsia"/>
                <w:sz w:val="24"/>
                <w:szCs w:val="24"/>
              </w:rPr>
              <w:t>以上专项评价未包括的可另列专项，专项评价按照《环境影响评价技术导则》中的要求进行。</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8"/>
                <w:szCs w:val="28"/>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FangSong_GB2312">
    <w:altName w:val="仿宋_GB2312"/>
    <w:panose1 w:val="00000000000000000000"/>
    <w:charset w:val="00"/>
    <w:family w:val="roman"/>
    <w:pitch w:val="default"/>
    <w:sig w:usb0="00000000" w:usb1="00000000" w:usb2="00000000" w:usb3="00000000" w:csb0="00000000" w:csb1="00000000"/>
  </w:font>
  <w:font w:name="Courier New">
    <w:panose1 w:val="02070309020205020404"/>
    <w:charset w:val="00"/>
    <w:family w:val="modern"/>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宋体..壮..">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昆仑仿宋">
    <w:altName w:val="黑体"/>
    <w:panose1 w:val="00000000000000000000"/>
    <w:charset w:val="86"/>
    <w:family w:val="modern"/>
    <w:pitch w:val="default"/>
    <w:sig w:usb0="00000000" w:usb1="00000000" w:usb2="00000010" w:usb3="00000000" w:csb0="00040000" w:csb1="00000000"/>
  </w:font>
  <w:font w:name="??">
    <w:altName w:val="Times New Roman"/>
    <w:panose1 w:val="00000000000000000000"/>
    <w:charset w:val="00"/>
    <w:family w:val="auto"/>
    <w:pitch w:val="default"/>
    <w:sig w:usb0="00000000" w:usb1="00000000" w:usb2="00000000" w:usb3="00000000" w:csb0="00000001" w:csb1="00000000"/>
  </w:font>
  <w:font w:name="Cambria Math">
    <w:panose1 w:val="02040503050406030204"/>
    <w:charset w:val="01"/>
    <w:family w:val="roman"/>
    <w:pitch w:val="default"/>
    <w:sig w:usb0="E00002FF" w:usb1="420024FF" w:usb2="00000000" w:usb3="00000000" w:csb0="2000019F" w:csb1="00000000"/>
  </w:font>
  <w:font w:name="MS Mincho">
    <w:panose1 w:val="02020609040205080304"/>
    <w:charset w:val="80"/>
    <w:family w:val="roman"/>
    <w:pitch w:val="default"/>
    <w:sig w:usb0="E00002FF" w:usb1="6AC7FDFB" w:usb2="00000012" w:usb3="00000000" w:csb0="4002009F" w:csb1="DFD70000"/>
  </w:font>
  <w:font w:name="Cambria Math">
    <w:panose1 w:val="02040503050406030204"/>
    <w:charset w:val="00"/>
    <w:family w:val="auto"/>
    <w:pitch w:val="default"/>
    <w:sig w:usb0="E00002FF" w:usb1="420024FF" w:usb2="00000000" w:usb3="00000000" w:csb0="2000019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1"/>
      </w:rPr>
    </w:pPr>
    <w:r>
      <w:rPr>
        <w:rStyle w:val="31"/>
      </w:rPr>
      <w:fldChar w:fldCharType="begin"/>
    </w:r>
    <w:r>
      <w:rPr>
        <w:rStyle w:val="31"/>
      </w:rPr>
      <w:instrText xml:space="preserve">PAGE  </w:instrText>
    </w:r>
    <w:r>
      <w:rPr>
        <w:rStyle w:val="31"/>
      </w:rPr>
      <w:fldChar w:fldCharType="separate"/>
    </w:r>
    <w:r>
      <w:rPr>
        <w:rStyle w:val="31"/>
      </w:rPr>
      <w:t>19</w:t>
    </w:r>
    <w:r>
      <w:rPr>
        <w:rStyle w:val="31"/>
      </w:rPr>
      <w:fldChar w:fldCharType="end"/>
    </w:r>
  </w:p>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 PAGE   \* MERGEFORMAT </w:instrText>
    </w:r>
    <w:r>
      <w:fldChar w:fldCharType="separate"/>
    </w:r>
    <w:r>
      <w:rPr>
        <w:lang w:val="zh-CN"/>
      </w:rPr>
      <w:t>1</w:t>
    </w:r>
    <w:r>
      <w:rPr>
        <w:lang w:val="zh-CN"/>
      </w:rPr>
      <w:fldChar w:fldCharType="end"/>
    </w:r>
  </w:p>
  <w:p>
    <w:pPr>
      <w:pStyle w:val="20"/>
      <w:jc w:val="both"/>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161"/>
    <w:rsid w:val="00000562"/>
    <w:rsid w:val="0000327C"/>
    <w:rsid w:val="000045E1"/>
    <w:rsid w:val="00004ABF"/>
    <w:rsid w:val="00004D4D"/>
    <w:rsid w:val="0000502C"/>
    <w:rsid w:val="0000515D"/>
    <w:rsid w:val="0000645D"/>
    <w:rsid w:val="00006A61"/>
    <w:rsid w:val="0000726D"/>
    <w:rsid w:val="000075FD"/>
    <w:rsid w:val="00007ABB"/>
    <w:rsid w:val="00010526"/>
    <w:rsid w:val="00010988"/>
    <w:rsid w:val="000109F2"/>
    <w:rsid w:val="00010B1D"/>
    <w:rsid w:val="0001187F"/>
    <w:rsid w:val="00011C20"/>
    <w:rsid w:val="0001289F"/>
    <w:rsid w:val="00015B39"/>
    <w:rsid w:val="0001633B"/>
    <w:rsid w:val="000163EE"/>
    <w:rsid w:val="00016520"/>
    <w:rsid w:val="000176E1"/>
    <w:rsid w:val="000208E9"/>
    <w:rsid w:val="00020F57"/>
    <w:rsid w:val="000211FF"/>
    <w:rsid w:val="000219CE"/>
    <w:rsid w:val="00021B8C"/>
    <w:rsid w:val="00021BAD"/>
    <w:rsid w:val="00022EC4"/>
    <w:rsid w:val="00026963"/>
    <w:rsid w:val="00026F66"/>
    <w:rsid w:val="000273A2"/>
    <w:rsid w:val="0002763A"/>
    <w:rsid w:val="00027E7A"/>
    <w:rsid w:val="00027EE5"/>
    <w:rsid w:val="000305B2"/>
    <w:rsid w:val="00030F17"/>
    <w:rsid w:val="00031F62"/>
    <w:rsid w:val="000325E2"/>
    <w:rsid w:val="0003500F"/>
    <w:rsid w:val="000370BC"/>
    <w:rsid w:val="00037FC2"/>
    <w:rsid w:val="00040586"/>
    <w:rsid w:val="00040921"/>
    <w:rsid w:val="00040AD1"/>
    <w:rsid w:val="00040CEC"/>
    <w:rsid w:val="00041327"/>
    <w:rsid w:val="0004132A"/>
    <w:rsid w:val="00041618"/>
    <w:rsid w:val="00041678"/>
    <w:rsid w:val="00041977"/>
    <w:rsid w:val="00041A27"/>
    <w:rsid w:val="00041BED"/>
    <w:rsid w:val="00041D42"/>
    <w:rsid w:val="000428C3"/>
    <w:rsid w:val="000432B3"/>
    <w:rsid w:val="00043AA0"/>
    <w:rsid w:val="00044DEF"/>
    <w:rsid w:val="00044E14"/>
    <w:rsid w:val="00046210"/>
    <w:rsid w:val="000469AB"/>
    <w:rsid w:val="00046ACE"/>
    <w:rsid w:val="00046C22"/>
    <w:rsid w:val="00046C85"/>
    <w:rsid w:val="0004745A"/>
    <w:rsid w:val="000475E4"/>
    <w:rsid w:val="000476FD"/>
    <w:rsid w:val="00047B8B"/>
    <w:rsid w:val="00047C32"/>
    <w:rsid w:val="00047D80"/>
    <w:rsid w:val="00047F9E"/>
    <w:rsid w:val="00047FE5"/>
    <w:rsid w:val="00050754"/>
    <w:rsid w:val="00050EE4"/>
    <w:rsid w:val="00051CB0"/>
    <w:rsid w:val="00053024"/>
    <w:rsid w:val="000534D6"/>
    <w:rsid w:val="00053A7D"/>
    <w:rsid w:val="00053D9D"/>
    <w:rsid w:val="000543F3"/>
    <w:rsid w:val="00054C28"/>
    <w:rsid w:val="000554A8"/>
    <w:rsid w:val="00055BE9"/>
    <w:rsid w:val="0005610F"/>
    <w:rsid w:val="00056430"/>
    <w:rsid w:val="00056E42"/>
    <w:rsid w:val="00056F2F"/>
    <w:rsid w:val="00057611"/>
    <w:rsid w:val="000578E8"/>
    <w:rsid w:val="0006021F"/>
    <w:rsid w:val="00060B2C"/>
    <w:rsid w:val="000615CD"/>
    <w:rsid w:val="00061A29"/>
    <w:rsid w:val="00061A5B"/>
    <w:rsid w:val="000622A0"/>
    <w:rsid w:val="00062471"/>
    <w:rsid w:val="0006282C"/>
    <w:rsid w:val="00064C34"/>
    <w:rsid w:val="000652AA"/>
    <w:rsid w:val="00065AB3"/>
    <w:rsid w:val="00066961"/>
    <w:rsid w:val="00066A59"/>
    <w:rsid w:val="0006746C"/>
    <w:rsid w:val="00067BF0"/>
    <w:rsid w:val="000724AE"/>
    <w:rsid w:val="00072582"/>
    <w:rsid w:val="00072B53"/>
    <w:rsid w:val="00072E60"/>
    <w:rsid w:val="000731E8"/>
    <w:rsid w:val="000738ED"/>
    <w:rsid w:val="00073DD7"/>
    <w:rsid w:val="0007445B"/>
    <w:rsid w:val="000746B2"/>
    <w:rsid w:val="000749A9"/>
    <w:rsid w:val="00075696"/>
    <w:rsid w:val="00075C73"/>
    <w:rsid w:val="00077D15"/>
    <w:rsid w:val="0008085E"/>
    <w:rsid w:val="00080C2B"/>
    <w:rsid w:val="00080F77"/>
    <w:rsid w:val="00081ABA"/>
    <w:rsid w:val="00081F43"/>
    <w:rsid w:val="00082081"/>
    <w:rsid w:val="0008216D"/>
    <w:rsid w:val="00082403"/>
    <w:rsid w:val="00082504"/>
    <w:rsid w:val="00082D40"/>
    <w:rsid w:val="00082E3E"/>
    <w:rsid w:val="000839DE"/>
    <w:rsid w:val="000844B3"/>
    <w:rsid w:val="00084502"/>
    <w:rsid w:val="00084E30"/>
    <w:rsid w:val="0008514F"/>
    <w:rsid w:val="00085207"/>
    <w:rsid w:val="00086374"/>
    <w:rsid w:val="000867DC"/>
    <w:rsid w:val="000868A7"/>
    <w:rsid w:val="00086CAE"/>
    <w:rsid w:val="00087332"/>
    <w:rsid w:val="0009060D"/>
    <w:rsid w:val="00090DEF"/>
    <w:rsid w:val="0009116C"/>
    <w:rsid w:val="00092452"/>
    <w:rsid w:val="00092B67"/>
    <w:rsid w:val="00093C8F"/>
    <w:rsid w:val="0009431F"/>
    <w:rsid w:val="00094A03"/>
    <w:rsid w:val="00094C24"/>
    <w:rsid w:val="00094C66"/>
    <w:rsid w:val="000957B8"/>
    <w:rsid w:val="00095879"/>
    <w:rsid w:val="00095881"/>
    <w:rsid w:val="00095A8F"/>
    <w:rsid w:val="00095D8C"/>
    <w:rsid w:val="00095DC4"/>
    <w:rsid w:val="00096F52"/>
    <w:rsid w:val="0009717B"/>
    <w:rsid w:val="00097442"/>
    <w:rsid w:val="000A0784"/>
    <w:rsid w:val="000A11DC"/>
    <w:rsid w:val="000A18C3"/>
    <w:rsid w:val="000A3B7F"/>
    <w:rsid w:val="000A42BB"/>
    <w:rsid w:val="000A4714"/>
    <w:rsid w:val="000A47AF"/>
    <w:rsid w:val="000A53E7"/>
    <w:rsid w:val="000A5994"/>
    <w:rsid w:val="000A5EAB"/>
    <w:rsid w:val="000A65CB"/>
    <w:rsid w:val="000A7563"/>
    <w:rsid w:val="000B07CA"/>
    <w:rsid w:val="000B167C"/>
    <w:rsid w:val="000B1C24"/>
    <w:rsid w:val="000B2042"/>
    <w:rsid w:val="000B2DB3"/>
    <w:rsid w:val="000B2F96"/>
    <w:rsid w:val="000B2FA9"/>
    <w:rsid w:val="000B3525"/>
    <w:rsid w:val="000B384F"/>
    <w:rsid w:val="000B49E8"/>
    <w:rsid w:val="000B4C18"/>
    <w:rsid w:val="000B5284"/>
    <w:rsid w:val="000B5C1F"/>
    <w:rsid w:val="000B5D08"/>
    <w:rsid w:val="000B6272"/>
    <w:rsid w:val="000B634A"/>
    <w:rsid w:val="000B6B93"/>
    <w:rsid w:val="000B6F19"/>
    <w:rsid w:val="000B6F3D"/>
    <w:rsid w:val="000B6FD7"/>
    <w:rsid w:val="000B76CF"/>
    <w:rsid w:val="000B79BD"/>
    <w:rsid w:val="000C0263"/>
    <w:rsid w:val="000C028C"/>
    <w:rsid w:val="000C030B"/>
    <w:rsid w:val="000C0499"/>
    <w:rsid w:val="000C08E1"/>
    <w:rsid w:val="000C1BE6"/>
    <w:rsid w:val="000C24B9"/>
    <w:rsid w:val="000C2B41"/>
    <w:rsid w:val="000C3501"/>
    <w:rsid w:val="000C3A1C"/>
    <w:rsid w:val="000C4805"/>
    <w:rsid w:val="000C48D2"/>
    <w:rsid w:val="000C490A"/>
    <w:rsid w:val="000C5458"/>
    <w:rsid w:val="000C5CBB"/>
    <w:rsid w:val="000C65D4"/>
    <w:rsid w:val="000C6635"/>
    <w:rsid w:val="000C6763"/>
    <w:rsid w:val="000C687A"/>
    <w:rsid w:val="000C6986"/>
    <w:rsid w:val="000C6C03"/>
    <w:rsid w:val="000C6E37"/>
    <w:rsid w:val="000C6FE3"/>
    <w:rsid w:val="000C7ADB"/>
    <w:rsid w:val="000D0202"/>
    <w:rsid w:val="000D0363"/>
    <w:rsid w:val="000D0773"/>
    <w:rsid w:val="000D07F6"/>
    <w:rsid w:val="000D092A"/>
    <w:rsid w:val="000D097B"/>
    <w:rsid w:val="000D0F07"/>
    <w:rsid w:val="000D141A"/>
    <w:rsid w:val="000D1B01"/>
    <w:rsid w:val="000D24DB"/>
    <w:rsid w:val="000D262E"/>
    <w:rsid w:val="000D2DE1"/>
    <w:rsid w:val="000D2E8F"/>
    <w:rsid w:val="000D3E14"/>
    <w:rsid w:val="000D44E9"/>
    <w:rsid w:val="000D5555"/>
    <w:rsid w:val="000D5FB3"/>
    <w:rsid w:val="000D62D1"/>
    <w:rsid w:val="000D6341"/>
    <w:rsid w:val="000D6A2F"/>
    <w:rsid w:val="000D6F11"/>
    <w:rsid w:val="000D6F66"/>
    <w:rsid w:val="000D7556"/>
    <w:rsid w:val="000E06EC"/>
    <w:rsid w:val="000E0EFA"/>
    <w:rsid w:val="000E102D"/>
    <w:rsid w:val="000E2056"/>
    <w:rsid w:val="000E21E3"/>
    <w:rsid w:val="000E4230"/>
    <w:rsid w:val="000E5ABA"/>
    <w:rsid w:val="000E6DB0"/>
    <w:rsid w:val="000E6DBA"/>
    <w:rsid w:val="000F0C1F"/>
    <w:rsid w:val="000F14B3"/>
    <w:rsid w:val="000F1FFE"/>
    <w:rsid w:val="000F233D"/>
    <w:rsid w:val="000F2A48"/>
    <w:rsid w:val="000F4795"/>
    <w:rsid w:val="000F4F17"/>
    <w:rsid w:val="000F541E"/>
    <w:rsid w:val="000F5710"/>
    <w:rsid w:val="000F6B97"/>
    <w:rsid w:val="000F6EEC"/>
    <w:rsid w:val="000F71F3"/>
    <w:rsid w:val="000F790B"/>
    <w:rsid w:val="000F7B14"/>
    <w:rsid w:val="001000B8"/>
    <w:rsid w:val="001007FA"/>
    <w:rsid w:val="00100C71"/>
    <w:rsid w:val="0010141E"/>
    <w:rsid w:val="00101680"/>
    <w:rsid w:val="00101799"/>
    <w:rsid w:val="001023B9"/>
    <w:rsid w:val="00103305"/>
    <w:rsid w:val="0010336D"/>
    <w:rsid w:val="00104076"/>
    <w:rsid w:val="0010485B"/>
    <w:rsid w:val="00104894"/>
    <w:rsid w:val="0010521B"/>
    <w:rsid w:val="00105B5E"/>
    <w:rsid w:val="00106423"/>
    <w:rsid w:val="001065C5"/>
    <w:rsid w:val="0010676E"/>
    <w:rsid w:val="00107EBD"/>
    <w:rsid w:val="0011015E"/>
    <w:rsid w:val="00110C55"/>
    <w:rsid w:val="00110E87"/>
    <w:rsid w:val="00111AE0"/>
    <w:rsid w:val="00112139"/>
    <w:rsid w:val="0011214E"/>
    <w:rsid w:val="00112B4C"/>
    <w:rsid w:val="0011303D"/>
    <w:rsid w:val="0011354B"/>
    <w:rsid w:val="0011416D"/>
    <w:rsid w:val="001143D7"/>
    <w:rsid w:val="0011488C"/>
    <w:rsid w:val="00114B50"/>
    <w:rsid w:val="0011610D"/>
    <w:rsid w:val="00116249"/>
    <w:rsid w:val="00116306"/>
    <w:rsid w:val="00116A3B"/>
    <w:rsid w:val="00116EA1"/>
    <w:rsid w:val="00117149"/>
    <w:rsid w:val="00117411"/>
    <w:rsid w:val="001174A0"/>
    <w:rsid w:val="00117EDE"/>
    <w:rsid w:val="00120906"/>
    <w:rsid w:val="001209C6"/>
    <w:rsid w:val="001213E8"/>
    <w:rsid w:val="00122227"/>
    <w:rsid w:val="001222D9"/>
    <w:rsid w:val="00122412"/>
    <w:rsid w:val="00122A48"/>
    <w:rsid w:val="00122F4F"/>
    <w:rsid w:val="00123951"/>
    <w:rsid w:val="00123DB8"/>
    <w:rsid w:val="00123E5B"/>
    <w:rsid w:val="001241FB"/>
    <w:rsid w:val="00125914"/>
    <w:rsid w:val="00125EFC"/>
    <w:rsid w:val="0012761B"/>
    <w:rsid w:val="00127A93"/>
    <w:rsid w:val="0013014D"/>
    <w:rsid w:val="00131249"/>
    <w:rsid w:val="00131CFC"/>
    <w:rsid w:val="00131E82"/>
    <w:rsid w:val="001321D8"/>
    <w:rsid w:val="00132263"/>
    <w:rsid w:val="001324FE"/>
    <w:rsid w:val="00132607"/>
    <w:rsid w:val="00133AD1"/>
    <w:rsid w:val="0013501A"/>
    <w:rsid w:val="001353A1"/>
    <w:rsid w:val="00135453"/>
    <w:rsid w:val="001356D5"/>
    <w:rsid w:val="00137A24"/>
    <w:rsid w:val="00140040"/>
    <w:rsid w:val="00140761"/>
    <w:rsid w:val="001407E8"/>
    <w:rsid w:val="00140FC8"/>
    <w:rsid w:val="0014145B"/>
    <w:rsid w:val="00141504"/>
    <w:rsid w:val="0014153F"/>
    <w:rsid w:val="001415AC"/>
    <w:rsid w:val="0014161C"/>
    <w:rsid w:val="001419A6"/>
    <w:rsid w:val="00142294"/>
    <w:rsid w:val="001449E4"/>
    <w:rsid w:val="00145296"/>
    <w:rsid w:val="00145769"/>
    <w:rsid w:val="00145916"/>
    <w:rsid w:val="0014629B"/>
    <w:rsid w:val="00146816"/>
    <w:rsid w:val="001468E6"/>
    <w:rsid w:val="001472A3"/>
    <w:rsid w:val="001500BD"/>
    <w:rsid w:val="00150414"/>
    <w:rsid w:val="00151EA0"/>
    <w:rsid w:val="001521F9"/>
    <w:rsid w:val="001524D3"/>
    <w:rsid w:val="0015326B"/>
    <w:rsid w:val="001532C9"/>
    <w:rsid w:val="0015331D"/>
    <w:rsid w:val="00154CF4"/>
    <w:rsid w:val="00154D1F"/>
    <w:rsid w:val="001551B4"/>
    <w:rsid w:val="00155D8C"/>
    <w:rsid w:val="0015683C"/>
    <w:rsid w:val="00156FF9"/>
    <w:rsid w:val="001577FF"/>
    <w:rsid w:val="00157813"/>
    <w:rsid w:val="00157DE4"/>
    <w:rsid w:val="00157E68"/>
    <w:rsid w:val="00157F59"/>
    <w:rsid w:val="00157F67"/>
    <w:rsid w:val="00160501"/>
    <w:rsid w:val="001607AF"/>
    <w:rsid w:val="001619E9"/>
    <w:rsid w:val="00161B48"/>
    <w:rsid w:val="00161E47"/>
    <w:rsid w:val="001626ED"/>
    <w:rsid w:val="00162DD0"/>
    <w:rsid w:val="00164086"/>
    <w:rsid w:val="00165473"/>
    <w:rsid w:val="00165AD7"/>
    <w:rsid w:val="00166014"/>
    <w:rsid w:val="00166273"/>
    <w:rsid w:val="001662C4"/>
    <w:rsid w:val="001665CF"/>
    <w:rsid w:val="00166EB1"/>
    <w:rsid w:val="00167818"/>
    <w:rsid w:val="001707A2"/>
    <w:rsid w:val="00170F1F"/>
    <w:rsid w:val="00171AE6"/>
    <w:rsid w:val="00171D9C"/>
    <w:rsid w:val="001723B7"/>
    <w:rsid w:val="00172A27"/>
    <w:rsid w:val="00173B1B"/>
    <w:rsid w:val="00175AE7"/>
    <w:rsid w:val="00176279"/>
    <w:rsid w:val="001774F4"/>
    <w:rsid w:val="001807F7"/>
    <w:rsid w:val="00181BE3"/>
    <w:rsid w:val="001821E1"/>
    <w:rsid w:val="00183360"/>
    <w:rsid w:val="0018460A"/>
    <w:rsid w:val="0018483E"/>
    <w:rsid w:val="00185811"/>
    <w:rsid w:val="00185DB5"/>
    <w:rsid w:val="00186489"/>
    <w:rsid w:val="0018663B"/>
    <w:rsid w:val="0019079D"/>
    <w:rsid w:val="00190F43"/>
    <w:rsid w:val="001912DF"/>
    <w:rsid w:val="00192162"/>
    <w:rsid w:val="00193075"/>
    <w:rsid w:val="001936C5"/>
    <w:rsid w:val="00193BAB"/>
    <w:rsid w:val="00193C97"/>
    <w:rsid w:val="0019426A"/>
    <w:rsid w:val="00194568"/>
    <w:rsid w:val="001946D2"/>
    <w:rsid w:val="001948EF"/>
    <w:rsid w:val="001957D6"/>
    <w:rsid w:val="00195D57"/>
    <w:rsid w:val="00196C41"/>
    <w:rsid w:val="00196F8E"/>
    <w:rsid w:val="0019717A"/>
    <w:rsid w:val="0019728D"/>
    <w:rsid w:val="00197B59"/>
    <w:rsid w:val="001A0093"/>
    <w:rsid w:val="001A03AA"/>
    <w:rsid w:val="001A03E0"/>
    <w:rsid w:val="001A06D0"/>
    <w:rsid w:val="001A15E8"/>
    <w:rsid w:val="001A17FB"/>
    <w:rsid w:val="001A1D49"/>
    <w:rsid w:val="001A1FED"/>
    <w:rsid w:val="001A2D2B"/>
    <w:rsid w:val="001A66BB"/>
    <w:rsid w:val="001A7389"/>
    <w:rsid w:val="001A7C9D"/>
    <w:rsid w:val="001B0E67"/>
    <w:rsid w:val="001B0F05"/>
    <w:rsid w:val="001B13D4"/>
    <w:rsid w:val="001B35EA"/>
    <w:rsid w:val="001B3B87"/>
    <w:rsid w:val="001B4F3B"/>
    <w:rsid w:val="001B5873"/>
    <w:rsid w:val="001B5FBC"/>
    <w:rsid w:val="001B6775"/>
    <w:rsid w:val="001B6FAE"/>
    <w:rsid w:val="001C1838"/>
    <w:rsid w:val="001C1E36"/>
    <w:rsid w:val="001C2052"/>
    <w:rsid w:val="001C22D6"/>
    <w:rsid w:val="001C242C"/>
    <w:rsid w:val="001C2B99"/>
    <w:rsid w:val="001C2C57"/>
    <w:rsid w:val="001C305E"/>
    <w:rsid w:val="001C32E7"/>
    <w:rsid w:val="001C3916"/>
    <w:rsid w:val="001C3DD2"/>
    <w:rsid w:val="001C46A4"/>
    <w:rsid w:val="001C5672"/>
    <w:rsid w:val="001C5724"/>
    <w:rsid w:val="001C58CF"/>
    <w:rsid w:val="001C70FD"/>
    <w:rsid w:val="001C7156"/>
    <w:rsid w:val="001C761B"/>
    <w:rsid w:val="001C7BE9"/>
    <w:rsid w:val="001D309B"/>
    <w:rsid w:val="001D3365"/>
    <w:rsid w:val="001D3B86"/>
    <w:rsid w:val="001D4655"/>
    <w:rsid w:val="001D4880"/>
    <w:rsid w:val="001D4C1B"/>
    <w:rsid w:val="001D4CFF"/>
    <w:rsid w:val="001D56E7"/>
    <w:rsid w:val="001D6642"/>
    <w:rsid w:val="001D6A29"/>
    <w:rsid w:val="001D6FB6"/>
    <w:rsid w:val="001D7910"/>
    <w:rsid w:val="001D7A6A"/>
    <w:rsid w:val="001E033E"/>
    <w:rsid w:val="001E0C35"/>
    <w:rsid w:val="001E2F95"/>
    <w:rsid w:val="001E2FB2"/>
    <w:rsid w:val="001E33B1"/>
    <w:rsid w:val="001E3CD5"/>
    <w:rsid w:val="001E41B3"/>
    <w:rsid w:val="001E4574"/>
    <w:rsid w:val="001E45BE"/>
    <w:rsid w:val="001E4A9B"/>
    <w:rsid w:val="001E5CB0"/>
    <w:rsid w:val="001E5D25"/>
    <w:rsid w:val="001E5E86"/>
    <w:rsid w:val="001E65A8"/>
    <w:rsid w:val="001E66DE"/>
    <w:rsid w:val="001E70C5"/>
    <w:rsid w:val="001E731E"/>
    <w:rsid w:val="001E75EE"/>
    <w:rsid w:val="001E7D57"/>
    <w:rsid w:val="001F0868"/>
    <w:rsid w:val="001F1F20"/>
    <w:rsid w:val="001F34C4"/>
    <w:rsid w:val="001F35FE"/>
    <w:rsid w:val="001F3881"/>
    <w:rsid w:val="001F4024"/>
    <w:rsid w:val="001F42F6"/>
    <w:rsid w:val="001F4E5C"/>
    <w:rsid w:val="001F5799"/>
    <w:rsid w:val="001F617E"/>
    <w:rsid w:val="001F659B"/>
    <w:rsid w:val="001F6E0E"/>
    <w:rsid w:val="002001C1"/>
    <w:rsid w:val="00200254"/>
    <w:rsid w:val="00200775"/>
    <w:rsid w:val="0020090D"/>
    <w:rsid w:val="00200984"/>
    <w:rsid w:val="00200BAD"/>
    <w:rsid w:val="00200C3C"/>
    <w:rsid w:val="00200D50"/>
    <w:rsid w:val="00201063"/>
    <w:rsid w:val="002022D6"/>
    <w:rsid w:val="0020263E"/>
    <w:rsid w:val="00202D7A"/>
    <w:rsid w:val="00202E75"/>
    <w:rsid w:val="00202F24"/>
    <w:rsid w:val="00203121"/>
    <w:rsid w:val="00203A40"/>
    <w:rsid w:val="00204460"/>
    <w:rsid w:val="00204489"/>
    <w:rsid w:val="00204E9A"/>
    <w:rsid w:val="002050D0"/>
    <w:rsid w:val="00205846"/>
    <w:rsid w:val="00205B35"/>
    <w:rsid w:val="00205DE4"/>
    <w:rsid w:val="00205E11"/>
    <w:rsid w:val="0020601D"/>
    <w:rsid w:val="002069A1"/>
    <w:rsid w:val="002073A7"/>
    <w:rsid w:val="002107FD"/>
    <w:rsid w:val="00210DC9"/>
    <w:rsid w:val="002111DE"/>
    <w:rsid w:val="002118EE"/>
    <w:rsid w:val="002122A8"/>
    <w:rsid w:val="002168C7"/>
    <w:rsid w:val="002169CC"/>
    <w:rsid w:val="00220FDC"/>
    <w:rsid w:val="00221D15"/>
    <w:rsid w:val="002220C0"/>
    <w:rsid w:val="002220C8"/>
    <w:rsid w:val="00222758"/>
    <w:rsid w:val="002229D0"/>
    <w:rsid w:val="00222DE5"/>
    <w:rsid w:val="0022341B"/>
    <w:rsid w:val="002235A0"/>
    <w:rsid w:val="00224B66"/>
    <w:rsid w:val="00224EE7"/>
    <w:rsid w:val="00224F51"/>
    <w:rsid w:val="00225606"/>
    <w:rsid w:val="0022575B"/>
    <w:rsid w:val="00225AF2"/>
    <w:rsid w:val="002264E8"/>
    <w:rsid w:val="00226C61"/>
    <w:rsid w:val="00226ED2"/>
    <w:rsid w:val="002271BF"/>
    <w:rsid w:val="002277CC"/>
    <w:rsid w:val="00230C99"/>
    <w:rsid w:val="002314DD"/>
    <w:rsid w:val="0023188C"/>
    <w:rsid w:val="00231D5E"/>
    <w:rsid w:val="00232487"/>
    <w:rsid w:val="00233691"/>
    <w:rsid w:val="00233700"/>
    <w:rsid w:val="00233799"/>
    <w:rsid w:val="00233D02"/>
    <w:rsid w:val="00234386"/>
    <w:rsid w:val="00234D83"/>
    <w:rsid w:val="00234F48"/>
    <w:rsid w:val="00236245"/>
    <w:rsid w:val="002372D7"/>
    <w:rsid w:val="00237500"/>
    <w:rsid w:val="00237C04"/>
    <w:rsid w:val="00237FA0"/>
    <w:rsid w:val="002405A8"/>
    <w:rsid w:val="002406D0"/>
    <w:rsid w:val="00241FDE"/>
    <w:rsid w:val="002425AD"/>
    <w:rsid w:val="0024327F"/>
    <w:rsid w:val="00243914"/>
    <w:rsid w:val="00243943"/>
    <w:rsid w:val="00245BBF"/>
    <w:rsid w:val="002469AF"/>
    <w:rsid w:val="002479F0"/>
    <w:rsid w:val="00250632"/>
    <w:rsid w:val="00250753"/>
    <w:rsid w:val="00250A06"/>
    <w:rsid w:val="00250AA7"/>
    <w:rsid w:val="00250E52"/>
    <w:rsid w:val="0025128D"/>
    <w:rsid w:val="00251EB8"/>
    <w:rsid w:val="00251FDD"/>
    <w:rsid w:val="00252C5A"/>
    <w:rsid w:val="002539EB"/>
    <w:rsid w:val="00254276"/>
    <w:rsid w:val="002546C5"/>
    <w:rsid w:val="00254C70"/>
    <w:rsid w:val="00254F62"/>
    <w:rsid w:val="0025518D"/>
    <w:rsid w:val="00256CB2"/>
    <w:rsid w:val="00257A99"/>
    <w:rsid w:val="00257B87"/>
    <w:rsid w:val="00257FF3"/>
    <w:rsid w:val="0026124A"/>
    <w:rsid w:val="002614BC"/>
    <w:rsid w:val="00261503"/>
    <w:rsid w:val="00261985"/>
    <w:rsid w:val="002626B5"/>
    <w:rsid w:val="00263A39"/>
    <w:rsid w:val="00263B87"/>
    <w:rsid w:val="00264146"/>
    <w:rsid w:val="002645AF"/>
    <w:rsid w:val="002651D7"/>
    <w:rsid w:val="0026534A"/>
    <w:rsid w:val="002657DF"/>
    <w:rsid w:val="00267414"/>
    <w:rsid w:val="00267739"/>
    <w:rsid w:val="00270358"/>
    <w:rsid w:val="0027095C"/>
    <w:rsid w:val="002709DA"/>
    <w:rsid w:val="00270D24"/>
    <w:rsid w:val="00271097"/>
    <w:rsid w:val="002719AC"/>
    <w:rsid w:val="00271DC8"/>
    <w:rsid w:val="00271FB2"/>
    <w:rsid w:val="0027243B"/>
    <w:rsid w:val="00272640"/>
    <w:rsid w:val="00272BFB"/>
    <w:rsid w:val="00273087"/>
    <w:rsid w:val="00273EEE"/>
    <w:rsid w:val="002748EC"/>
    <w:rsid w:val="00274B2B"/>
    <w:rsid w:val="00276447"/>
    <w:rsid w:val="0027708E"/>
    <w:rsid w:val="0028043E"/>
    <w:rsid w:val="00280AFD"/>
    <w:rsid w:val="00280E7A"/>
    <w:rsid w:val="002813B0"/>
    <w:rsid w:val="0028152B"/>
    <w:rsid w:val="00281A49"/>
    <w:rsid w:val="002822DB"/>
    <w:rsid w:val="00282BDE"/>
    <w:rsid w:val="002834B4"/>
    <w:rsid w:val="002841C7"/>
    <w:rsid w:val="00284A92"/>
    <w:rsid w:val="00284BD3"/>
    <w:rsid w:val="0028572C"/>
    <w:rsid w:val="00285C75"/>
    <w:rsid w:val="00286475"/>
    <w:rsid w:val="00286EC6"/>
    <w:rsid w:val="002877B6"/>
    <w:rsid w:val="0029008D"/>
    <w:rsid w:val="002909C8"/>
    <w:rsid w:val="00290D13"/>
    <w:rsid w:val="0029102A"/>
    <w:rsid w:val="0029134B"/>
    <w:rsid w:val="00291C48"/>
    <w:rsid w:val="00291D5C"/>
    <w:rsid w:val="0029229F"/>
    <w:rsid w:val="00292842"/>
    <w:rsid w:val="00292C37"/>
    <w:rsid w:val="00293AE3"/>
    <w:rsid w:val="00293BC1"/>
    <w:rsid w:val="0029482B"/>
    <w:rsid w:val="00294A45"/>
    <w:rsid w:val="00294C7B"/>
    <w:rsid w:val="00294D28"/>
    <w:rsid w:val="002959C3"/>
    <w:rsid w:val="00295D77"/>
    <w:rsid w:val="00295E35"/>
    <w:rsid w:val="002978E1"/>
    <w:rsid w:val="002A0376"/>
    <w:rsid w:val="002A096D"/>
    <w:rsid w:val="002A09A4"/>
    <w:rsid w:val="002A22F8"/>
    <w:rsid w:val="002A26B1"/>
    <w:rsid w:val="002A3306"/>
    <w:rsid w:val="002A3369"/>
    <w:rsid w:val="002A3517"/>
    <w:rsid w:val="002A4A16"/>
    <w:rsid w:val="002A4C5F"/>
    <w:rsid w:val="002A5033"/>
    <w:rsid w:val="002A5855"/>
    <w:rsid w:val="002A5D23"/>
    <w:rsid w:val="002A5D47"/>
    <w:rsid w:val="002A60BA"/>
    <w:rsid w:val="002A627F"/>
    <w:rsid w:val="002A6551"/>
    <w:rsid w:val="002A7131"/>
    <w:rsid w:val="002A73BF"/>
    <w:rsid w:val="002A7954"/>
    <w:rsid w:val="002B018F"/>
    <w:rsid w:val="002B0433"/>
    <w:rsid w:val="002B0A7D"/>
    <w:rsid w:val="002B0D0F"/>
    <w:rsid w:val="002B0E15"/>
    <w:rsid w:val="002B0F7D"/>
    <w:rsid w:val="002B1AB6"/>
    <w:rsid w:val="002B2124"/>
    <w:rsid w:val="002B23FF"/>
    <w:rsid w:val="002B24D1"/>
    <w:rsid w:val="002B4EBC"/>
    <w:rsid w:val="002B5148"/>
    <w:rsid w:val="002B5859"/>
    <w:rsid w:val="002B591D"/>
    <w:rsid w:val="002B59F8"/>
    <w:rsid w:val="002B5BED"/>
    <w:rsid w:val="002B5C5B"/>
    <w:rsid w:val="002B7092"/>
    <w:rsid w:val="002B785B"/>
    <w:rsid w:val="002C0052"/>
    <w:rsid w:val="002C0843"/>
    <w:rsid w:val="002C0890"/>
    <w:rsid w:val="002C0ACF"/>
    <w:rsid w:val="002C0FFF"/>
    <w:rsid w:val="002C176F"/>
    <w:rsid w:val="002C1CC6"/>
    <w:rsid w:val="002C1D36"/>
    <w:rsid w:val="002C2219"/>
    <w:rsid w:val="002C25A7"/>
    <w:rsid w:val="002C37B9"/>
    <w:rsid w:val="002C399B"/>
    <w:rsid w:val="002C3A0D"/>
    <w:rsid w:val="002C3BED"/>
    <w:rsid w:val="002C4301"/>
    <w:rsid w:val="002C453E"/>
    <w:rsid w:val="002C4EC0"/>
    <w:rsid w:val="002C4F03"/>
    <w:rsid w:val="002C52EF"/>
    <w:rsid w:val="002C5632"/>
    <w:rsid w:val="002C5C9F"/>
    <w:rsid w:val="002C5F3B"/>
    <w:rsid w:val="002C6514"/>
    <w:rsid w:val="002C7951"/>
    <w:rsid w:val="002C7AB1"/>
    <w:rsid w:val="002C7EDF"/>
    <w:rsid w:val="002D0D85"/>
    <w:rsid w:val="002D1168"/>
    <w:rsid w:val="002D1484"/>
    <w:rsid w:val="002D173F"/>
    <w:rsid w:val="002D19A9"/>
    <w:rsid w:val="002D1F05"/>
    <w:rsid w:val="002D24AB"/>
    <w:rsid w:val="002D2549"/>
    <w:rsid w:val="002D4351"/>
    <w:rsid w:val="002D4673"/>
    <w:rsid w:val="002D49E8"/>
    <w:rsid w:val="002D4AA5"/>
    <w:rsid w:val="002D4DD7"/>
    <w:rsid w:val="002D4ECA"/>
    <w:rsid w:val="002D5685"/>
    <w:rsid w:val="002D57A8"/>
    <w:rsid w:val="002D59C2"/>
    <w:rsid w:val="002D59CD"/>
    <w:rsid w:val="002D6B31"/>
    <w:rsid w:val="002D70FB"/>
    <w:rsid w:val="002D72F6"/>
    <w:rsid w:val="002D73CA"/>
    <w:rsid w:val="002D73F6"/>
    <w:rsid w:val="002D7795"/>
    <w:rsid w:val="002D7C7A"/>
    <w:rsid w:val="002E0864"/>
    <w:rsid w:val="002E1625"/>
    <w:rsid w:val="002E37B8"/>
    <w:rsid w:val="002E3AA5"/>
    <w:rsid w:val="002E48A2"/>
    <w:rsid w:val="002E710B"/>
    <w:rsid w:val="002E7DFE"/>
    <w:rsid w:val="002F02B6"/>
    <w:rsid w:val="002F0889"/>
    <w:rsid w:val="002F0B94"/>
    <w:rsid w:val="002F1192"/>
    <w:rsid w:val="002F11C2"/>
    <w:rsid w:val="002F11FB"/>
    <w:rsid w:val="002F14DE"/>
    <w:rsid w:val="002F1A86"/>
    <w:rsid w:val="002F28E2"/>
    <w:rsid w:val="002F30A7"/>
    <w:rsid w:val="002F3419"/>
    <w:rsid w:val="002F3987"/>
    <w:rsid w:val="002F4147"/>
    <w:rsid w:val="002F4B7E"/>
    <w:rsid w:val="002F56D6"/>
    <w:rsid w:val="002F5719"/>
    <w:rsid w:val="002F6141"/>
    <w:rsid w:val="002F6226"/>
    <w:rsid w:val="002F6B14"/>
    <w:rsid w:val="002F6F7A"/>
    <w:rsid w:val="002F72E9"/>
    <w:rsid w:val="002F74A3"/>
    <w:rsid w:val="003005AC"/>
    <w:rsid w:val="00300B0D"/>
    <w:rsid w:val="003011C6"/>
    <w:rsid w:val="00301351"/>
    <w:rsid w:val="0030155B"/>
    <w:rsid w:val="003027D5"/>
    <w:rsid w:val="00302966"/>
    <w:rsid w:val="00303FA2"/>
    <w:rsid w:val="00304F42"/>
    <w:rsid w:val="00305044"/>
    <w:rsid w:val="00305C05"/>
    <w:rsid w:val="00306B0C"/>
    <w:rsid w:val="00306E70"/>
    <w:rsid w:val="0030714A"/>
    <w:rsid w:val="003076E1"/>
    <w:rsid w:val="00307CC1"/>
    <w:rsid w:val="00310345"/>
    <w:rsid w:val="00310584"/>
    <w:rsid w:val="00311259"/>
    <w:rsid w:val="00311A59"/>
    <w:rsid w:val="00312989"/>
    <w:rsid w:val="00313B4A"/>
    <w:rsid w:val="003147D8"/>
    <w:rsid w:val="00314ABB"/>
    <w:rsid w:val="003167A0"/>
    <w:rsid w:val="00316AFD"/>
    <w:rsid w:val="00316D63"/>
    <w:rsid w:val="00317AD9"/>
    <w:rsid w:val="00317B98"/>
    <w:rsid w:val="0032053B"/>
    <w:rsid w:val="003207B2"/>
    <w:rsid w:val="00321FC1"/>
    <w:rsid w:val="003220DA"/>
    <w:rsid w:val="00322255"/>
    <w:rsid w:val="00322414"/>
    <w:rsid w:val="00322523"/>
    <w:rsid w:val="0032252F"/>
    <w:rsid w:val="00322CD3"/>
    <w:rsid w:val="00322FBB"/>
    <w:rsid w:val="0032310D"/>
    <w:rsid w:val="00324442"/>
    <w:rsid w:val="003245BC"/>
    <w:rsid w:val="0032502F"/>
    <w:rsid w:val="00325341"/>
    <w:rsid w:val="003254FC"/>
    <w:rsid w:val="00325703"/>
    <w:rsid w:val="00325BC2"/>
    <w:rsid w:val="0032695E"/>
    <w:rsid w:val="0032727C"/>
    <w:rsid w:val="00327BEA"/>
    <w:rsid w:val="00327E86"/>
    <w:rsid w:val="00327F5C"/>
    <w:rsid w:val="0033048F"/>
    <w:rsid w:val="00331049"/>
    <w:rsid w:val="00331751"/>
    <w:rsid w:val="00331B88"/>
    <w:rsid w:val="00331C67"/>
    <w:rsid w:val="00331DA2"/>
    <w:rsid w:val="00332BC9"/>
    <w:rsid w:val="00332FA3"/>
    <w:rsid w:val="00333238"/>
    <w:rsid w:val="00334707"/>
    <w:rsid w:val="00334CD8"/>
    <w:rsid w:val="00335BAA"/>
    <w:rsid w:val="00335E94"/>
    <w:rsid w:val="003361FE"/>
    <w:rsid w:val="0033677C"/>
    <w:rsid w:val="00337AAE"/>
    <w:rsid w:val="00337B2B"/>
    <w:rsid w:val="00340622"/>
    <w:rsid w:val="00340D59"/>
    <w:rsid w:val="0034198A"/>
    <w:rsid w:val="00341A14"/>
    <w:rsid w:val="00341C73"/>
    <w:rsid w:val="00341EFF"/>
    <w:rsid w:val="003425C9"/>
    <w:rsid w:val="00342E48"/>
    <w:rsid w:val="00343655"/>
    <w:rsid w:val="00343B10"/>
    <w:rsid w:val="00344139"/>
    <w:rsid w:val="00344883"/>
    <w:rsid w:val="00344F46"/>
    <w:rsid w:val="00345203"/>
    <w:rsid w:val="003456CD"/>
    <w:rsid w:val="0034581A"/>
    <w:rsid w:val="00346DD3"/>
    <w:rsid w:val="003470F6"/>
    <w:rsid w:val="003475FB"/>
    <w:rsid w:val="00347989"/>
    <w:rsid w:val="003502A2"/>
    <w:rsid w:val="00350BF2"/>
    <w:rsid w:val="003510AF"/>
    <w:rsid w:val="003533CA"/>
    <w:rsid w:val="00353C07"/>
    <w:rsid w:val="00354D65"/>
    <w:rsid w:val="003565F6"/>
    <w:rsid w:val="00356903"/>
    <w:rsid w:val="00357490"/>
    <w:rsid w:val="00360C74"/>
    <w:rsid w:val="00361A70"/>
    <w:rsid w:val="00362DF0"/>
    <w:rsid w:val="003638DA"/>
    <w:rsid w:val="00364665"/>
    <w:rsid w:val="00365850"/>
    <w:rsid w:val="0036625C"/>
    <w:rsid w:val="0036645C"/>
    <w:rsid w:val="00367358"/>
    <w:rsid w:val="00367A84"/>
    <w:rsid w:val="00370121"/>
    <w:rsid w:val="003703A9"/>
    <w:rsid w:val="0037258F"/>
    <w:rsid w:val="003727FC"/>
    <w:rsid w:val="003728B7"/>
    <w:rsid w:val="00373406"/>
    <w:rsid w:val="00373820"/>
    <w:rsid w:val="003738F7"/>
    <w:rsid w:val="00373E56"/>
    <w:rsid w:val="003744A2"/>
    <w:rsid w:val="0037480D"/>
    <w:rsid w:val="003753DD"/>
    <w:rsid w:val="003754B1"/>
    <w:rsid w:val="00375580"/>
    <w:rsid w:val="00375FA6"/>
    <w:rsid w:val="003763A2"/>
    <w:rsid w:val="003772F4"/>
    <w:rsid w:val="00377608"/>
    <w:rsid w:val="003776A8"/>
    <w:rsid w:val="00377D79"/>
    <w:rsid w:val="00377DDE"/>
    <w:rsid w:val="00380391"/>
    <w:rsid w:val="003804C7"/>
    <w:rsid w:val="00380857"/>
    <w:rsid w:val="00381F55"/>
    <w:rsid w:val="0038218E"/>
    <w:rsid w:val="00382285"/>
    <w:rsid w:val="003823A7"/>
    <w:rsid w:val="00382C3C"/>
    <w:rsid w:val="003833A7"/>
    <w:rsid w:val="00385020"/>
    <w:rsid w:val="003858A9"/>
    <w:rsid w:val="00385AC7"/>
    <w:rsid w:val="003860F0"/>
    <w:rsid w:val="00386387"/>
    <w:rsid w:val="0038662F"/>
    <w:rsid w:val="003866D7"/>
    <w:rsid w:val="00386C1F"/>
    <w:rsid w:val="00386ED5"/>
    <w:rsid w:val="00387628"/>
    <w:rsid w:val="00387AE7"/>
    <w:rsid w:val="00387DA2"/>
    <w:rsid w:val="00390269"/>
    <w:rsid w:val="00390A40"/>
    <w:rsid w:val="0039205F"/>
    <w:rsid w:val="00392099"/>
    <w:rsid w:val="0039220F"/>
    <w:rsid w:val="00392615"/>
    <w:rsid w:val="0039262A"/>
    <w:rsid w:val="003930D4"/>
    <w:rsid w:val="003936A6"/>
    <w:rsid w:val="00394562"/>
    <w:rsid w:val="00394D5B"/>
    <w:rsid w:val="003952AB"/>
    <w:rsid w:val="0039756D"/>
    <w:rsid w:val="00397618"/>
    <w:rsid w:val="00397884"/>
    <w:rsid w:val="003A06BA"/>
    <w:rsid w:val="003A1C90"/>
    <w:rsid w:val="003A21AF"/>
    <w:rsid w:val="003A2233"/>
    <w:rsid w:val="003A29A2"/>
    <w:rsid w:val="003A3CF5"/>
    <w:rsid w:val="003A3D58"/>
    <w:rsid w:val="003A4894"/>
    <w:rsid w:val="003A4E18"/>
    <w:rsid w:val="003A4E9B"/>
    <w:rsid w:val="003A503C"/>
    <w:rsid w:val="003A52BA"/>
    <w:rsid w:val="003A5673"/>
    <w:rsid w:val="003A6848"/>
    <w:rsid w:val="003A6C4C"/>
    <w:rsid w:val="003A72E6"/>
    <w:rsid w:val="003A7447"/>
    <w:rsid w:val="003B0162"/>
    <w:rsid w:val="003B1FAC"/>
    <w:rsid w:val="003B2087"/>
    <w:rsid w:val="003B2FB2"/>
    <w:rsid w:val="003B365B"/>
    <w:rsid w:val="003B3998"/>
    <w:rsid w:val="003B4BFC"/>
    <w:rsid w:val="003B5B78"/>
    <w:rsid w:val="003B6141"/>
    <w:rsid w:val="003B7078"/>
    <w:rsid w:val="003B7277"/>
    <w:rsid w:val="003B78CF"/>
    <w:rsid w:val="003B79BA"/>
    <w:rsid w:val="003B7CBB"/>
    <w:rsid w:val="003C0D5A"/>
    <w:rsid w:val="003C14E8"/>
    <w:rsid w:val="003C1BA0"/>
    <w:rsid w:val="003C1E6E"/>
    <w:rsid w:val="003C22DF"/>
    <w:rsid w:val="003C2B8A"/>
    <w:rsid w:val="003C3F49"/>
    <w:rsid w:val="003C4AFD"/>
    <w:rsid w:val="003C531F"/>
    <w:rsid w:val="003C5434"/>
    <w:rsid w:val="003C566A"/>
    <w:rsid w:val="003C5D5D"/>
    <w:rsid w:val="003C614C"/>
    <w:rsid w:val="003C6B50"/>
    <w:rsid w:val="003C6DC5"/>
    <w:rsid w:val="003C74AA"/>
    <w:rsid w:val="003C74CB"/>
    <w:rsid w:val="003C75E1"/>
    <w:rsid w:val="003C77EA"/>
    <w:rsid w:val="003D092E"/>
    <w:rsid w:val="003D25B6"/>
    <w:rsid w:val="003D358D"/>
    <w:rsid w:val="003D4518"/>
    <w:rsid w:val="003D4F40"/>
    <w:rsid w:val="003D5127"/>
    <w:rsid w:val="003D5A31"/>
    <w:rsid w:val="003D65AD"/>
    <w:rsid w:val="003D6D89"/>
    <w:rsid w:val="003D6EA7"/>
    <w:rsid w:val="003D727B"/>
    <w:rsid w:val="003D797D"/>
    <w:rsid w:val="003D7DB9"/>
    <w:rsid w:val="003D7E75"/>
    <w:rsid w:val="003E0357"/>
    <w:rsid w:val="003E0F4C"/>
    <w:rsid w:val="003E1188"/>
    <w:rsid w:val="003E186E"/>
    <w:rsid w:val="003E1A37"/>
    <w:rsid w:val="003E299B"/>
    <w:rsid w:val="003E317C"/>
    <w:rsid w:val="003E37FD"/>
    <w:rsid w:val="003E3942"/>
    <w:rsid w:val="003E3E02"/>
    <w:rsid w:val="003E4842"/>
    <w:rsid w:val="003E4E71"/>
    <w:rsid w:val="003E4F24"/>
    <w:rsid w:val="003E5FDB"/>
    <w:rsid w:val="003E67B6"/>
    <w:rsid w:val="003E7D1D"/>
    <w:rsid w:val="003E7F7F"/>
    <w:rsid w:val="003F108C"/>
    <w:rsid w:val="003F129C"/>
    <w:rsid w:val="003F151B"/>
    <w:rsid w:val="003F1541"/>
    <w:rsid w:val="003F1B82"/>
    <w:rsid w:val="003F26E1"/>
    <w:rsid w:val="003F297A"/>
    <w:rsid w:val="003F2C71"/>
    <w:rsid w:val="003F2D19"/>
    <w:rsid w:val="003F3A56"/>
    <w:rsid w:val="003F65DD"/>
    <w:rsid w:val="003F719D"/>
    <w:rsid w:val="003F71BC"/>
    <w:rsid w:val="003F7FE5"/>
    <w:rsid w:val="00400CBC"/>
    <w:rsid w:val="00400E69"/>
    <w:rsid w:val="004015A3"/>
    <w:rsid w:val="0040236D"/>
    <w:rsid w:val="00402807"/>
    <w:rsid w:val="00403607"/>
    <w:rsid w:val="00403A3F"/>
    <w:rsid w:val="00404F01"/>
    <w:rsid w:val="00405461"/>
    <w:rsid w:val="00405D49"/>
    <w:rsid w:val="004060F9"/>
    <w:rsid w:val="00406AFE"/>
    <w:rsid w:val="004073B4"/>
    <w:rsid w:val="0041006E"/>
    <w:rsid w:val="0041040A"/>
    <w:rsid w:val="004141E9"/>
    <w:rsid w:val="0041469A"/>
    <w:rsid w:val="00415118"/>
    <w:rsid w:val="00415250"/>
    <w:rsid w:val="0041629C"/>
    <w:rsid w:val="0041648D"/>
    <w:rsid w:val="004170D0"/>
    <w:rsid w:val="0041724B"/>
    <w:rsid w:val="0041785E"/>
    <w:rsid w:val="004178AB"/>
    <w:rsid w:val="004202BE"/>
    <w:rsid w:val="0042145C"/>
    <w:rsid w:val="004225FE"/>
    <w:rsid w:val="004233CD"/>
    <w:rsid w:val="004235D2"/>
    <w:rsid w:val="0042379C"/>
    <w:rsid w:val="004239C7"/>
    <w:rsid w:val="00423F9F"/>
    <w:rsid w:val="00424626"/>
    <w:rsid w:val="00424E2D"/>
    <w:rsid w:val="00425E23"/>
    <w:rsid w:val="00426EE1"/>
    <w:rsid w:val="004271F2"/>
    <w:rsid w:val="00427701"/>
    <w:rsid w:val="00427A61"/>
    <w:rsid w:val="00427E07"/>
    <w:rsid w:val="00431007"/>
    <w:rsid w:val="00431448"/>
    <w:rsid w:val="004314BA"/>
    <w:rsid w:val="00431F51"/>
    <w:rsid w:val="00431FDD"/>
    <w:rsid w:val="00432BD6"/>
    <w:rsid w:val="00432C8E"/>
    <w:rsid w:val="00433378"/>
    <w:rsid w:val="00433470"/>
    <w:rsid w:val="004338D7"/>
    <w:rsid w:val="00433EDA"/>
    <w:rsid w:val="00434383"/>
    <w:rsid w:val="00434421"/>
    <w:rsid w:val="00434F5D"/>
    <w:rsid w:val="004353EB"/>
    <w:rsid w:val="0043573F"/>
    <w:rsid w:val="004358D5"/>
    <w:rsid w:val="004361D3"/>
    <w:rsid w:val="00436587"/>
    <w:rsid w:val="004377B6"/>
    <w:rsid w:val="00440B77"/>
    <w:rsid w:val="004413F2"/>
    <w:rsid w:val="00442859"/>
    <w:rsid w:val="00442BF1"/>
    <w:rsid w:val="00442DD4"/>
    <w:rsid w:val="00443423"/>
    <w:rsid w:val="00443D77"/>
    <w:rsid w:val="00443F64"/>
    <w:rsid w:val="004440CB"/>
    <w:rsid w:val="004448D9"/>
    <w:rsid w:val="004461A0"/>
    <w:rsid w:val="004467E6"/>
    <w:rsid w:val="0044751C"/>
    <w:rsid w:val="00447DE9"/>
    <w:rsid w:val="0045098A"/>
    <w:rsid w:val="00451764"/>
    <w:rsid w:val="00452816"/>
    <w:rsid w:val="0045345A"/>
    <w:rsid w:val="0045394A"/>
    <w:rsid w:val="004539FC"/>
    <w:rsid w:val="00453F99"/>
    <w:rsid w:val="00454EF8"/>
    <w:rsid w:val="0045518E"/>
    <w:rsid w:val="00455352"/>
    <w:rsid w:val="00455BCB"/>
    <w:rsid w:val="00456081"/>
    <w:rsid w:val="004564C8"/>
    <w:rsid w:val="0045684E"/>
    <w:rsid w:val="00456D99"/>
    <w:rsid w:val="00456E04"/>
    <w:rsid w:val="00457BB6"/>
    <w:rsid w:val="00460A35"/>
    <w:rsid w:val="00460AE4"/>
    <w:rsid w:val="00461000"/>
    <w:rsid w:val="00461114"/>
    <w:rsid w:val="00461BAF"/>
    <w:rsid w:val="00461F0F"/>
    <w:rsid w:val="00462A13"/>
    <w:rsid w:val="00463B91"/>
    <w:rsid w:val="0046421F"/>
    <w:rsid w:val="00464450"/>
    <w:rsid w:val="00464E39"/>
    <w:rsid w:val="00465590"/>
    <w:rsid w:val="004671AC"/>
    <w:rsid w:val="0046729C"/>
    <w:rsid w:val="004679AE"/>
    <w:rsid w:val="0047027C"/>
    <w:rsid w:val="004706FA"/>
    <w:rsid w:val="004707A9"/>
    <w:rsid w:val="004708CD"/>
    <w:rsid w:val="00470BB1"/>
    <w:rsid w:val="00470DCA"/>
    <w:rsid w:val="004711E7"/>
    <w:rsid w:val="00471D28"/>
    <w:rsid w:val="00472695"/>
    <w:rsid w:val="004729B1"/>
    <w:rsid w:val="00472A46"/>
    <w:rsid w:val="00474587"/>
    <w:rsid w:val="0047497F"/>
    <w:rsid w:val="0047784B"/>
    <w:rsid w:val="00480288"/>
    <w:rsid w:val="004803FE"/>
    <w:rsid w:val="004809DA"/>
    <w:rsid w:val="00481EBB"/>
    <w:rsid w:val="00482021"/>
    <w:rsid w:val="00482857"/>
    <w:rsid w:val="00484701"/>
    <w:rsid w:val="00485A40"/>
    <w:rsid w:val="004861CE"/>
    <w:rsid w:val="0048683F"/>
    <w:rsid w:val="00486CA7"/>
    <w:rsid w:val="00486E0E"/>
    <w:rsid w:val="00487044"/>
    <w:rsid w:val="0048746A"/>
    <w:rsid w:val="00487A7A"/>
    <w:rsid w:val="0049095D"/>
    <w:rsid w:val="0049116F"/>
    <w:rsid w:val="0049164B"/>
    <w:rsid w:val="0049213F"/>
    <w:rsid w:val="004923C3"/>
    <w:rsid w:val="0049279B"/>
    <w:rsid w:val="004935B0"/>
    <w:rsid w:val="00494BDE"/>
    <w:rsid w:val="004953BA"/>
    <w:rsid w:val="00496184"/>
    <w:rsid w:val="00496359"/>
    <w:rsid w:val="004970A5"/>
    <w:rsid w:val="00497710"/>
    <w:rsid w:val="004979EF"/>
    <w:rsid w:val="00497F9A"/>
    <w:rsid w:val="004A0E0C"/>
    <w:rsid w:val="004A1244"/>
    <w:rsid w:val="004A1791"/>
    <w:rsid w:val="004A213A"/>
    <w:rsid w:val="004A255D"/>
    <w:rsid w:val="004A268A"/>
    <w:rsid w:val="004A2C2D"/>
    <w:rsid w:val="004A331B"/>
    <w:rsid w:val="004A3650"/>
    <w:rsid w:val="004A3C24"/>
    <w:rsid w:val="004A429A"/>
    <w:rsid w:val="004A488E"/>
    <w:rsid w:val="004A48DA"/>
    <w:rsid w:val="004A4C59"/>
    <w:rsid w:val="004A64CB"/>
    <w:rsid w:val="004A6670"/>
    <w:rsid w:val="004A69D9"/>
    <w:rsid w:val="004A6C9D"/>
    <w:rsid w:val="004A7699"/>
    <w:rsid w:val="004B0AEC"/>
    <w:rsid w:val="004B2F38"/>
    <w:rsid w:val="004B34C8"/>
    <w:rsid w:val="004B4443"/>
    <w:rsid w:val="004B584D"/>
    <w:rsid w:val="004B5E13"/>
    <w:rsid w:val="004B6564"/>
    <w:rsid w:val="004B6868"/>
    <w:rsid w:val="004B6D84"/>
    <w:rsid w:val="004C086E"/>
    <w:rsid w:val="004C0FB5"/>
    <w:rsid w:val="004C177A"/>
    <w:rsid w:val="004C17FC"/>
    <w:rsid w:val="004C21F9"/>
    <w:rsid w:val="004C2F2E"/>
    <w:rsid w:val="004C32B3"/>
    <w:rsid w:val="004C342A"/>
    <w:rsid w:val="004C3590"/>
    <w:rsid w:val="004C3BA9"/>
    <w:rsid w:val="004C3DFC"/>
    <w:rsid w:val="004C4334"/>
    <w:rsid w:val="004C4617"/>
    <w:rsid w:val="004C4855"/>
    <w:rsid w:val="004C515D"/>
    <w:rsid w:val="004C63DF"/>
    <w:rsid w:val="004C64EC"/>
    <w:rsid w:val="004C6763"/>
    <w:rsid w:val="004C6AC0"/>
    <w:rsid w:val="004C71EF"/>
    <w:rsid w:val="004C7206"/>
    <w:rsid w:val="004C73E9"/>
    <w:rsid w:val="004C7671"/>
    <w:rsid w:val="004C7AA0"/>
    <w:rsid w:val="004C7B3B"/>
    <w:rsid w:val="004C7B4E"/>
    <w:rsid w:val="004C7D2E"/>
    <w:rsid w:val="004D0099"/>
    <w:rsid w:val="004D19BD"/>
    <w:rsid w:val="004D3D71"/>
    <w:rsid w:val="004D4255"/>
    <w:rsid w:val="004D4304"/>
    <w:rsid w:val="004D518D"/>
    <w:rsid w:val="004D53E2"/>
    <w:rsid w:val="004D5F0A"/>
    <w:rsid w:val="004D65A5"/>
    <w:rsid w:val="004D666C"/>
    <w:rsid w:val="004D6926"/>
    <w:rsid w:val="004D7961"/>
    <w:rsid w:val="004E1D72"/>
    <w:rsid w:val="004E2FFF"/>
    <w:rsid w:val="004E3073"/>
    <w:rsid w:val="004E341D"/>
    <w:rsid w:val="004E368E"/>
    <w:rsid w:val="004E5176"/>
    <w:rsid w:val="004E577C"/>
    <w:rsid w:val="004E5C0D"/>
    <w:rsid w:val="004E6015"/>
    <w:rsid w:val="004E6053"/>
    <w:rsid w:val="004E6906"/>
    <w:rsid w:val="004E6DB7"/>
    <w:rsid w:val="004E6FCE"/>
    <w:rsid w:val="004E722F"/>
    <w:rsid w:val="004E78B1"/>
    <w:rsid w:val="004E7D9B"/>
    <w:rsid w:val="004F10FE"/>
    <w:rsid w:val="004F1426"/>
    <w:rsid w:val="004F1B23"/>
    <w:rsid w:val="004F29AB"/>
    <w:rsid w:val="004F2B79"/>
    <w:rsid w:val="004F2D3A"/>
    <w:rsid w:val="004F2E39"/>
    <w:rsid w:val="004F303D"/>
    <w:rsid w:val="004F3048"/>
    <w:rsid w:val="004F4C4C"/>
    <w:rsid w:val="004F4C95"/>
    <w:rsid w:val="004F4E2D"/>
    <w:rsid w:val="004F5269"/>
    <w:rsid w:val="004F5393"/>
    <w:rsid w:val="004F5679"/>
    <w:rsid w:val="004F5B19"/>
    <w:rsid w:val="004F63CC"/>
    <w:rsid w:val="004F661B"/>
    <w:rsid w:val="004F6D75"/>
    <w:rsid w:val="004F710B"/>
    <w:rsid w:val="004F7535"/>
    <w:rsid w:val="004F77AB"/>
    <w:rsid w:val="004F7CE1"/>
    <w:rsid w:val="004F7FEB"/>
    <w:rsid w:val="005000CD"/>
    <w:rsid w:val="00500617"/>
    <w:rsid w:val="0050216D"/>
    <w:rsid w:val="005025CB"/>
    <w:rsid w:val="00502B15"/>
    <w:rsid w:val="005035B7"/>
    <w:rsid w:val="0050390A"/>
    <w:rsid w:val="00503D47"/>
    <w:rsid w:val="00504544"/>
    <w:rsid w:val="00504AAE"/>
    <w:rsid w:val="00504B0D"/>
    <w:rsid w:val="0050552E"/>
    <w:rsid w:val="005062BD"/>
    <w:rsid w:val="00507427"/>
    <w:rsid w:val="0050767D"/>
    <w:rsid w:val="00510D0E"/>
    <w:rsid w:val="005116DC"/>
    <w:rsid w:val="005119C1"/>
    <w:rsid w:val="00513B83"/>
    <w:rsid w:val="00513D60"/>
    <w:rsid w:val="005142B7"/>
    <w:rsid w:val="00514B66"/>
    <w:rsid w:val="00514FF3"/>
    <w:rsid w:val="005159DA"/>
    <w:rsid w:val="00515E05"/>
    <w:rsid w:val="00516806"/>
    <w:rsid w:val="00517441"/>
    <w:rsid w:val="00517713"/>
    <w:rsid w:val="00517860"/>
    <w:rsid w:val="00517D82"/>
    <w:rsid w:val="005210FF"/>
    <w:rsid w:val="005211A9"/>
    <w:rsid w:val="00522222"/>
    <w:rsid w:val="00522289"/>
    <w:rsid w:val="005223DA"/>
    <w:rsid w:val="00522B6A"/>
    <w:rsid w:val="0052321D"/>
    <w:rsid w:val="005237D0"/>
    <w:rsid w:val="00523A37"/>
    <w:rsid w:val="00524022"/>
    <w:rsid w:val="00524050"/>
    <w:rsid w:val="005240D8"/>
    <w:rsid w:val="00524A46"/>
    <w:rsid w:val="00524DDC"/>
    <w:rsid w:val="00525003"/>
    <w:rsid w:val="00525A71"/>
    <w:rsid w:val="00526323"/>
    <w:rsid w:val="00526AEC"/>
    <w:rsid w:val="00527BAD"/>
    <w:rsid w:val="00527DD2"/>
    <w:rsid w:val="00530924"/>
    <w:rsid w:val="00530FDE"/>
    <w:rsid w:val="00532721"/>
    <w:rsid w:val="00532A24"/>
    <w:rsid w:val="00533374"/>
    <w:rsid w:val="005341CA"/>
    <w:rsid w:val="0053529B"/>
    <w:rsid w:val="005354E2"/>
    <w:rsid w:val="00535729"/>
    <w:rsid w:val="00536563"/>
    <w:rsid w:val="00536C60"/>
    <w:rsid w:val="00537424"/>
    <w:rsid w:val="00540109"/>
    <w:rsid w:val="0054147C"/>
    <w:rsid w:val="0054196D"/>
    <w:rsid w:val="00541CFE"/>
    <w:rsid w:val="00542515"/>
    <w:rsid w:val="00542BE9"/>
    <w:rsid w:val="00542E55"/>
    <w:rsid w:val="00542FB5"/>
    <w:rsid w:val="0054350F"/>
    <w:rsid w:val="005440BF"/>
    <w:rsid w:val="0054425B"/>
    <w:rsid w:val="005442A7"/>
    <w:rsid w:val="00546073"/>
    <w:rsid w:val="00546C16"/>
    <w:rsid w:val="00546C2F"/>
    <w:rsid w:val="00546E2E"/>
    <w:rsid w:val="005476CE"/>
    <w:rsid w:val="00550A4F"/>
    <w:rsid w:val="00550E15"/>
    <w:rsid w:val="00551427"/>
    <w:rsid w:val="00551663"/>
    <w:rsid w:val="00552E40"/>
    <w:rsid w:val="00552E5C"/>
    <w:rsid w:val="00554ABB"/>
    <w:rsid w:val="00556A40"/>
    <w:rsid w:val="00556C9E"/>
    <w:rsid w:val="00556F79"/>
    <w:rsid w:val="005603CE"/>
    <w:rsid w:val="00560493"/>
    <w:rsid w:val="00560CE2"/>
    <w:rsid w:val="00561FF6"/>
    <w:rsid w:val="005632BF"/>
    <w:rsid w:val="0056353E"/>
    <w:rsid w:val="00565914"/>
    <w:rsid w:val="00565B4A"/>
    <w:rsid w:val="0056631F"/>
    <w:rsid w:val="00566485"/>
    <w:rsid w:val="005667A8"/>
    <w:rsid w:val="005675FD"/>
    <w:rsid w:val="0056780A"/>
    <w:rsid w:val="00567F53"/>
    <w:rsid w:val="00570D18"/>
    <w:rsid w:val="00570D3B"/>
    <w:rsid w:val="00571021"/>
    <w:rsid w:val="00571095"/>
    <w:rsid w:val="00571260"/>
    <w:rsid w:val="005737E5"/>
    <w:rsid w:val="005738FB"/>
    <w:rsid w:val="005740D9"/>
    <w:rsid w:val="005744BA"/>
    <w:rsid w:val="0057496B"/>
    <w:rsid w:val="00574BDE"/>
    <w:rsid w:val="00575CFB"/>
    <w:rsid w:val="00576088"/>
    <w:rsid w:val="005764C2"/>
    <w:rsid w:val="00576963"/>
    <w:rsid w:val="005776D6"/>
    <w:rsid w:val="005811CD"/>
    <w:rsid w:val="00581844"/>
    <w:rsid w:val="00581BD6"/>
    <w:rsid w:val="0058282D"/>
    <w:rsid w:val="00582BAE"/>
    <w:rsid w:val="005836E1"/>
    <w:rsid w:val="00583BD7"/>
    <w:rsid w:val="0058432B"/>
    <w:rsid w:val="00584A08"/>
    <w:rsid w:val="0058570F"/>
    <w:rsid w:val="0058591B"/>
    <w:rsid w:val="005859CC"/>
    <w:rsid w:val="0058639F"/>
    <w:rsid w:val="0058693B"/>
    <w:rsid w:val="005875EE"/>
    <w:rsid w:val="00591136"/>
    <w:rsid w:val="00591DC6"/>
    <w:rsid w:val="005923ED"/>
    <w:rsid w:val="00592760"/>
    <w:rsid w:val="00592B08"/>
    <w:rsid w:val="005930BB"/>
    <w:rsid w:val="00593721"/>
    <w:rsid w:val="005937CD"/>
    <w:rsid w:val="00593A8C"/>
    <w:rsid w:val="00593D12"/>
    <w:rsid w:val="00594036"/>
    <w:rsid w:val="0059454E"/>
    <w:rsid w:val="00594832"/>
    <w:rsid w:val="005960F8"/>
    <w:rsid w:val="0059621E"/>
    <w:rsid w:val="00596945"/>
    <w:rsid w:val="005970B0"/>
    <w:rsid w:val="005A0158"/>
    <w:rsid w:val="005A06C2"/>
    <w:rsid w:val="005A06D0"/>
    <w:rsid w:val="005A0CE7"/>
    <w:rsid w:val="005A3270"/>
    <w:rsid w:val="005A4087"/>
    <w:rsid w:val="005A409A"/>
    <w:rsid w:val="005A4FA5"/>
    <w:rsid w:val="005A5194"/>
    <w:rsid w:val="005A53C6"/>
    <w:rsid w:val="005A602B"/>
    <w:rsid w:val="005A6D8A"/>
    <w:rsid w:val="005A79B4"/>
    <w:rsid w:val="005A7ED1"/>
    <w:rsid w:val="005B04D4"/>
    <w:rsid w:val="005B0CDE"/>
    <w:rsid w:val="005B0DA4"/>
    <w:rsid w:val="005B20B3"/>
    <w:rsid w:val="005B2321"/>
    <w:rsid w:val="005B2609"/>
    <w:rsid w:val="005B266D"/>
    <w:rsid w:val="005B2B4D"/>
    <w:rsid w:val="005B2FD4"/>
    <w:rsid w:val="005B3FA2"/>
    <w:rsid w:val="005B4387"/>
    <w:rsid w:val="005B4CE8"/>
    <w:rsid w:val="005B572C"/>
    <w:rsid w:val="005B5D62"/>
    <w:rsid w:val="005B71BE"/>
    <w:rsid w:val="005B7646"/>
    <w:rsid w:val="005B766A"/>
    <w:rsid w:val="005B7D29"/>
    <w:rsid w:val="005C0D71"/>
    <w:rsid w:val="005C1743"/>
    <w:rsid w:val="005C22EA"/>
    <w:rsid w:val="005C24F4"/>
    <w:rsid w:val="005C2D33"/>
    <w:rsid w:val="005C3CD0"/>
    <w:rsid w:val="005C437C"/>
    <w:rsid w:val="005C4CDC"/>
    <w:rsid w:val="005C5096"/>
    <w:rsid w:val="005C564F"/>
    <w:rsid w:val="005C5A8C"/>
    <w:rsid w:val="005C5C25"/>
    <w:rsid w:val="005C5F88"/>
    <w:rsid w:val="005C6514"/>
    <w:rsid w:val="005C654A"/>
    <w:rsid w:val="005C6D56"/>
    <w:rsid w:val="005C70F0"/>
    <w:rsid w:val="005C76A9"/>
    <w:rsid w:val="005D00EA"/>
    <w:rsid w:val="005D09D1"/>
    <w:rsid w:val="005D15CA"/>
    <w:rsid w:val="005D1A21"/>
    <w:rsid w:val="005D2C77"/>
    <w:rsid w:val="005D2F79"/>
    <w:rsid w:val="005D32AC"/>
    <w:rsid w:val="005D365B"/>
    <w:rsid w:val="005D3A15"/>
    <w:rsid w:val="005D3ADD"/>
    <w:rsid w:val="005D4546"/>
    <w:rsid w:val="005D4E12"/>
    <w:rsid w:val="005D4E97"/>
    <w:rsid w:val="005D52B0"/>
    <w:rsid w:val="005D5EAE"/>
    <w:rsid w:val="005D60B0"/>
    <w:rsid w:val="005D721B"/>
    <w:rsid w:val="005D725F"/>
    <w:rsid w:val="005D731A"/>
    <w:rsid w:val="005D7510"/>
    <w:rsid w:val="005D775F"/>
    <w:rsid w:val="005D77EF"/>
    <w:rsid w:val="005E0238"/>
    <w:rsid w:val="005E035A"/>
    <w:rsid w:val="005E0408"/>
    <w:rsid w:val="005E17BB"/>
    <w:rsid w:val="005E1B51"/>
    <w:rsid w:val="005E2BCE"/>
    <w:rsid w:val="005E2D12"/>
    <w:rsid w:val="005E3942"/>
    <w:rsid w:val="005E4423"/>
    <w:rsid w:val="005E49A8"/>
    <w:rsid w:val="005E4E7B"/>
    <w:rsid w:val="005E6E7E"/>
    <w:rsid w:val="005E73B3"/>
    <w:rsid w:val="005E74D4"/>
    <w:rsid w:val="005E7971"/>
    <w:rsid w:val="005E7B28"/>
    <w:rsid w:val="005E7D1A"/>
    <w:rsid w:val="005F00FD"/>
    <w:rsid w:val="005F15B8"/>
    <w:rsid w:val="005F2020"/>
    <w:rsid w:val="005F28EC"/>
    <w:rsid w:val="005F2CF3"/>
    <w:rsid w:val="005F2DC1"/>
    <w:rsid w:val="005F3BDA"/>
    <w:rsid w:val="005F45C5"/>
    <w:rsid w:val="005F58DB"/>
    <w:rsid w:val="005F6448"/>
    <w:rsid w:val="005F6E66"/>
    <w:rsid w:val="005F767B"/>
    <w:rsid w:val="0060018B"/>
    <w:rsid w:val="006016F0"/>
    <w:rsid w:val="00601A29"/>
    <w:rsid w:val="00601A8D"/>
    <w:rsid w:val="006022FC"/>
    <w:rsid w:val="00602BCE"/>
    <w:rsid w:val="00603363"/>
    <w:rsid w:val="0060474F"/>
    <w:rsid w:val="006047A5"/>
    <w:rsid w:val="00604C48"/>
    <w:rsid w:val="00605257"/>
    <w:rsid w:val="006053E7"/>
    <w:rsid w:val="006056F9"/>
    <w:rsid w:val="00605A91"/>
    <w:rsid w:val="00605AC5"/>
    <w:rsid w:val="00605D45"/>
    <w:rsid w:val="0060600A"/>
    <w:rsid w:val="006062BF"/>
    <w:rsid w:val="00606765"/>
    <w:rsid w:val="00606E84"/>
    <w:rsid w:val="00607158"/>
    <w:rsid w:val="00607350"/>
    <w:rsid w:val="00607559"/>
    <w:rsid w:val="00607C53"/>
    <w:rsid w:val="00607F8D"/>
    <w:rsid w:val="00610061"/>
    <w:rsid w:val="00611413"/>
    <w:rsid w:val="006128DC"/>
    <w:rsid w:val="00612F89"/>
    <w:rsid w:val="00613206"/>
    <w:rsid w:val="00613B5A"/>
    <w:rsid w:val="00613C0F"/>
    <w:rsid w:val="00613D97"/>
    <w:rsid w:val="00614333"/>
    <w:rsid w:val="006149EC"/>
    <w:rsid w:val="00614D1A"/>
    <w:rsid w:val="00615739"/>
    <w:rsid w:val="00615789"/>
    <w:rsid w:val="00615D92"/>
    <w:rsid w:val="0061623D"/>
    <w:rsid w:val="00617371"/>
    <w:rsid w:val="006206F8"/>
    <w:rsid w:val="00620A9D"/>
    <w:rsid w:val="00621056"/>
    <w:rsid w:val="00621AF0"/>
    <w:rsid w:val="00622074"/>
    <w:rsid w:val="006222F6"/>
    <w:rsid w:val="00622391"/>
    <w:rsid w:val="006223A5"/>
    <w:rsid w:val="00622CCC"/>
    <w:rsid w:val="00622D23"/>
    <w:rsid w:val="00622E11"/>
    <w:rsid w:val="00622EF4"/>
    <w:rsid w:val="006239BD"/>
    <w:rsid w:val="00623C5C"/>
    <w:rsid w:val="00623CD0"/>
    <w:rsid w:val="00623E5F"/>
    <w:rsid w:val="00623F3D"/>
    <w:rsid w:val="006242AF"/>
    <w:rsid w:val="006243ED"/>
    <w:rsid w:val="00624D34"/>
    <w:rsid w:val="00626812"/>
    <w:rsid w:val="00626EA8"/>
    <w:rsid w:val="00627875"/>
    <w:rsid w:val="00627A65"/>
    <w:rsid w:val="00627EFF"/>
    <w:rsid w:val="00630356"/>
    <w:rsid w:val="00631662"/>
    <w:rsid w:val="00632170"/>
    <w:rsid w:val="00632786"/>
    <w:rsid w:val="00632F10"/>
    <w:rsid w:val="006339A6"/>
    <w:rsid w:val="006342C2"/>
    <w:rsid w:val="00635484"/>
    <w:rsid w:val="00635B17"/>
    <w:rsid w:val="00635D3F"/>
    <w:rsid w:val="006360C8"/>
    <w:rsid w:val="0063620B"/>
    <w:rsid w:val="006365DB"/>
    <w:rsid w:val="00636C0A"/>
    <w:rsid w:val="00637369"/>
    <w:rsid w:val="006373A5"/>
    <w:rsid w:val="0063781E"/>
    <w:rsid w:val="00637DD6"/>
    <w:rsid w:val="00640A20"/>
    <w:rsid w:val="00640B27"/>
    <w:rsid w:val="0064109A"/>
    <w:rsid w:val="006410E9"/>
    <w:rsid w:val="006414F4"/>
    <w:rsid w:val="00641C08"/>
    <w:rsid w:val="00642EB0"/>
    <w:rsid w:val="00642FB4"/>
    <w:rsid w:val="00643159"/>
    <w:rsid w:val="0064324B"/>
    <w:rsid w:val="0064336E"/>
    <w:rsid w:val="00643694"/>
    <w:rsid w:val="00644C3E"/>
    <w:rsid w:val="00645325"/>
    <w:rsid w:val="006461A2"/>
    <w:rsid w:val="00646428"/>
    <w:rsid w:val="00647277"/>
    <w:rsid w:val="006472C4"/>
    <w:rsid w:val="00647450"/>
    <w:rsid w:val="00647F9A"/>
    <w:rsid w:val="0065203F"/>
    <w:rsid w:val="0065264C"/>
    <w:rsid w:val="00653298"/>
    <w:rsid w:val="00653828"/>
    <w:rsid w:val="00653B5E"/>
    <w:rsid w:val="00653BDF"/>
    <w:rsid w:val="00653D3B"/>
    <w:rsid w:val="00654513"/>
    <w:rsid w:val="00654DB2"/>
    <w:rsid w:val="00655532"/>
    <w:rsid w:val="00655BD9"/>
    <w:rsid w:val="00655E1A"/>
    <w:rsid w:val="00655EB5"/>
    <w:rsid w:val="00656000"/>
    <w:rsid w:val="006565F4"/>
    <w:rsid w:val="00657510"/>
    <w:rsid w:val="00657A81"/>
    <w:rsid w:val="00657E94"/>
    <w:rsid w:val="00660246"/>
    <w:rsid w:val="00660718"/>
    <w:rsid w:val="00660C08"/>
    <w:rsid w:val="00660C77"/>
    <w:rsid w:val="00661469"/>
    <w:rsid w:val="00661935"/>
    <w:rsid w:val="006628B1"/>
    <w:rsid w:val="006629DB"/>
    <w:rsid w:val="00663762"/>
    <w:rsid w:val="006655A0"/>
    <w:rsid w:val="00665E43"/>
    <w:rsid w:val="00666319"/>
    <w:rsid w:val="00667C57"/>
    <w:rsid w:val="00670F3B"/>
    <w:rsid w:val="00670FB5"/>
    <w:rsid w:val="00671563"/>
    <w:rsid w:val="006719E8"/>
    <w:rsid w:val="006728F4"/>
    <w:rsid w:val="006730D9"/>
    <w:rsid w:val="006731FA"/>
    <w:rsid w:val="0067322B"/>
    <w:rsid w:val="00673850"/>
    <w:rsid w:val="00673DA5"/>
    <w:rsid w:val="006740C3"/>
    <w:rsid w:val="0067498A"/>
    <w:rsid w:val="00674B72"/>
    <w:rsid w:val="00674FB4"/>
    <w:rsid w:val="00675077"/>
    <w:rsid w:val="006752CC"/>
    <w:rsid w:val="0067705D"/>
    <w:rsid w:val="00677795"/>
    <w:rsid w:val="00681168"/>
    <w:rsid w:val="00682504"/>
    <w:rsid w:val="00682700"/>
    <w:rsid w:val="00682FF3"/>
    <w:rsid w:val="006830A7"/>
    <w:rsid w:val="00683906"/>
    <w:rsid w:val="00683D78"/>
    <w:rsid w:val="00684C13"/>
    <w:rsid w:val="00684F68"/>
    <w:rsid w:val="0068589C"/>
    <w:rsid w:val="006858EA"/>
    <w:rsid w:val="00685DE3"/>
    <w:rsid w:val="00686095"/>
    <w:rsid w:val="006862B1"/>
    <w:rsid w:val="00686E6B"/>
    <w:rsid w:val="00687D68"/>
    <w:rsid w:val="0069024F"/>
    <w:rsid w:val="00690466"/>
    <w:rsid w:val="006921CE"/>
    <w:rsid w:val="006925E6"/>
    <w:rsid w:val="00693775"/>
    <w:rsid w:val="0069394D"/>
    <w:rsid w:val="006950FD"/>
    <w:rsid w:val="006952C9"/>
    <w:rsid w:val="00695401"/>
    <w:rsid w:val="00695633"/>
    <w:rsid w:val="00695C92"/>
    <w:rsid w:val="0069722F"/>
    <w:rsid w:val="006A06E2"/>
    <w:rsid w:val="006A0A61"/>
    <w:rsid w:val="006A0D3C"/>
    <w:rsid w:val="006A0F03"/>
    <w:rsid w:val="006A141C"/>
    <w:rsid w:val="006A150D"/>
    <w:rsid w:val="006A1A29"/>
    <w:rsid w:val="006A211E"/>
    <w:rsid w:val="006A23D6"/>
    <w:rsid w:val="006A29F3"/>
    <w:rsid w:val="006A2B46"/>
    <w:rsid w:val="006A4FB0"/>
    <w:rsid w:val="006A5C95"/>
    <w:rsid w:val="006A60E9"/>
    <w:rsid w:val="006A61C7"/>
    <w:rsid w:val="006A652B"/>
    <w:rsid w:val="006A6E88"/>
    <w:rsid w:val="006A72CD"/>
    <w:rsid w:val="006B01BC"/>
    <w:rsid w:val="006B020E"/>
    <w:rsid w:val="006B112B"/>
    <w:rsid w:val="006B136C"/>
    <w:rsid w:val="006B1761"/>
    <w:rsid w:val="006B1916"/>
    <w:rsid w:val="006B1FC9"/>
    <w:rsid w:val="006B2B71"/>
    <w:rsid w:val="006B4023"/>
    <w:rsid w:val="006B4D87"/>
    <w:rsid w:val="006B4EC8"/>
    <w:rsid w:val="006B5967"/>
    <w:rsid w:val="006B5E00"/>
    <w:rsid w:val="006B6DFC"/>
    <w:rsid w:val="006B72C0"/>
    <w:rsid w:val="006B7316"/>
    <w:rsid w:val="006B763E"/>
    <w:rsid w:val="006C0243"/>
    <w:rsid w:val="006C0C54"/>
    <w:rsid w:val="006C0CDE"/>
    <w:rsid w:val="006C0F43"/>
    <w:rsid w:val="006C118A"/>
    <w:rsid w:val="006C1276"/>
    <w:rsid w:val="006C17E0"/>
    <w:rsid w:val="006C1A51"/>
    <w:rsid w:val="006C1D6A"/>
    <w:rsid w:val="006C1E09"/>
    <w:rsid w:val="006C2004"/>
    <w:rsid w:val="006C2DEE"/>
    <w:rsid w:val="006C39EC"/>
    <w:rsid w:val="006C3DDE"/>
    <w:rsid w:val="006C45DA"/>
    <w:rsid w:val="006C5975"/>
    <w:rsid w:val="006C7075"/>
    <w:rsid w:val="006C7093"/>
    <w:rsid w:val="006C70F1"/>
    <w:rsid w:val="006C7A12"/>
    <w:rsid w:val="006C7D86"/>
    <w:rsid w:val="006C7DFC"/>
    <w:rsid w:val="006D0268"/>
    <w:rsid w:val="006D0957"/>
    <w:rsid w:val="006D0C3F"/>
    <w:rsid w:val="006D15F8"/>
    <w:rsid w:val="006D3559"/>
    <w:rsid w:val="006D4196"/>
    <w:rsid w:val="006D4221"/>
    <w:rsid w:val="006D43AF"/>
    <w:rsid w:val="006D442C"/>
    <w:rsid w:val="006D47DF"/>
    <w:rsid w:val="006D5814"/>
    <w:rsid w:val="006D5BA9"/>
    <w:rsid w:val="006D5F8C"/>
    <w:rsid w:val="006D6168"/>
    <w:rsid w:val="006D65F3"/>
    <w:rsid w:val="006D69CB"/>
    <w:rsid w:val="006E0D8E"/>
    <w:rsid w:val="006E0FCA"/>
    <w:rsid w:val="006E1A17"/>
    <w:rsid w:val="006E2CFE"/>
    <w:rsid w:val="006E2E0D"/>
    <w:rsid w:val="006E3229"/>
    <w:rsid w:val="006E440A"/>
    <w:rsid w:val="006E480E"/>
    <w:rsid w:val="006E4A69"/>
    <w:rsid w:val="006E517F"/>
    <w:rsid w:val="006E51BD"/>
    <w:rsid w:val="006E5EA2"/>
    <w:rsid w:val="006E66FD"/>
    <w:rsid w:val="006E6F40"/>
    <w:rsid w:val="006E7270"/>
    <w:rsid w:val="006E74E7"/>
    <w:rsid w:val="006E782F"/>
    <w:rsid w:val="006E78CD"/>
    <w:rsid w:val="006E7AB5"/>
    <w:rsid w:val="006E7C80"/>
    <w:rsid w:val="006F00EC"/>
    <w:rsid w:val="006F0F77"/>
    <w:rsid w:val="006F1187"/>
    <w:rsid w:val="006F1614"/>
    <w:rsid w:val="006F2C04"/>
    <w:rsid w:val="006F37F8"/>
    <w:rsid w:val="006F400F"/>
    <w:rsid w:val="006F4570"/>
    <w:rsid w:val="006F568A"/>
    <w:rsid w:val="006F5D9A"/>
    <w:rsid w:val="006F6B7B"/>
    <w:rsid w:val="006F7598"/>
    <w:rsid w:val="006F7B2E"/>
    <w:rsid w:val="007008F2"/>
    <w:rsid w:val="00700E77"/>
    <w:rsid w:val="007014CD"/>
    <w:rsid w:val="00701510"/>
    <w:rsid w:val="00701A26"/>
    <w:rsid w:val="007020BE"/>
    <w:rsid w:val="007026E0"/>
    <w:rsid w:val="0070294A"/>
    <w:rsid w:val="0070380E"/>
    <w:rsid w:val="00704078"/>
    <w:rsid w:val="0070424F"/>
    <w:rsid w:val="00704F2F"/>
    <w:rsid w:val="0070582B"/>
    <w:rsid w:val="00706021"/>
    <w:rsid w:val="00706D11"/>
    <w:rsid w:val="00706D91"/>
    <w:rsid w:val="0070730E"/>
    <w:rsid w:val="007075D2"/>
    <w:rsid w:val="007105CC"/>
    <w:rsid w:val="0071069D"/>
    <w:rsid w:val="00711038"/>
    <w:rsid w:val="007110E7"/>
    <w:rsid w:val="007112AA"/>
    <w:rsid w:val="007114DA"/>
    <w:rsid w:val="007120E4"/>
    <w:rsid w:val="00713D1D"/>
    <w:rsid w:val="00713E87"/>
    <w:rsid w:val="00714150"/>
    <w:rsid w:val="00714D2F"/>
    <w:rsid w:val="00714E12"/>
    <w:rsid w:val="00714F5A"/>
    <w:rsid w:val="007155B8"/>
    <w:rsid w:val="007165B9"/>
    <w:rsid w:val="007175C6"/>
    <w:rsid w:val="0072040B"/>
    <w:rsid w:val="00721095"/>
    <w:rsid w:val="00721DFF"/>
    <w:rsid w:val="0072226F"/>
    <w:rsid w:val="00722563"/>
    <w:rsid w:val="0072258C"/>
    <w:rsid w:val="00722A09"/>
    <w:rsid w:val="00722A6E"/>
    <w:rsid w:val="00723228"/>
    <w:rsid w:val="007236C1"/>
    <w:rsid w:val="00723E03"/>
    <w:rsid w:val="00724259"/>
    <w:rsid w:val="007243CB"/>
    <w:rsid w:val="00724ED9"/>
    <w:rsid w:val="00726057"/>
    <w:rsid w:val="0072645B"/>
    <w:rsid w:val="0072667C"/>
    <w:rsid w:val="00726D64"/>
    <w:rsid w:val="00727095"/>
    <w:rsid w:val="00727451"/>
    <w:rsid w:val="00727FCA"/>
    <w:rsid w:val="00730D8E"/>
    <w:rsid w:val="00730EB9"/>
    <w:rsid w:val="00731DAD"/>
    <w:rsid w:val="0073224A"/>
    <w:rsid w:val="0073282C"/>
    <w:rsid w:val="0073315D"/>
    <w:rsid w:val="00733B8B"/>
    <w:rsid w:val="00733D3F"/>
    <w:rsid w:val="00734641"/>
    <w:rsid w:val="00734C68"/>
    <w:rsid w:val="00735175"/>
    <w:rsid w:val="00735185"/>
    <w:rsid w:val="007355AF"/>
    <w:rsid w:val="00735A29"/>
    <w:rsid w:val="007362AA"/>
    <w:rsid w:val="00736348"/>
    <w:rsid w:val="00736349"/>
    <w:rsid w:val="00736BB4"/>
    <w:rsid w:val="00740055"/>
    <w:rsid w:val="00741268"/>
    <w:rsid w:val="00741A18"/>
    <w:rsid w:val="00741C19"/>
    <w:rsid w:val="00741DA8"/>
    <w:rsid w:val="00742343"/>
    <w:rsid w:val="00743D48"/>
    <w:rsid w:val="0074481A"/>
    <w:rsid w:val="007451D1"/>
    <w:rsid w:val="007452A8"/>
    <w:rsid w:val="00746F33"/>
    <w:rsid w:val="007473B1"/>
    <w:rsid w:val="0074743C"/>
    <w:rsid w:val="007477D1"/>
    <w:rsid w:val="00747C29"/>
    <w:rsid w:val="00747E5B"/>
    <w:rsid w:val="00750A7E"/>
    <w:rsid w:val="00750F22"/>
    <w:rsid w:val="007514A0"/>
    <w:rsid w:val="007514FC"/>
    <w:rsid w:val="00751517"/>
    <w:rsid w:val="007519B9"/>
    <w:rsid w:val="00751A12"/>
    <w:rsid w:val="007526A6"/>
    <w:rsid w:val="00752F4E"/>
    <w:rsid w:val="00753199"/>
    <w:rsid w:val="00753276"/>
    <w:rsid w:val="00753315"/>
    <w:rsid w:val="00753DCF"/>
    <w:rsid w:val="00754711"/>
    <w:rsid w:val="00754CD7"/>
    <w:rsid w:val="00754CFA"/>
    <w:rsid w:val="00754D9A"/>
    <w:rsid w:val="00754DAC"/>
    <w:rsid w:val="00755218"/>
    <w:rsid w:val="0075538D"/>
    <w:rsid w:val="0075635C"/>
    <w:rsid w:val="0075635E"/>
    <w:rsid w:val="00756461"/>
    <w:rsid w:val="0075656D"/>
    <w:rsid w:val="00756FA4"/>
    <w:rsid w:val="00757F49"/>
    <w:rsid w:val="007613E9"/>
    <w:rsid w:val="00761507"/>
    <w:rsid w:val="00761788"/>
    <w:rsid w:val="00761BE4"/>
    <w:rsid w:val="00761D2F"/>
    <w:rsid w:val="00761F96"/>
    <w:rsid w:val="00762CF5"/>
    <w:rsid w:val="007637B5"/>
    <w:rsid w:val="00763B9B"/>
    <w:rsid w:val="00764873"/>
    <w:rsid w:val="0076535E"/>
    <w:rsid w:val="007658FF"/>
    <w:rsid w:val="00765F95"/>
    <w:rsid w:val="007660C0"/>
    <w:rsid w:val="00766268"/>
    <w:rsid w:val="00766561"/>
    <w:rsid w:val="00766AE3"/>
    <w:rsid w:val="0076702B"/>
    <w:rsid w:val="00767954"/>
    <w:rsid w:val="0077043A"/>
    <w:rsid w:val="00770555"/>
    <w:rsid w:val="007718E3"/>
    <w:rsid w:val="007724A7"/>
    <w:rsid w:val="00772929"/>
    <w:rsid w:val="0077364E"/>
    <w:rsid w:val="00773E5E"/>
    <w:rsid w:val="00774277"/>
    <w:rsid w:val="00774D70"/>
    <w:rsid w:val="00775789"/>
    <w:rsid w:val="00776140"/>
    <w:rsid w:val="007762B6"/>
    <w:rsid w:val="00776376"/>
    <w:rsid w:val="007767CB"/>
    <w:rsid w:val="007767DF"/>
    <w:rsid w:val="00776E3D"/>
    <w:rsid w:val="007772A1"/>
    <w:rsid w:val="00777635"/>
    <w:rsid w:val="007802DE"/>
    <w:rsid w:val="00780448"/>
    <w:rsid w:val="007806BA"/>
    <w:rsid w:val="00780C76"/>
    <w:rsid w:val="00782398"/>
    <w:rsid w:val="0078240B"/>
    <w:rsid w:val="0078333C"/>
    <w:rsid w:val="0078484A"/>
    <w:rsid w:val="00786694"/>
    <w:rsid w:val="007868DF"/>
    <w:rsid w:val="00786904"/>
    <w:rsid w:val="00786E29"/>
    <w:rsid w:val="00787848"/>
    <w:rsid w:val="00787B3C"/>
    <w:rsid w:val="00790115"/>
    <w:rsid w:val="00790321"/>
    <w:rsid w:val="007918FC"/>
    <w:rsid w:val="0079193B"/>
    <w:rsid w:val="00791CE8"/>
    <w:rsid w:val="00791D8E"/>
    <w:rsid w:val="007921F4"/>
    <w:rsid w:val="0079270B"/>
    <w:rsid w:val="00792B32"/>
    <w:rsid w:val="007940FC"/>
    <w:rsid w:val="00794AE7"/>
    <w:rsid w:val="00794FA1"/>
    <w:rsid w:val="00795094"/>
    <w:rsid w:val="00795D4A"/>
    <w:rsid w:val="0079660F"/>
    <w:rsid w:val="007A02F9"/>
    <w:rsid w:val="007A0F03"/>
    <w:rsid w:val="007A0FEE"/>
    <w:rsid w:val="007A2164"/>
    <w:rsid w:val="007A25A2"/>
    <w:rsid w:val="007A2E63"/>
    <w:rsid w:val="007A398E"/>
    <w:rsid w:val="007A40ED"/>
    <w:rsid w:val="007A4654"/>
    <w:rsid w:val="007A497F"/>
    <w:rsid w:val="007A52DE"/>
    <w:rsid w:val="007A59F3"/>
    <w:rsid w:val="007A630E"/>
    <w:rsid w:val="007A6769"/>
    <w:rsid w:val="007A6CA9"/>
    <w:rsid w:val="007A713C"/>
    <w:rsid w:val="007A73A9"/>
    <w:rsid w:val="007A7939"/>
    <w:rsid w:val="007A7B28"/>
    <w:rsid w:val="007B0DEC"/>
    <w:rsid w:val="007B0EAA"/>
    <w:rsid w:val="007B0F38"/>
    <w:rsid w:val="007B1324"/>
    <w:rsid w:val="007B1CFB"/>
    <w:rsid w:val="007B1F02"/>
    <w:rsid w:val="007B2953"/>
    <w:rsid w:val="007B2E9F"/>
    <w:rsid w:val="007B3042"/>
    <w:rsid w:val="007B352B"/>
    <w:rsid w:val="007B3DE0"/>
    <w:rsid w:val="007B402C"/>
    <w:rsid w:val="007B4944"/>
    <w:rsid w:val="007B59CD"/>
    <w:rsid w:val="007B71EA"/>
    <w:rsid w:val="007B7B2D"/>
    <w:rsid w:val="007C10FE"/>
    <w:rsid w:val="007C1BEB"/>
    <w:rsid w:val="007C20CB"/>
    <w:rsid w:val="007C3927"/>
    <w:rsid w:val="007C4471"/>
    <w:rsid w:val="007C4736"/>
    <w:rsid w:val="007C488C"/>
    <w:rsid w:val="007C5A36"/>
    <w:rsid w:val="007C659D"/>
    <w:rsid w:val="007C6851"/>
    <w:rsid w:val="007C6D8A"/>
    <w:rsid w:val="007C78FA"/>
    <w:rsid w:val="007D095C"/>
    <w:rsid w:val="007D1029"/>
    <w:rsid w:val="007D1A22"/>
    <w:rsid w:val="007D1C1A"/>
    <w:rsid w:val="007D260C"/>
    <w:rsid w:val="007D2F75"/>
    <w:rsid w:val="007D3469"/>
    <w:rsid w:val="007D37D6"/>
    <w:rsid w:val="007D392B"/>
    <w:rsid w:val="007D3D2D"/>
    <w:rsid w:val="007D3F42"/>
    <w:rsid w:val="007D4360"/>
    <w:rsid w:val="007D4F61"/>
    <w:rsid w:val="007D59D1"/>
    <w:rsid w:val="007D63C1"/>
    <w:rsid w:val="007D653F"/>
    <w:rsid w:val="007D7D91"/>
    <w:rsid w:val="007E0871"/>
    <w:rsid w:val="007E0BD4"/>
    <w:rsid w:val="007E134C"/>
    <w:rsid w:val="007E13BB"/>
    <w:rsid w:val="007E147D"/>
    <w:rsid w:val="007E1CAE"/>
    <w:rsid w:val="007E1EE0"/>
    <w:rsid w:val="007E212E"/>
    <w:rsid w:val="007E258C"/>
    <w:rsid w:val="007E28CD"/>
    <w:rsid w:val="007E2F37"/>
    <w:rsid w:val="007E32B7"/>
    <w:rsid w:val="007E39BF"/>
    <w:rsid w:val="007E3F62"/>
    <w:rsid w:val="007E4E89"/>
    <w:rsid w:val="007E62AC"/>
    <w:rsid w:val="007E62EE"/>
    <w:rsid w:val="007E6EEC"/>
    <w:rsid w:val="007E70D1"/>
    <w:rsid w:val="007E7302"/>
    <w:rsid w:val="007F0424"/>
    <w:rsid w:val="007F2D88"/>
    <w:rsid w:val="007F328A"/>
    <w:rsid w:val="007F34C9"/>
    <w:rsid w:val="007F3A36"/>
    <w:rsid w:val="007F3ADD"/>
    <w:rsid w:val="007F4488"/>
    <w:rsid w:val="007F4A23"/>
    <w:rsid w:val="007F563F"/>
    <w:rsid w:val="007F6310"/>
    <w:rsid w:val="007F631C"/>
    <w:rsid w:val="007F6670"/>
    <w:rsid w:val="007F6847"/>
    <w:rsid w:val="007F7197"/>
    <w:rsid w:val="0080174E"/>
    <w:rsid w:val="00801F35"/>
    <w:rsid w:val="00802ED6"/>
    <w:rsid w:val="00803514"/>
    <w:rsid w:val="00803C0D"/>
    <w:rsid w:val="00803D49"/>
    <w:rsid w:val="00803F8F"/>
    <w:rsid w:val="0080541A"/>
    <w:rsid w:val="00805DB8"/>
    <w:rsid w:val="008069FD"/>
    <w:rsid w:val="00806CE7"/>
    <w:rsid w:val="008071CA"/>
    <w:rsid w:val="008079CA"/>
    <w:rsid w:val="008079CE"/>
    <w:rsid w:val="00807CB0"/>
    <w:rsid w:val="008101A9"/>
    <w:rsid w:val="00810468"/>
    <w:rsid w:val="00810EBF"/>
    <w:rsid w:val="008110FC"/>
    <w:rsid w:val="008112BB"/>
    <w:rsid w:val="00811D8F"/>
    <w:rsid w:val="00812594"/>
    <w:rsid w:val="00812DCD"/>
    <w:rsid w:val="00812E79"/>
    <w:rsid w:val="00812EBF"/>
    <w:rsid w:val="008135DE"/>
    <w:rsid w:val="00814589"/>
    <w:rsid w:val="0081558B"/>
    <w:rsid w:val="008157B7"/>
    <w:rsid w:val="00816076"/>
    <w:rsid w:val="00816919"/>
    <w:rsid w:val="0081778D"/>
    <w:rsid w:val="0082087B"/>
    <w:rsid w:val="00821581"/>
    <w:rsid w:val="00821DE6"/>
    <w:rsid w:val="00821E01"/>
    <w:rsid w:val="00821F9C"/>
    <w:rsid w:val="00822134"/>
    <w:rsid w:val="00823365"/>
    <w:rsid w:val="00823E6D"/>
    <w:rsid w:val="008240DF"/>
    <w:rsid w:val="008242CB"/>
    <w:rsid w:val="0082462C"/>
    <w:rsid w:val="00824ED4"/>
    <w:rsid w:val="00825022"/>
    <w:rsid w:val="00825609"/>
    <w:rsid w:val="008257FC"/>
    <w:rsid w:val="00825E39"/>
    <w:rsid w:val="008271AA"/>
    <w:rsid w:val="008271B7"/>
    <w:rsid w:val="008302D4"/>
    <w:rsid w:val="0083096A"/>
    <w:rsid w:val="00830D98"/>
    <w:rsid w:val="00830E5C"/>
    <w:rsid w:val="00833640"/>
    <w:rsid w:val="00834DD7"/>
    <w:rsid w:val="00835319"/>
    <w:rsid w:val="00835A52"/>
    <w:rsid w:val="008363B5"/>
    <w:rsid w:val="008365AA"/>
    <w:rsid w:val="00836CAD"/>
    <w:rsid w:val="00837634"/>
    <w:rsid w:val="00840320"/>
    <w:rsid w:val="008406DB"/>
    <w:rsid w:val="00840F83"/>
    <w:rsid w:val="00842747"/>
    <w:rsid w:val="00842950"/>
    <w:rsid w:val="00843593"/>
    <w:rsid w:val="00843872"/>
    <w:rsid w:val="008441D2"/>
    <w:rsid w:val="00844388"/>
    <w:rsid w:val="00844820"/>
    <w:rsid w:val="00844AA9"/>
    <w:rsid w:val="00844D3E"/>
    <w:rsid w:val="008453A6"/>
    <w:rsid w:val="00845652"/>
    <w:rsid w:val="00845720"/>
    <w:rsid w:val="008459B9"/>
    <w:rsid w:val="008460F1"/>
    <w:rsid w:val="00846166"/>
    <w:rsid w:val="00846533"/>
    <w:rsid w:val="00846CE9"/>
    <w:rsid w:val="008477BF"/>
    <w:rsid w:val="00847856"/>
    <w:rsid w:val="00847E05"/>
    <w:rsid w:val="00850095"/>
    <w:rsid w:val="008500F4"/>
    <w:rsid w:val="00850339"/>
    <w:rsid w:val="00851A1C"/>
    <w:rsid w:val="00852098"/>
    <w:rsid w:val="0085278A"/>
    <w:rsid w:val="00852D8C"/>
    <w:rsid w:val="0085364A"/>
    <w:rsid w:val="00853CEC"/>
    <w:rsid w:val="008543AA"/>
    <w:rsid w:val="00854B8C"/>
    <w:rsid w:val="0085550D"/>
    <w:rsid w:val="00855C5A"/>
    <w:rsid w:val="008568B3"/>
    <w:rsid w:val="00856E9B"/>
    <w:rsid w:val="008577F1"/>
    <w:rsid w:val="00857BC2"/>
    <w:rsid w:val="00857FEC"/>
    <w:rsid w:val="008603A6"/>
    <w:rsid w:val="008605A9"/>
    <w:rsid w:val="0086095B"/>
    <w:rsid w:val="008609C8"/>
    <w:rsid w:val="00860F11"/>
    <w:rsid w:val="008610B4"/>
    <w:rsid w:val="008613A6"/>
    <w:rsid w:val="008615E1"/>
    <w:rsid w:val="00861B67"/>
    <w:rsid w:val="008628FE"/>
    <w:rsid w:val="00862AB5"/>
    <w:rsid w:val="0086347B"/>
    <w:rsid w:val="00864ADB"/>
    <w:rsid w:val="00864CDE"/>
    <w:rsid w:val="00865421"/>
    <w:rsid w:val="00865872"/>
    <w:rsid w:val="0086688B"/>
    <w:rsid w:val="008669FD"/>
    <w:rsid w:val="00867043"/>
    <w:rsid w:val="008672F8"/>
    <w:rsid w:val="0086755F"/>
    <w:rsid w:val="00867A73"/>
    <w:rsid w:val="00870B44"/>
    <w:rsid w:val="00870DD7"/>
    <w:rsid w:val="00872926"/>
    <w:rsid w:val="00873667"/>
    <w:rsid w:val="00873BA2"/>
    <w:rsid w:val="00873D5D"/>
    <w:rsid w:val="00874309"/>
    <w:rsid w:val="00874958"/>
    <w:rsid w:val="00874FAA"/>
    <w:rsid w:val="008751EE"/>
    <w:rsid w:val="00875F46"/>
    <w:rsid w:val="00876F75"/>
    <w:rsid w:val="00877EB4"/>
    <w:rsid w:val="0088085A"/>
    <w:rsid w:val="00880DBD"/>
    <w:rsid w:val="00881474"/>
    <w:rsid w:val="00881ADA"/>
    <w:rsid w:val="00883427"/>
    <w:rsid w:val="00883AC6"/>
    <w:rsid w:val="00884437"/>
    <w:rsid w:val="0088472F"/>
    <w:rsid w:val="00884968"/>
    <w:rsid w:val="00885689"/>
    <w:rsid w:val="00885861"/>
    <w:rsid w:val="00885B43"/>
    <w:rsid w:val="00885FFF"/>
    <w:rsid w:val="00886F3B"/>
    <w:rsid w:val="008900D5"/>
    <w:rsid w:val="00891063"/>
    <w:rsid w:val="00891D88"/>
    <w:rsid w:val="00891FD9"/>
    <w:rsid w:val="00892287"/>
    <w:rsid w:val="00892EB3"/>
    <w:rsid w:val="00893666"/>
    <w:rsid w:val="008937E6"/>
    <w:rsid w:val="00894EBC"/>
    <w:rsid w:val="008955E3"/>
    <w:rsid w:val="00896C26"/>
    <w:rsid w:val="008A0657"/>
    <w:rsid w:val="008A0A02"/>
    <w:rsid w:val="008A0F6F"/>
    <w:rsid w:val="008A1738"/>
    <w:rsid w:val="008A1810"/>
    <w:rsid w:val="008A19E9"/>
    <w:rsid w:val="008A22FE"/>
    <w:rsid w:val="008A2FC1"/>
    <w:rsid w:val="008A3279"/>
    <w:rsid w:val="008A353B"/>
    <w:rsid w:val="008A4D05"/>
    <w:rsid w:val="008A5FE1"/>
    <w:rsid w:val="008A679C"/>
    <w:rsid w:val="008A699F"/>
    <w:rsid w:val="008A6CDE"/>
    <w:rsid w:val="008A789F"/>
    <w:rsid w:val="008A7999"/>
    <w:rsid w:val="008A7CBB"/>
    <w:rsid w:val="008B0BBC"/>
    <w:rsid w:val="008B0D3E"/>
    <w:rsid w:val="008B0EDA"/>
    <w:rsid w:val="008B1037"/>
    <w:rsid w:val="008B1541"/>
    <w:rsid w:val="008B1B42"/>
    <w:rsid w:val="008B2363"/>
    <w:rsid w:val="008B244B"/>
    <w:rsid w:val="008B329A"/>
    <w:rsid w:val="008B3529"/>
    <w:rsid w:val="008B3C4E"/>
    <w:rsid w:val="008B3FB5"/>
    <w:rsid w:val="008B45D9"/>
    <w:rsid w:val="008B47D5"/>
    <w:rsid w:val="008B510C"/>
    <w:rsid w:val="008B52D3"/>
    <w:rsid w:val="008B5737"/>
    <w:rsid w:val="008B5D5C"/>
    <w:rsid w:val="008B5F20"/>
    <w:rsid w:val="008C087D"/>
    <w:rsid w:val="008C0B82"/>
    <w:rsid w:val="008C1874"/>
    <w:rsid w:val="008C1A77"/>
    <w:rsid w:val="008C35D7"/>
    <w:rsid w:val="008C3BB5"/>
    <w:rsid w:val="008C3C46"/>
    <w:rsid w:val="008C4248"/>
    <w:rsid w:val="008C5B00"/>
    <w:rsid w:val="008C5D22"/>
    <w:rsid w:val="008C6A5F"/>
    <w:rsid w:val="008C7655"/>
    <w:rsid w:val="008C79E5"/>
    <w:rsid w:val="008C7D10"/>
    <w:rsid w:val="008D0930"/>
    <w:rsid w:val="008D0AF8"/>
    <w:rsid w:val="008D1338"/>
    <w:rsid w:val="008D2A8F"/>
    <w:rsid w:val="008D3811"/>
    <w:rsid w:val="008D3A59"/>
    <w:rsid w:val="008D52CE"/>
    <w:rsid w:val="008D5518"/>
    <w:rsid w:val="008D6179"/>
    <w:rsid w:val="008D7EDC"/>
    <w:rsid w:val="008E0E72"/>
    <w:rsid w:val="008E0FC4"/>
    <w:rsid w:val="008E13C9"/>
    <w:rsid w:val="008E148D"/>
    <w:rsid w:val="008E1720"/>
    <w:rsid w:val="008E2B51"/>
    <w:rsid w:val="008E3E7B"/>
    <w:rsid w:val="008E48A5"/>
    <w:rsid w:val="008E48D5"/>
    <w:rsid w:val="008E49B7"/>
    <w:rsid w:val="008E4EC5"/>
    <w:rsid w:val="008E52B8"/>
    <w:rsid w:val="008E574B"/>
    <w:rsid w:val="008E57CF"/>
    <w:rsid w:val="008E584B"/>
    <w:rsid w:val="008E5BA9"/>
    <w:rsid w:val="008E6C15"/>
    <w:rsid w:val="008E76DA"/>
    <w:rsid w:val="008E79CF"/>
    <w:rsid w:val="008F0C38"/>
    <w:rsid w:val="008F1277"/>
    <w:rsid w:val="008F243F"/>
    <w:rsid w:val="008F3B10"/>
    <w:rsid w:val="008F3FDA"/>
    <w:rsid w:val="008F428A"/>
    <w:rsid w:val="008F4693"/>
    <w:rsid w:val="008F474B"/>
    <w:rsid w:val="008F49E6"/>
    <w:rsid w:val="008F4EE1"/>
    <w:rsid w:val="008F514C"/>
    <w:rsid w:val="008F5912"/>
    <w:rsid w:val="008F5D8A"/>
    <w:rsid w:val="008F6157"/>
    <w:rsid w:val="008F6266"/>
    <w:rsid w:val="008F6600"/>
    <w:rsid w:val="008F6ABE"/>
    <w:rsid w:val="008F6B6E"/>
    <w:rsid w:val="008F7684"/>
    <w:rsid w:val="0090050E"/>
    <w:rsid w:val="00900AE5"/>
    <w:rsid w:val="00901016"/>
    <w:rsid w:val="0090179F"/>
    <w:rsid w:val="00901E13"/>
    <w:rsid w:val="00902EDC"/>
    <w:rsid w:val="00903180"/>
    <w:rsid w:val="009033F5"/>
    <w:rsid w:val="00903735"/>
    <w:rsid w:val="0090499E"/>
    <w:rsid w:val="00906A8C"/>
    <w:rsid w:val="0091061A"/>
    <w:rsid w:val="009108BD"/>
    <w:rsid w:val="00910976"/>
    <w:rsid w:val="0091107F"/>
    <w:rsid w:val="00913700"/>
    <w:rsid w:val="00913CF8"/>
    <w:rsid w:val="00913DCA"/>
    <w:rsid w:val="00914C3A"/>
    <w:rsid w:val="009166A2"/>
    <w:rsid w:val="00916B7D"/>
    <w:rsid w:val="0091712D"/>
    <w:rsid w:val="009176CD"/>
    <w:rsid w:val="009201AC"/>
    <w:rsid w:val="0092068A"/>
    <w:rsid w:val="00920788"/>
    <w:rsid w:val="00920C66"/>
    <w:rsid w:val="00920EA2"/>
    <w:rsid w:val="00920F97"/>
    <w:rsid w:val="009212A8"/>
    <w:rsid w:val="009216F6"/>
    <w:rsid w:val="0092186F"/>
    <w:rsid w:val="009218B7"/>
    <w:rsid w:val="00921F6E"/>
    <w:rsid w:val="009221FD"/>
    <w:rsid w:val="0092310D"/>
    <w:rsid w:val="009236E6"/>
    <w:rsid w:val="0092445A"/>
    <w:rsid w:val="00924951"/>
    <w:rsid w:val="0092535B"/>
    <w:rsid w:val="00925ED8"/>
    <w:rsid w:val="009262DE"/>
    <w:rsid w:val="00927E37"/>
    <w:rsid w:val="009306EC"/>
    <w:rsid w:val="00930AEE"/>
    <w:rsid w:val="00930E8B"/>
    <w:rsid w:val="00932895"/>
    <w:rsid w:val="00933533"/>
    <w:rsid w:val="00933B6D"/>
    <w:rsid w:val="009342BE"/>
    <w:rsid w:val="00934557"/>
    <w:rsid w:val="009346F2"/>
    <w:rsid w:val="00934BF7"/>
    <w:rsid w:val="00934CA6"/>
    <w:rsid w:val="00934F1A"/>
    <w:rsid w:val="009367D8"/>
    <w:rsid w:val="0093750C"/>
    <w:rsid w:val="00940094"/>
    <w:rsid w:val="009415E3"/>
    <w:rsid w:val="009417ED"/>
    <w:rsid w:val="00941CC0"/>
    <w:rsid w:val="00942783"/>
    <w:rsid w:val="00942856"/>
    <w:rsid w:val="00942A66"/>
    <w:rsid w:val="0094347F"/>
    <w:rsid w:val="0094397A"/>
    <w:rsid w:val="00943996"/>
    <w:rsid w:val="009446F6"/>
    <w:rsid w:val="0094612D"/>
    <w:rsid w:val="00946403"/>
    <w:rsid w:val="009467C5"/>
    <w:rsid w:val="00946813"/>
    <w:rsid w:val="00946F27"/>
    <w:rsid w:val="00947933"/>
    <w:rsid w:val="00947C86"/>
    <w:rsid w:val="00951190"/>
    <w:rsid w:val="00951B12"/>
    <w:rsid w:val="0095267D"/>
    <w:rsid w:val="00952D44"/>
    <w:rsid w:val="00952D90"/>
    <w:rsid w:val="00953E8C"/>
    <w:rsid w:val="00954A66"/>
    <w:rsid w:val="00954DFD"/>
    <w:rsid w:val="0095526E"/>
    <w:rsid w:val="0095542C"/>
    <w:rsid w:val="00955F10"/>
    <w:rsid w:val="009562B0"/>
    <w:rsid w:val="009563B7"/>
    <w:rsid w:val="00956412"/>
    <w:rsid w:val="00956AA6"/>
    <w:rsid w:val="00956D85"/>
    <w:rsid w:val="00957201"/>
    <w:rsid w:val="00957460"/>
    <w:rsid w:val="00957B25"/>
    <w:rsid w:val="009605B4"/>
    <w:rsid w:val="00960D0C"/>
    <w:rsid w:val="00960F17"/>
    <w:rsid w:val="00961319"/>
    <w:rsid w:val="00961560"/>
    <w:rsid w:val="00961A1E"/>
    <w:rsid w:val="00961E01"/>
    <w:rsid w:val="00962065"/>
    <w:rsid w:val="009620BE"/>
    <w:rsid w:val="00962115"/>
    <w:rsid w:val="00962700"/>
    <w:rsid w:val="009632CB"/>
    <w:rsid w:val="00963903"/>
    <w:rsid w:val="00964046"/>
    <w:rsid w:val="009646E1"/>
    <w:rsid w:val="00965AEA"/>
    <w:rsid w:val="00966A59"/>
    <w:rsid w:val="00966BAE"/>
    <w:rsid w:val="0097071C"/>
    <w:rsid w:val="009709D3"/>
    <w:rsid w:val="009714E6"/>
    <w:rsid w:val="00972871"/>
    <w:rsid w:val="00973494"/>
    <w:rsid w:val="0097386B"/>
    <w:rsid w:val="00973A94"/>
    <w:rsid w:val="00973F2F"/>
    <w:rsid w:val="00974844"/>
    <w:rsid w:val="009748C1"/>
    <w:rsid w:val="00974A9A"/>
    <w:rsid w:val="0097512F"/>
    <w:rsid w:val="00975131"/>
    <w:rsid w:val="009758F9"/>
    <w:rsid w:val="00975922"/>
    <w:rsid w:val="009764FA"/>
    <w:rsid w:val="00976B10"/>
    <w:rsid w:val="00976B5C"/>
    <w:rsid w:val="00977474"/>
    <w:rsid w:val="00977B50"/>
    <w:rsid w:val="00980A68"/>
    <w:rsid w:val="009811AE"/>
    <w:rsid w:val="00983214"/>
    <w:rsid w:val="00983422"/>
    <w:rsid w:val="009840B8"/>
    <w:rsid w:val="0098444D"/>
    <w:rsid w:val="00984E27"/>
    <w:rsid w:val="00985437"/>
    <w:rsid w:val="00985738"/>
    <w:rsid w:val="0098579A"/>
    <w:rsid w:val="009864BD"/>
    <w:rsid w:val="00986778"/>
    <w:rsid w:val="00986FBB"/>
    <w:rsid w:val="00987967"/>
    <w:rsid w:val="00987B1E"/>
    <w:rsid w:val="00990137"/>
    <w:rsid w:val="009903CC"/>
    <w:rsid w:val="009914BB"/>
    <w:rsid w:val="009918AA"/>
    <w:rsid w:val="009919FE"/>
    <w:rsid w:val="0099353A"/>
    <w:rsid w:val="00993C7B"/>
    <w:rsid w:val="00993E22"/>
    <w:rsid w:val="009946F8"/>
    <w:rsid w:val="00995270"/>
    <w:rsid w:val="0099598F"/>
    <w:rsid w:val="00995D53"/>
    <w:rsid w:val="00995FA2"/>
    <w:rsid w:val="00996345"/>
    <w:rsid w:val="009966D4"/>
    <w:rsid w:val="00997816"/>
    <w:rsid w:val="009A06D3"/>
    <w:rsid w:val="009A1ECF"/>
    <w:rsid w:val="009A1FD2"/>
    <w:rsid w:val="009A2C75"/>
    <w:rsid w:val="009A318F"/>
    <w:rsid w:val="009A4505"/>
    <w:rsid w:val="009A45E6"/>
    <w:rsid w:val="009A4922"/>
    <w:rsid w:val="009A4D36"/>
    <w:rsid w:val="009A504C"/>
    <w:rsid w:val="009A5F9B"/>
    <w:rsid w:val="009A60CF"/>
    <w:rsid w:val="009A6304"/>
    <w:rsid w:val="009A6A37"/>
    <w:rsid w:val="009A70A6"/>
    <w:rsid w:val="009A75CC"/>
    <w:rsid w:val="009B0A44"/>
    <w:rsid w:val="009B12F5"/>
    <w:rsid w:val="009B1A6C"/>
    <w:rsid w:val="009B5063"/>
    <w:rsid w:val="009B50A7"/>
    <w:rsid w:val="009B5281"/>
    <w:rsid w:val="009B7496"/>
    <w:rsid w:val="009B7598"/>
    <w:rsid w:val="009C040D"/>
    <w:rsid w:val="009C0DA0"/>
    <w:rsid w:val="009C1239"/>
    <w:rsid w:val="009C23F9"/>
    <w:rsid w:val="009C2594"/>
    <w:rsid w:val="009C3C24"/>
    <w:rsid w:val="009C3FE4"/>
    <w:rsid w:val="009C4911"/>
    <w:rsid w:val="009C4F07"/>
    <w:rsid w:val="009C5104"/>
    <w:rsid w:val="009C59F3"/>
    <w:rsid w:val="009C71BF"/>
    <w:rsid w:val="009C7C32"/>
    <w:rsid w:val="009D00DA"/>
    <w:rsid w:val="009D091B"/>
    <w:rsid w:val="009D0D06"/>
    <w:rsid w:val="009D0DA9"/>
    <w:rsid w:val="009D0E2F"/>
    <w:rsid w:val="009D142B"/>
    <w:rsid w:val="009D1850"/>
    <w:rsid w:val="009D31DB"/>
    <w:rsid w:val="009D3BB6"/>
    <w:rsid w:val="009D493C"/>
    <w:rsid w:val="009D5BDC"/>
    <w:rsid w:val="009D63F1"/>
    <w:rsid w:val="009D6582"/>
    <w:rsid w:val="009D6E52"/>
    <w:rsid w:val="009D7AA2"/>
    <w:rsid w:val="009E03C5"/>
    <w:rsid w:val="009E08A5"/>
    <w:rsid w:val="009E1E61"/>
    <w:rsid w:val="009E2230"/>
    <w:rsid w:val="009E4492"/>
    <w:rsid w:val="009E531A"/>
    <w:rsid w:val="009E5362"/>
    <w:rsid w:val="009E5DBB"/>
    <w:rsid w:val="009E6441"/>
    <w:rsid w:val="009E6A00"/>
    <w:rsid w:val="009E7918"/>
    <w:rsid w:val="009E7E5D"/>
    <w:rsid w:val="009F0328"/>
    <w:rsid w:val="009F0602"/>
    <w:rsid w:val="009F0829"/>
    <w:rsid w:val="009F2578"/>
    <w:rsid w:val="009F260A"/>
    <w:rsid w:val="009F2D30"/>
    <w:rsid w:val="009F303C"/>
    <w:rsid w:val="009F33C3"/>
    <w:rsid w:val="009F3562"/>
    <w:rsid w:val="009F4912"/>
    <w:rsid w:val="009F49B4"/>
    <w:rsid w:val="009F5102"/>
    <w:rsid w:val="009F5585"/>
    <w:rsid w:val="009F6C6B"/>
    <w:rsid w:val="009F7350"/>
    <w:rsid w:val="009F76C6"/>
    <w:rsid w:val="00A00A61"/>
    <w:rsid w:val="00A00EAC"/>
    <w:rsid w:val="00A01CF4"/>
    <w:rsid w:val="00A035D8"/>
    <w:rsid w:val="00A04CEF"/>
    <w:rsid w:val="00A0537B"/>
    <w:rsid w:val="00A06D52"/>
    <w:rsid w:val="00A06F5A"/>
    <w:rsid w:val="00A07623"/>
    <w:rsid w:val="00A07A33"/>
    <w:rsid w:val="00A07F0E"/>
    <w:rsid w:val="00A10541"/>
    <w:rsid w:val="00A10BB7"/>
    <w:rsid w:val="00A111C6"/>
    <w:rsid w:val="00A11AE1"/>
    <w:rsid w:val="00A11E14"/>
    <w:rsid w:val="00A124B4"/>
    <w:rsid w:val="00A125F7"/>
    <w:rsid w:val="00A12E5A"/>
    <w:rsid w:val="00A130B2"/>
    <w:rsid w:val="00A13673"/>
    <w:rsid w:val="00A1398D"/>
    <w:rsid w:val="00A13B8E"/>
    <w:rsid w:val="00A14AC8"/>
    <w:rsid w:val="00A1568C"/>
    <w:rsid w:val="00A15CED"/>
    <w:rsid w:val="00A166FE"/>
    <w:rsid w:val="00A17250"/>
    <w:rsid w:val="00A17A20"/>
    <w:rsid w:val="00A17CB9"/>
    <w:rsid w:val="00A17F30"/>
    <w:rsid w:val="00A20462"/>
    <w:rsid w:val="00A20583"/>
    <w:rsid w:val="00A20CE7"/>
    <w:rsid w:val="00A214A7"/>
    <w:rsid w:val="00A21E19"/>
    <w:rsid w:val="00A21E8D"/>
    <w:rsid w:val="00A22214"/>
    <w:rsid w:val="00A23961"/>
    <w:rsid w:val="00A23B08"/>
    <w:rsid w:val="00A23F5E"/>
    <w:rsid w:val="00A2440D"/>
    <w:rsid w:val="00A248A3"/>
    <w:rsid w:val="00A25EC6"/>
    <w:rsid w:val="00A26BCA"/>
    <w:rsid w:val="00A27019"/>
    <w:rsid w:val="00A27FB0"/>
    <w:rsid w:val="00A301C2"/>
    <w:rsid w:val="00A308B5"/>
    <w:rsid w:val="00A31282"/>
    <w:rsid w:val="00A318B3"/>
    <w:rsid w:val="00A31CD4"/>
    <w:rsid w:val="00A31F86"/>
    <w:rsid w:val="00A32CCE"/>
    <w:rsid w:val="00A33835"/>
    <w:rsid w:val="00A339AD"/>
    <w:rsid w:val="00A339F0"/>
    <w:rsid w:val="00A33BF4"/>
    <w:rsid w:val="00A33D0D"/>
    <w:rsid w:val="00A33DD4"/>
    <w:rsid w:val="00A341EE"/>
    <w:rsid w:val="00A34367"/>
    <w:rsid w:val="00A3498B"/>
    <w:rsid w:val="00A35706"/>
    <w:rsid w:val="00A360AC"/>
    <w:rsid w:val="00A36463"/>
    <w:rsid w:val="00A37CEA"/>
    <w:rsid w:val="00A4071D"/>
    <w:rsid w:val="00A40979"/>
    <w:rsid w:val="00A43415"/>
    <w:rsid w:val="00A43A63"/>
    <w:rsid w:val="00A44605"/>
    <w:rsid w:val="00A44A94"/>
    <w:rsid w:val="00A44B29"/>
    <w:rsid w:val="00A450BC"/>
    <w:rsid w:val="00A45161"/>
    <w:rsid w:val="00A452D1"/>
    <w:rsid w:val="00A45486"/>
    <w:rsid w:val="00A45824"/>
    <w:rsid w:val="00A45A61"/>
    <w:rsid w:val="00A46D0C"/>
    <w:rsid w:val="00A46ED8"/>
    <w:rsid w:val="00A47151"/>
    <w:rsid w:val="00A501F1"/>
    <w:rsid w:val="00A50537"/>
    <w:rsid w:val="00A50BC3"/>
    <w:rsid w:val="00A50CF6"/>
    <w:rsid w:val="00A51180"/>
    <w:rsid w:val="00A514B5"/>
    <w:rsid w:val="00A516FD"/>
    <w:rsid w:val="00A5224D"/>
    <w:rsid w:val="00A52763"/>
    <w:rsid w:val="00A52A4B"/>
    <w:rsid w:val="00A52C6F"/>
    <w:rsid w:val="00A53ADC"/>
    <w:rsid w:val="00A54A57"/>
    <w:rsid w:val="00A55D7C"/>
    <w:rsid w:val="00A56594"/>
    <w:rsid w:val="00A5687C"/>
    <w:rsid w:val="00A56A88"/>
    <w:rsid w:val="00A56CD7"/>
    <w:rsid w:val="00A56F20"/>
    <w:rsid w:val="00A57474"/>
    <w:rsid w:val="00A574E9"/>
    <w:rsid w:val="00A57B7C"/>
    <w:rsid w:val="00A602E1"/>
    <w:rsid w:val="00A60386"/>
    <w:rsid w:val="00A6062B"/>
    <w:rsid w:val="00A60FB7"/>
    <w:rsid w:val="00A615E2"/>
    <w:rsid w:val="00A62E77"/>
    <w:rsid w:val="00A64DE3"/>
    <w:rsid w:val="00A6531E"/>
    <w:rsid w:val="00A658BE"/>
    <w:rsid w:val="00A66CD5"/>
    <w:rsid w:val="00A6705F"/>
    <w:rsid w:val="00A670C5"/>
    <w:rsid w:val="00A670D0"/>
    <w:rsid w:val="00A67397"/>
    <w:rsid w:val="00A67B32"/>
    <w:rsid w:val="00A700A6"/>
    <w:rsid w:val="00A709EF"/>
    <w:rsid w:val="00A72316"/>
    <w:rsid w:val="00A75D84"/>
    <w:rsid w:val="00A76284"/>
    <w:rsid w:val="00A76BFB"/>
    <w:rsid w:val="00A76D89"/>
    <w:rsid w:val="00A76F78"/>
    <w:rsid w:val="00A77296"/>
    <w:rsid w:val="00A772E5"/>
    <w:rsid w:val="00A81D53"/>
    <w:rsid w:val="00A82711"/>
    <w:rsid w:val="00A82A0B"/>
    <w:rsid w:val="00A847DA"/>
    <w:rsid w:val="00A84A8F"/>
    <w:rsid w:val="00A85AF7"/>
    <w:rsid w:val="00A86157"/>
    <w:rsid w:val="00A865B4"/>
    <w:rsid w:val="00A877F7"/>
    <w:rsid w:val="00A878E4"/>
    <w:rsid w:val="00A90265"/>
    <w:rsid w:val="00A90639"/>
    <w:rsid w:val="00A90B6C"/>
    <w:rsid w:val="00A90BA1"/>
    <w:rsid w:val="00A916C4"/>
    <w:rsid w:val="00A91CA5"/>
    <w:rsid w:val="00A92A97"/>
    <w:rsid w:val="00A935BF"/>
    <w:rsid w:val="00A93643"/>
    <w:rsid w:val="00A95634"/>
    <w:rsid w:val="00A95673"/>
    <w:rsid w:val="00A96AB0"/>
    <w:rsid w:val="00A96F57"/>
    <w:rsid w:val="00A972B5"/>
    <w:rsid w:val="00A9763F"/>
    <w:rsid w:val="00A976C5"/>
    <w:rsid w:val="00A978DD"/>
    <w:rsid w:val="00A97E48"/>
    <w:rsid w:val="00AA073E"/>
    <w:rsid w:val="00AA0870"/>
    <w:rsid w:val="00AA0A76"/>
    <w:rsid w:val="00AA102C"/>
    <w:rsid w:val="00AA1140"/>
    <w:rsid w:val="00AA1173"/>
    <w:rsid w:val="00AA1FA3"/>
    <w:rsid w:val="00AA24C1"/>
    <w:rsid w:val="00AA2564"/>
    <w:rsid w:val="00AA2710"/>
    <w:rsid w:val="00AA3485"/>
    <w:rsid w:val="00AA409E"/>
    <w:rsid w:val="00AA40DE"/>
    <w:rsid w:val="00AA4652"/>
    <w:rsid w:val="00AA4795"/>
    <w:rsid w:val="00AA52A7"/>
    <w:rsid w:val="00AA57DC"/>
    <w:rsid w:val="00AA5A04"/>
    <w:rsid w:val="00AA5D3D"/>
    <w:rsid w:val="00AA7476"/>
    <w:rsid w:val="00AA765D"/>
    <w:rsid w:val="00AA7B48"/>
    <w:rsid w:val="00AA7BB9"/>
    <w:rsid w:val="00AB0335"/>
    <w:rsid w:val="00AB0B14"/>
    <w:rsid w:val="00AB0C16"/>
    <w:rsid w:val="00AB0CC2"/>
    <w:rsid w:val="00AB1170"/>
    <w:rsid w:val="00AB1EEB"/>
    <w:rsid w:val="00AB24C3"/>
    <w:rsid w:val="00AB3490"/>
    <w:rsid w:val="00AB3A2A"/>
    <w:rsid w:val="00AB3B48"/>
    <w:rsid w:val="00AB3D3C"/>
    <w:rsid w:val="00AB3FF3"/>
    <w:rsid w:val="00AB402A"/>
    <w:rsid w:val="00AB64AB"/>
    <w:rsid w:val="00AB6528"/>
    <w:rsid w:val="00AB6F84"/>
    <w:rsid w:val="00AB71FD"/>
    <w:rsid w:val="00AB77BB"/>
    <w:rsid w:val="00AC041C"/>
    <w:rsid w:val="00AC061B"/>
    <w:rsid w:val="00AC1024"/>
    <w:rsid w:val="00AC1736"/>
    <w:rsid w:val="00AC1BEF"/>
    <w:rsid w:val="00AC1D17"/>
    <w:rsid w:val="00AC2481"/>
    <w:rsid w:val="00AC3628"/>
    <w:rsid w:val="00AC3F25"/>
    <w:rsid w:val="00AC4717"/>
    <w:rsid w:val="00AC4725"/>
    <w:rsid w:val="00AC5AF4"/>
    <w:rsid w:val="00AC5C62"/>
    <w:rsid w:val="00AC5FA3"/>
    <w:rsid w:val="00AC6099"/>
    <w:rsid w:val="00AC69AE"/>
    <w:rsid w:val="00AC75D6"/>
    <w:rsid w:val="00AC77D9"/>
    <w:rsid w:val="00AC79F2"/>
    <w:rsid w:val="00AD1100"/>
    <w:rsid w:val="00AD1F54"/>
    <w:rsid w:val="00AD208E"/>
    <w:rsid w:val="00AD2272"/>
    <w:rsid w:val="00AD2750"/>
    <w:rsid w:val="00AD2F77"/>
    <w:rsid w:val="00AD3EAA"/>
    <w:rsid w:val="00AD45FB"/>
    <w:rsid w:val="00AD4C45"/>
    <w:rsid w:val="00AD5012"/>
    <w:rsid w:val="00AD505F"/>
    <w:rsid w:val="00AD5160"/>
    <w:rsid w:val="00AD5690"/>
    <w:rsid w:val="00AD5BA3"/>
    <w:rsid w:val="00AD6CA9"/>
    <w:rsid w:val="00AD7283"/>
    <w:rsid w:val="00AD7C4B"/>
    <w:rsid w:val="00AE0505"/>
    <w:rsid w:val="00AE09C2"/>
    <w:rsid w:val="00AE0D5F"/>
    <w:rsid w:val="00AE1D97"/>
    <w:rsid w:val="00AE1E65"/>
    <w:rsid w:val="00AE21E5"/>
    <w:rsid w:val="00AE25FE"/>
    <w:rsid w:val="00AE2A18"/>
    <w:rsid w:val="00AE2B79"/>
    <w:rsid w:val="00AE2C5E"/>
    <w:rsid w:val="00AE324E"/>
    <w:rsid w:val="00AE35FA"/>
    <w:rsid w:val="00AE424B"/>
    <w:rsid w:val="00AE5540"/>
    <w:rsid w:val="00AE5C76"/>
    <w:rsid w:val="00AE6570"/>
    <w:rsid w:val="00AE678B"/>
    <w:rsid w:val="00AE6E51"/>
    <w:rsid w:val="00AF020C"/>
    <w:rsid w:val="00AF22F8"/>
    <w:rsid w:val="00AF26A9"/>
    <w:rsid w:val="00AF27D8"/>
    <w:rsid w:val="00AF35AD"/>
    <w:rsid w:val="00AF58B0"/>
    <w:rsid w:val="00AF6B62"/>
    <w:rsid w:val="00AF6CE4"/>
    <w:rsid w:val="00AF77A6"/>
    <w:rsid w:val="00AF78B3"/>
    <w:rsid w:val="00AF7C87"/>
    <w:rsid w:val="00B00406"/>
    <w:rsid w:val="00B00B26"/>
    <w:rsid w:val="00B012AA"/>
    <w:rsid w:val="00B012E0"/>
    <w:rsid w:val="00B01DA7"/>
    <w:rsid w:val="00B01DBE"/>
    <w:rsid w:val="00B0238B"/>
    <w:rsid w:val="00B0244A"/>
    <w:rsid w:val="00B03DA4"/>
    <w:rsid w:val="00B04195"/>
    <w:rsid w:val="00B05695"/>
    <w:rsid w:val="00B0574F"/>
    <w:rsid w:val="00B061AD"/>
    <w:rsid w:val="00B074AB"/>
    <w:rsid w:val="00B0778D"/>
    <w:rsid w:val="00B07F14"/>
    <w:rsid w:val="00B10054"/>
    <w:rsid w:val="00B10CA0"/>
    <w:rsid w:val="00B11383"/>
    <w:rsid w:val="00B117D0"/>
    <w:rsid w:val="00B1245D"/>
    <w:rsid w:val="00B12591"/>
    <w:rsid w:val="00B1349B"/>
    <w:rsid w:val="00B136C1"/>
    <w:rsid w:val="00B137A7"/>
    <w:rsid w:val="00B14800"/>
    <w:rsid w:val="00B150BB"/>
    <w:rsid w:val="00B1536B"/>
    <w:rsid w:val="00B16DF8"/>
    <w:rsid w:val="00B17614"/>
    <w:rsid w:val="00B20F68"/>
    <w:rsid w:val="00B2272A"/>
    <w:rsid w:val="00B2378A"/>
    <w:rsid w:val="00B237B3"/>
    <w:rsid w:val="00B2409F"/>
    <w:rsid w:val="00B24E06"/>
    <w:rsid w:val="00B25222"/>
    <w:rsid w:val="00B252ED"/>
    <w:rsid w:val="00B256D2"/>
    <w:rsid w:val="00B25878"/>
    <w:rsid w:val="00B25C68"/>
    <w:rsid w:val="00B261D0"/>
    <w:rsid w:val="00B26D83"/>
    <w:rsid w:val="00B27609"/>
    <w:rsid w:val="00B27781"/>
    <w:rsid w:val="00B27C52"/>
    <w:rsid w:val="00B30091"/>
    <w:rsid w:val="00B3053E"/>
    <w:rsid w:val="00B30CA9"/>
    <w:rsid w:val="00B31A85"/>
    <w:rsid w:val="00B31BE8"/>
    <w:rsid w:val="00B31C4A"/>
    <w:rsid w:val="00B31E97"/>
    <w:rsid w:val="00B340F3"/>
    <w:rsid w:val="00B3496D"/>
    <w:rsid w:val="00B34A41"/>
    <w:rsid w:val="00B35099"/>
    <w:rsid w:val="00B357BF"/>
    <w:rsid w:val="00B36451"/>
    <w:rsid w:val="00B36D82"/>
    <w:rsid w:val="00B37FB4"/>
    <w:rsid w:val="00B406B8"/>
    <w:rsid w:val="00B40B92"/>
    <w:rsid w:val="00B40C36"/>
    <w:rsid w:val="00B42A26"/>
    <w:rsid w:val="00B43369"/>
    <w:rsid w:val="00B43580"/>
    <w:rsid w:val="00B436C9"/>
    <w:rsid w:val="00B44C33"/>
    <w:rsid w:val="00B44FE0"/>
    <w:rsid w:val="00B4549E"/>
    <w:rsid w:val="00B45803"/>
    <w:rsid w:val="00B4659E"/>
    <w:rsid w:val="00B46B43"/>
    <w:rsid w:val="00B4702C"/>
    <w:rsid w:val="00B4737A"/>
    <w:rsid w:val="00B47422"/>
    <w:rsid w:val="00B479EC"/>
    <w:rsid w:val="00B47FC6"/>
    <w:rsid w:val="00B50559"/>
    <w:rsid w:val="00B5056B"/>
    <w:rsid w:val="00B50BF3"/>
    <w:rsid w:val="00B52341"/>
    <w:rsid w:val="00B52637"/>
    <w:rsid w:val="00B52B40"/>
    <w:rsid w:val="00B52C4A"/>
    <w:rsid w:val="00B52D8E"/>
    <w:rsid w:val="00B533EE"/>
    <w:rsid w:val="00B53992"/>
    <w:rsid w:val="00B53C9A"/>
    <w:rsid w:val="00B53D8A"/>
    <w:rsid w:val="00B54137"/>
    <w:rsid w:val="00B54511"/>
    <w:rsid w:val="00B55672"/>
    <w:rsid w:val="00B56029"/>
    <w:rsid w:val="00B563F5"/>
    <w:rsid w:val="00B5689A"/>
    <w:rsid w:val="00B57FAA"/>
    <w:rsid w:val="00B60CF8"/>
    <w:rsid w:val="00B618E3"/>
    <w:rsid w:val="00B62595"/>
    <w:rsid w:val="00B62D36"/>
    <w:rsid w:val="00B634F0"/>
    <w:rsid w:val="00B64A0D"/>
    <w:rsid w:val="00B6535B"/>
    <w:rsid w:val="00B66DE8"/>
    <w:rsid w:val="00B672CD"/>
    <w:rsid w:val="00B67421"/>
    <w:rsid w:val="00B67C7A"/>
    <w:rsid w:val="00B70167"/>
    <w:rsid w:val="00B7063E"/>
    <w:rsid w:val="00B71004"/>
    <w:rsid w:val="00B7119D"/>
    <w:rsid w:val="00B71554"/>
    <w:rsid w:val="00B7289D"/>
    <w:rsid w:val="00B7374C"/>
    <w:rsid w:val="00B73AB7"/>
    <w:rsid w:val="00B73AC0"/>
    <w:rsid w:val="00B74678"/>
    <w:rsid w:val="00B749E3"/>
    <w:rsid w:val="00B75114"/>
    <w:rsid w:val="00B75595"/>
    <w:rsid w:val="00B761E5"/>
    <w:rsid w:val="00B77237"/>
    <w:rsid w:val="00B77D2E"/>
    <w:rsid w:val="00B80371"/>
    <w:rsid w:val="00B80742"/>
    <w:rsid w:val="00B8164C"/>
    <w:rsid w:val="00B81F25"/>
    <w:rsid w:val="00B821B9"/>
    <w:rsid w:val="00B824DF"/>
    <w:rsid w:val="00B832C3"/>
    <w:rsid w:val="00B833A6"/>
    <w:rsid w:val="00B83A22"/>
    <w:rsid w:val="00B83FF2"/>
    <w:rsid w:val="00B84900"/>
    <w:rsid w:val="00B84ECB"/>
    <w:rsid w:val="00B85A14"/>
    <w:rsid w:val="00B86DF7"/>
    <w:rsid w:val="00B87FB7"/>
    <w:rsid w:val="00B90580"/>
    <w:rsid w:val="00B9073D"/>
    <w:rsid w:val="00B921EC"/>
    <w:rsid w:val="00B92223"/>
    <w:rsid w:val="00B9241C"/>
    <w:rsid w:val="00B924EC"/>
    <w:rsid w:val="00B9369B"/>
    <w:rsid w:val="00B9436B"/>
    <w:rsid w:val="00B95B5C"/>
    <w:rsid w:val="00B96A6F"/>
    <w:rsid w:val="00B97407"/>
    <w:rsid w:val="00B979AA"/>
    <w:rsid w:val="00BA0763"/>
    <w:rsid w:val="00BA1EC4"/>
    <w:rsid w:val="00BA3120"/>
    <w:rsid w:val="00BA366B"/>
    <w:rsid w:val="00BA4D01"/>
    <w:rsid w:val="00BA4E6A"/>
    <w:rsid w:val="00BA4E7B"/>
    <w:rsid w:val="00BA4FCA"/>
    <w:rsid w:val="00BA5B66"/>
    <w:rsid w:val="00BA72AA"/>
    <w:rsid w:val="00BB06F5"/>
    <w:rsid w:val="00BB0907"/>
    <w:rsid w:val="00BB0E53"/>
    <w:rsid w:val="00BB2145"/>
    <w:rsid w:val="00BB2716"/>
    <w:rsid w:val="00BB3121"/>
    <w:rsid w:val="00BB3507"/>
    <w:rsid w:val="00BB3650"/>
    <w:rsid w:val="00BB3B5E"/>
    <w:rsid w:val="00BB3D08"/>
    <w:rsid w:val="00BB409F"/>
    <w:rsid w:val="00BB4F60"/>
    <w:rsid w:val="00BB5838"/>
    <w:rsid w:val="00BB5C77"/>
    <w:rsid w:val="00BB6221"/>
    <w:rsid w:val="00BB720A"/>
    <w:rsid w:val="00BB7AA4"/>
    <w:rsid w:val="00BC03D3"/>
    <w:rsid w:val="00BC0550"/>
    <w:rsid w:val="00BC0720"/>
    <w:rsid w:val="00BC0F80"/>
    <w:rsid w:val="00BC1083"/>
    <w:rsid w:val="00BC136D"/>
    <w:rsid w:val="00BC14EC"/>
    <w:rsid w:val="00BC2368"/>
    <w:rsid w:val="00BC26D0"/>
    <w:rsid w:val="00BC3718"/>
    <w:rsid w:val="00BC3888"/>
    <w:rsid w:val="00BC49D5"/>
    <w:rsid w:val="00BC50F1"/>
    <w:rsid w:val="00BC578F"/>
    <w:rsid w:val="00BC5F05"/>
    <w:rsid w:val="00BC652C"/>
    <w:rsid w:val="00BC69B1"/>
    <w:rsid w:val="00BC7309"/>
    <w:rsid w:val="00BC789E"/>
    <w:rsid w:val="00BC7AD3"/>
    <w:rsid w:val="00BC7E7D"/>
    <w:rsid w:val="00BC7EC2"/>
    <w:rsid w:val="00BD045D"/>
    <w:rsid w:val="00BD09AA"/>
    <w:rsid w:val="00BD0BEE"/>
    <w:rsid w:val="00BD0F2F"/>
    <w:rsid w:val="00BD32AA"/>
    <w:rsid w:val="00BD3800"/>
    <w:rsid w:val="00BD38DC"/>
    <w:rsid w:val="00BD39CA"/>
    <w:rsid w:val="00BD3B44"/>
    <w:rsid w:val="00BD3CFA"/>
    <w:rsid w:val="00BD4488"/>
    <w:rsid w:val="00BD557A"/>
    <w:rsid w:val="00BD55DA"/>
    <w:rsid w:val="00BD5A34"/>
    <w:rsid w:val="00BD6ABC"/>
    <w:rsid w:val="00BD6C70"/>
    <w:rsid w:val="00BD6F41"/>
    <w:rsid w:val="00BD7728"/>
    <w:rsid w:val="00BD7D9B"/>
    <w:rsid w:val="00BE04E7"/>
    <w:rsid w:val="00BE0AF6"/>
    <w:rsid w:val="00BE0F0B"/>
    <w:rsid w:val="00BE1CB8"/>
    <w:rsid w:val="00BE1DC8"/>
    <w:rsid w:val="00BE229D"/>
    <w:rsid w:val="00BE2B76"/>
    <w:rsid w:val="00BE2F83"/>
    <w:rsid w:val="00BE38B1"/>
    <w:rsid w:val="00BE3C34"/>
    <w:rsid w:val="00BE4BE3"/>
    <w:rsid w:val="00BE4EFF"/>
    <w:rsid w:val="00BE5BCB"/>
    <w:rsid w:val="00BE6609"/>
    <w:rsid w:val="00BE6796"/>
    <w:rsid w:val="00BE6D8B"/>
    <w:rsid w:val="00BF036E"/>
    <w:rsid w:val="00BF0B16"/>
    <w:rsid w:val="00BF0E1F"/>
    <w:rsid w:val="00BF0ED6"/>
    <w:rsid w:val="00BF156A"/>
    <w:rsid w:val="00BF1ADC"/>
    <w:rsid w:val="00BF2178"/>
    <w:rsid w:val="00BF25C1"/>
    <w:rsid w:val="00BF26FC"/>
    <w:rsid w:val="00BF2EB2"/>
    <w:rsid w:val="00BF3D84"/>
    <w:rsid w:val="00BF3EB6"/>
    <w:rsid w:val="00BF4368"/>
    <w:rsid w:val="00BF53E3"/>
    <w:rsid w:val="00BF566F"/>
    <w:rsid w:val="00BF5A8B"/>
    <w:rsid w:val="00BF5B74"/>
    <w:rsid w:val="00BF6E75"/>
    <w:rsid w:val="00BF73AD"/>
    <w:rsid w:val="00BF7CC3"/>
    <w:rsid w:val="00C00091"/>
    <w:rsid w:val="00C00122"/>
    <w:rsid w:val="00C00623"/>
    <w:rsid w:val="00C01CBF"/>
    <w:rsid w:val="00C01DA1"/>
    <w:rsid w:val="00C01EE7"/>
    <w:rsid w:val="00C029E6"/>
    <w:rsid w:val="00C0374E"/>
    <w:rsid w:val="00C03DA6"/>
    <w:rsid w:val="00C040C6"/>
    <w:rsid w:val="00C04622"/>
    <w:rsid w:val="00C05342"/>
    <w:rsid w:val="00C05477"/>
    <w:rsid w:val="00C06322"/>
    <w:rsid w:val="00C06955"/>
    <w:rsid w:val="00C06BA1"/>
    <w:rsid w:val="00C074C4"/>
    <w:rsid w:val="00C11312"/>
    <w:rsid w:val="00C11318"/>
    <w:rsid w:val="00C115EF"/>
    <w:rsid w:val="00C1245F"/>
    <w:rsid w:val="00C12553"/>
    <w:rsid w:val="00C129CE"/>
    <w:rsid w:val="00C13D3D"/>
    <w:rsid w:val="00C15F83"/>
    <w:rsid w:val="00C161C5"/>
    <w:rsid w:val="00C2025F"/>
    <w:rsid w:val="00C2069C"/>
    <w:rsid w:val="00C2079D"/>
    <w:rsid w:val="00C209B4"/>
    <w:rsid w:val="00C20B0D"/>
    <w:rsid w:val="00C2240F"/>
    <w:rsid w:val="00C227D9"/>
    <w:rsid w:val="00C231DC"/>
    <w:rsid w:val="00C233C7"/>
    <w:rsid w:val="00C23504"/>
    <w:rsid w:val="00C238A8"/>
    <w:rsid w:val="00C23930"/>
    <w:rsid w:val="00C242B9"/>
    <w:rsid w:val="00C243EB"/>
    <w:rsid w:val="00C24DEA"/>
    <w:rsid w:val="00C255DD"/>
    <w:rsid w:val="00C25D37"/>
    <w:rsid w:val="00C25DF3"/>
    <w:rsid w:val="00C26900"/>
    <w:rsid w:val="00C27079"/>
    <w:rsid w:val="00C27B56"/>
    <w:rsid w:val="00C30832"/>
    <w:rsid w:val="00C31206"/>
    <w:rsid w:val="00C32563"/>
    <w:rsid w:val="00C333AA"/>
    <w:rsid w:val="00C346C1"/>
    <w:rsid w:val="00C34B00"/>
    <w:rsid w:val="00C34D60"/>
    <w:rsid w:val="00C34E1A"/>
    <w:rsid w:val="00C37DFB"/>
    <w:rsid w:val="00C419A2"/>
    <w:rsid w:val="00C41D0F"/>
    <w:rsid w:val="00C42A09"/>
    <w:rsid w:val="00C42CB8"/>
    <w:rsid w:val="00C432CD"/>
    <w:rsid w:val="00C43776"/>
    <w:rsid w:val="00C43A68"/>
    <w:rsid w:val="00C4474B"/>
    <w:rsid w:val="00C44A1D"/>
    <w:rsid w:val="00C44D4D"/>
    <w:rsid w:val="00C44ED8"/>
    <w:rsid w:val="00C45715"/>
    <w:rsid w:val="00C45B05"/>
    <w:rsid w:val="00C45BE1"/>
    <w:rsid w:val="00C45E76"/>
    <w:rsid w:val="00C46519"/>
    <w:rsid w:val="00C4737E"/>
    <w:rsid w:val="00C4755C"/>
    <w:rsid w:val="00C502A7"/>
    <w:rsid w:val="00C50BC0"/>
    <w:rsid w:val="00C51A64"/>
    <w:rsid w:val="00C52016"/>
    <w:rsid w:val="00C523C0"/>
    <w:rsid w:val="00C5249A"/>
    <w:rsid w:val="00C52AD6"/>
    <w:rsid w:val="00C531E9"/>
    <w:rsid w:val="00C5551F"/>
    <w:rsid w:val="00C5568A"/>
    <w:rsid w:val="00C56188"/>
    <w:rsid w:val="00C569C3"/>
    <w:rsid w:val="00C56BC6"/>
    <w:rsid w:val="00C56E00"/>
    <w:rsid w:val="00C571C2"/>
    <w:rsid w:val="00C576F9"/>
    <w:rsid w:val="00C577C9"/>
    <w:rsid w:val="00C602F6"/>
    <w:rsid w:val="00C60F17"/>
    <w:rsid w:val="00C61728"/>
    <w:rsid w:val="00C6177B"/>
    <w:rsid w:val="00C6188D"/>
    <w:rsid w:val="00C61C93"/>
    <w:rsid w:val="00C63071"/>
    <w:rsid w:val="00C63AD6"/>
    <w:rsid w:val="00C63C0C"/>
    <w:rsid w:val="00C63E37"/>
    <w:rsid w:val="00C64472"/>
    <w:rsid w:val="00C648AA"/>
    <w:rsid w:val="00C651BD"/>
    <w:rsid w:val="00C65A97"/>
    <w:rsid w:val="00C65ED6"/>
    <w:rsid w:val="00C66BCB"/>
    <w:rsid w:val="00C67784"/>
    <w:rsid w:val="00C7257F"/>
    <w:rsid w:val="00C72607"/>
    <w:rsid w:val="00C736B1"/>
    <w:rsid w:val="00C74677"/>
    <w:rsid w:val="00C74743"/>
    <w:rsid w:val="00C74A13"/>
    <w:rsid w:val="00C75A59"/>
    <w:rsid w:val="00C7656D"/>
    <w:rsid w:val="00C765DE"/>
    <w:rsid w:val="00C770AF"/>
    <w:rsid w:val="00C77259"/>
    <w:rsid w:val="00C772BD"/>
    <w:rsid w:val="00C80BF5"/>
    <w:rsid w:val="00C80E73"/>
    <w:rsid w:val="00C8222F"/>
    <w:rsid w:val="00C82C5E"/>
    <w:rsid w:val="00C8308D"/>
    <w:rsid w:val="00C838A0"/>
    <w:rsid w:val="00C83E64"/>
    <w:rsid w:val="00C842AD"/>
    <w:rsid w:val="00C84546"/>
    <w:rsid w:val="00C85AE3"/>
    <w:rsid w:val="00C8671D"/>
    <w:rsid w:val="00C86C73"/>
    <w:rsid w:val="00C87C66"/>
    <w:rsid w:val="00C90072"/>
    <w:rsid w:val="00C9013D"/>
    <w:rsid w:val="00C9113F"/>
    <w:rsid w:val="00C91657"/>
    <w:rsid w:val="00C91D12"/>
    <w:rsid w:val="00C9235C"/>
    <w:rsid w:val="00C92F06"/>
    <w:rsid w:val="00C92F8B"/>
    <w:rsid w:val="00C93890"/>
    <w:rsid w:val="00C938E5"/>
    <w:rsid w:val="00C9703A"/>
    <w:rsid w:val="00C97B23"/>
    <w:rsid w:val="00C97F48"/>
    <w:rsid w:val="00CA00E4"/>
    <w:rsid w:val="00CA15BC"/>
    <w:rsid w:val="00CA166D"/>
    <w:rsid w:val="00CA29DE"/>
    <w:rsid w:val="00CA301C"/>
    <w:rsid w:val="00CA3D08"/>
    <w:rsid w:val="00CA41A7"/>
    <w:rsid w:val="00CA42C4"/>
    <w:rsid w:val="00CA5250"/>
    <w:rsid w:val="00CA54A0"/>
    <w:rsid w:val="00CA6A88"/>
    <w:rsid w:val="00CA7B27"/>
    <w:rsid w:val="00CB036B"/>
    <w:rsid w:val="00CB07B4"/>
    <w:rsid w:val="00CB0A4F"/>
    <w:rsid w:val="00CB0D9A"/>
    <w:rsid w:val="00CB202B"/>
    <w:rsid w:val="00CB224E"/>
    <w:rsid w:val="00CB2876"/>
    <w:rsid w:val="00CB3896"/>
    <w:rsid w:val="00CB4FAB"/>
    <w:rsid w:val="00CB559B"/>
    <w:rsid w:val="00CB5682"/>
    <w:rsid w:val="00CB7BE9"/>
    <w:rsid w:val="00CB7CAE"/>
    <w:rsid w:val="00CB7EF7"/>
    <w:rsid w:val="00CC0953"/>
    <w:rsid w:val="00CC0D39"/>
    <w:rsid w:val="00CC0F5D"/>
    <w:rsid w:val="00CC16F1"/>
    <w:rsid w:val="00CC1CED"/>
    <w:rsid w:val="00CC1FA8"/>
    <w:rsid w:val="00CC2083"/>
    <w:rsid w:val="00CC20CB"/>
    <w:rsid w:val="00CC21CA"/>
    <w:rsid w:val="00CC2263"/>
    <w:rsid w:val="00CC2CD3"/>
    <w:rsid w:val="00CC41E3"/>
    <w:rsid w:val="00CC430C"/>
    <w:rsid w:val="00CC4F5B"/>
    <w:rsid w:val="00CC529F"/>
    <w:rsid w:val="00CC52CA"/>
    <w:rsid w:val="00CC56C2"/>
    <w:rsid w:val="00CC577B"/>
    <w:rsid w:val="00CC57BE"/>
    <w:rsid w:val="00CC59A4"/>
    <w:rsid w:val="00CC5B27"/>
    <w:rsid w:val="00CC5FEF"/>
    <w:rsid w:val="00CC6DE8"/>
    <w:rsid w:val="00CC7144"/>
    <w:rsid w:val="00CD10AE"/>
    <w:rsid w:val="00CD1AAA"/>
    <w:rsid w:val="00CD2BBC"/>
    <w:rsid w:val="00CD3A6E"/>
    <w:rsid w:val="00CD3B7B"/>
    <w:rsid w:val="00CD4B5F"/>
    <w:rsid w:val="00CD53C9"/>
    <w:rsid w:val="00CD6C43"/>
    <w:rsid w:val="00CD71DB"/>
    <w:rsid w:val="00CD7DC7"/>
    <w:rsid w:val="00CE1533"/>
    <w:rsid w:val="00CE26CC"/>
    <w:rsid w:val="00CE28B1"/>
    <w:rsid w:val="00CE2D82"/>
    <w:rsid w:val="00CE3C68"/>
    <w:rsid w:val="00CE3F3F"/>
    <w:rsid w:val="00CE3F54"/>
    <w:rsid w:val="00CE563E"/>
    <w:rsid w:val="00CE5DBC"/>
    <w:rsid w:val="00CE5FCA"/>
    <w:rsid w:val="00CE6426"/>
    <w:rsid w:val="00CE695D"/>
    <w:rsid w:val="00CE6D0D"/>
    <w:rsid w:val="00CE70DE"/>
    <w:rsid w:val="00CE743F"/>
    <w:rsid w:val="00CE7B02"/>
    <w:rsid w:val="00CF0908"/>
    <w:rsid w:val="00CF0F5C"/>
    <w:rsid w:val="00CF1057"/>
    <w:rsid w:val="00CF27A3"/>
    <w:rsid w:val="00CF2DE5"/>
    <w:rsid w:val="00CF2ECE"/>
    <w:rsid w:val="00CF371F"/>
    <w:rsid w:val="00CF389C"/>
    <w:rsid w:val="00CF39FC"/>
    <w:rsid w:val="00CF3F3E"/>
    <w:rsid w:val="00CF4B1C"/>
    <w:rsid w:val="00CF56F8"/>
    <w:rsid w:val="00CF5848"/>
    <w:rsid w:val="00CF5AB6"/>
    <w:rsid w:val="00CF5E6D"/>
    <w:rsid w:val="00CF709F"/>
    <w:rsid w:val="00CF7253"/>
    <w:rsid w:val="00CF751E"/>
    <w:rsid w:val="00CF7B09"/>
    <w:rsid w:val="00CF7B0D"/>
    <w:rsid w:val="00D00221"/>
    <w:rsid w:val="00D002F8"/>
    <w:rsid w:val="00D00AE8"/>
    <w:rsid w:val="00D011A1"/>
    <w:rsid w:val="00D020BA"/>
    <w:rsid w:val="00D02784"/>
    <w:rsid w:val="00D02B5B"/>
    <w:rsid w:val="00D03047"/>
    <w:rsid w:val="00D03570"/>
    <w:rsid w:val="00D04259"/>
    <w:rsid w:val="00D04A9D"/>
    <w:rsid w:val="00D04FB9"/>
    <w:rsid w:val="00D05273"/>
    <w:rsid w:val="00D05487"/>
    <w:rsid w:val="00D0548D"/>
    <w:rsid w:val="00D05FBD"/>
    <w:rsid w:val="00D06589"/>
    <w:rsid w:val="00D07482"/>
    <w:rsid w:val="00D0760A"/>
    <w:rsid w:val="00D07CD7"/>
    <w:rsid w:val="00D07F04"/>
    <w:rsid w:val="00D10494"/>
    <w:rsid w:val="00D1136F"/>
    <w:rsid w:val="00D11595"/>
    <w:rsid w:val="00D1221C"/>
    <w:rsid w:val="00D12917"/>
    <w:rsid w:val="00D12E87"/>
    <w:rsid w:val="00D1335C"/>
    <w:rsid w:val="00D14098"/>
    <w:rsid w:val="00D1474D"/>
    <w:rsid w:val="00D14D36"/>
    <w:rsid w:val="00D15004"/>
    <w:rsid w:val="00D1513B"/>
    <w:rsid w:val="00D152B2"/>
    <w:rsid w:val="00D15C3A"/>
    <w:rsid w:val="00D15E75"/>
    <w:rsid w:val="00D15F7D"/>
    <w:rsid w:val="00D1689F"/>
    <w:rsid w:val="00D16A90"/>
    <w:rsid w:val="00D16FDA"/>
    <w:rsid w:val="00D17A62"/>
    <w:rsid w:val="00D17A68"/>
    <w:rsid w:val="00D20230"/>
    <w:rsid w:val="00D20336"/>
    <w:rsid w:val="00D204CD"/>
    <w:rsid w:val="00D204D3"/>
    <w:rsid w:val="00D209D6"/>
    <w:rsid w:val="00D21460"/>
    <w:rsid w:val="00D2158E"/>
    <w:rsid w:val="00D218B9"/>
    <w:rsid w:val="00D2286D"/>
    <w:rsid w:val="00D23282"/>
    <w:rsid w:val="00D233E6"/>
    <w:rsid w:val="00D23722"/>
    <w:rsid w:val="00D23767"/>
    <w:rsid w:val="00D2517B"/>
    <w:rsid w:val="00D26349"/>
    <w:rsid w:val="00D269EE"/>
    <w:rsid w:val="00D270F5"/>
    <w:rsid w:val="00D27681"/>
    <w:rsid w:val="00D27B17"/>
    <w:rsid w:val="00D30288"/>
    <w:rsid w:val="00D30F0B"/>
    <w:rsid w:val="00D31001"/>
    <w:rsid w:val="00D32552"/>
    <w:rsid w:val="00D32AA8"/>
    <w:rsid w:val="00D32B7D"/>
    <w:rsid w:val="00D33A01"/>
    <w:rsid w:val="00D34276"/>
    <w:rsid w:val="00D343DC"/>
    <w:rsid w:val="00D34AA3"/>
    <w:rsid w:val="00D34E30"/>
    <w:rsid w:val="00D35087"/>
    <w:rsid w:val="00D3561C"/>
    <w:rsid w:val="00D3612F"/>
    <w:rsid w:val="00D3630F"/>
    <w:rsid w:val="00D369B1"/>
    <w:rsid w:val="00D36C58"/>
    <w:rsid w:val="00D37AD9"/>
    <w:rsid w:val="00D4042A"/>
    <w:rsid w:val="00D407A5"/>
    <w:rsid w:val="00D4094A"/>
    <w:rsid w:val="00D4143D"/>
    <w:rsid w:val="00D41C1D"/>
    <w:rsid w:val="00D42BAF"/>
    <w:rsid w:val="00D42F58"/>
    <w:rsid w:val="00D43494"/>
    <w:rsid w:val="00D4395B"/>
    <w:rsid w:val="00D43C50"/>
    <w:rsid w:val="00D43CC1"/>
    <w:rsid w:val="00D4406E"/>
    <w:rsid w:val="00D44467"/>
    <w:rsid w:val="00D4491C"/>
    <w:rsid w:val="00D45B59"/>
    <w:rsid w:val="00D462B1"/>
    <w:rsid w:val="00D47019"/>
    <w:rsid w:val="00D47275"/>
    <w:rsid w:val="00D47B08"/>
    <w:rsid w:val="00D5056B"/>
    <w:rsid w:val="00D51011"/>
    <w:rsid w:val="00D51673"/>
    <w:rsid w:val="00D51981"/>
    <w:rsid w:val="00D51BF7"/>
    <w:rsid w:val="00D52520"/>
    <w:rsid w:val="00D52AEF"/>
    <w:rsid w:val="00D52FE0"/>
    <w:rsid w:val="00D53392"/>
    <w:rsid w:val="00D536BE"/>
    <w:rsid w:val="00D53BD3"/>
    <w:rsid w:val="00D53D05"/>
    <w:rsid w:val="00D54E1D"/>
    <w:rsid w:val="00D56B4D"/>
    <w:rsid w:val="00D570DB"/>
    <w:rsid w:val="00D57C24"/>
    <w:rsid w:val="00D57FD9"/>
    <w:rsid w:val="00D60994"/>
    <w:rsid w:val="00D609EE"/>
    <w:rsid w:val="00D60BBE"/>
    <w:rsid w:val="00D60FCD"/>
    <w:rsid w:val="00D6252D"/>
    <w:rsid w:val="00D6280F"/>
    <w:rsid w:val="00D63607"/>
    <w:rsid w:val="00D6462F"/>
    <w:rsid w:val="00D647A2"/>
    <w:rsid w:val="00D64911"/>
    <w:rsid w:val="00D64A4E"/>
    <w:rsid w:val="00D64B3A"/>
    <w:rsid w:val="00D6509F"/>
    <w:rsid w:val="00D6533F"/>
    <w:rsid w:val="00D65F7A"/>
    <w:rsid w:val="00D6675C"/>
    <w:rsid w:val="00D66A94"/>
    <w:rsid w:val="00D66DE5"/>
    <w:rsid w:val="00D67527"/>
    <w:rsid w:val="00D67B44"/>
    <w:rsid w:val="00D7011A"/>
    <w:rsid w:val="00D705A9"/>
    <w:rsid w:val="00D70742"/>
    <w:rsid w:val="00D714F1"/>
    <w:rsid w:val="00D71B36"/>
    <w:rsid w:val="00D72549"/>
    <w:rsid w:val="00D725A5"/>
    <w:rsid w:val="00D727A5"/>
    <w:rsid w:val="00D731E9"/>
    <w:rsid w:val="00D73752"/>
    <w:rsid w:val="00D73C13"/>
    <w:rsid w:val="00D74CE0"/>
    <w:rsid w:val="00D7511B"/>
    <w:rsid w:val="00D751F6"/>
    <w:rsid w:val="00D7588A"/>
    <w:rsid w:val="00D76F9F"/>
    <w:rsid w:val="00D77685"/>
    <w:rsid w:val="00D77702"/>
    <w:rsid w:val="00D80664"/>
    <w:rsid w:val="00D8092E"/>
    <w:rsid w:val="00D80C9A"/>
    <w:rsid w:val="00D80D38"/>
    <w:rsid w:val="00D81151"/>
    <w:rsid w:val="00D812EE"/>
    <w:rsid w:val="00D819D0"/>
    <w:rsid w:val="00D81ED1"/>
    <w:rsid w:val="00D820CB"/>
    <w:rsid w:val="00D82D67"/>
    <w:rsid w:val="00D83DFD"/>
    <w:rsid w:val="00D845AE"/>
    <w:rsid w:val="00D85F7F"/>
    <w:rsid w:val="00D86895"/>
    <w:rsid w:val="00D8703F"/>
    <w:rsid w:val="00D87577"/>
    <w:rsid w:val="00D90974"/>
    <w:rsid w:val="00D90995"/>
    <w:rsid w:val="00D91472"/>
    <w:rsid w:val="00D91AFB"/>
    <w:rsid w:val="00D91B8C"/>
    <w:rsid w:val="00D91D89"/>
    <w:rsid w:val="00D924AF"/>
    <w:rsid w:val="00D92B91"/>
    <w:rsid w:val="00D92CB3"/>
    <w:rsid w:val="00D9303F"/>
    <w:rsid w:val="00D93745"/>
    <w:rsid w:val="00D9542C"/>
    <w:rsid w:val="00D95C80"/>
    <w:rsid w:val="00D9787B"/>
    <w:rsid w:val="00D978DE"/>
    <w:rsid w:val="00DA040A"/>
    <w:rsid w:val="00DA047C"/>
    <w:rsid w:val="00DA0933"/>
    <w:rsid w:val="00DA2A50"/>
    <w:rsid w:val="00DA2E09"/>
    <w:rsid w:val="00DA3754"/>
    <w:rsid w:val="00DA3B9A"/>
    <w:rsid w:val="00DA3D05"/>
    <w:rsid w:val="00DA45AF"/>
    <w:rsid w:val="00DA4629"/>
    <w:rsid w:val="00DA4A31"/>
    <w:rsid w:val="00DA4A55"/>
    <w:rsid w:val="00DA4B30"/>
    <w:rsid w:val="00DA5346"/>
    <w:rsid w:val="00DA6A0B"/>
    <w:rsid w:val="00DA6A8E"/>
    <w:rsid w:val="00DA6E8F"/>
    <w:rsid w:val="00DA750E"/>
    <w:rsid w:val="00DA7946"/>
    <w:rsid w:val="00DB034E"/>
    <w:rsid w:val="00DB0E58"/>
    <w:rsid w:val="00DB111D"/>
    <w:rsid w:val="00DB15CF"/>
    <w:rsid w:val="00DB1B64"/>
    <w:rsid w:val="00DB1E98"/>
    <w:rsid w:val="00DB31B8"/>
    <w:rsid w:val="00DB3B0D"/>
    <w:rsid w:val="00DB3C8E"/>
    <w:rsid w:val="00DB45BB"/>
    <w:rsid w:val="00DB4A66"/>
    <w:rsid w:val="00DB4D35"/>
    <w:rsid w:val="00DB5005"/>
    <w:rsid w:val="00DB5721"/>
    <w:rsid w:val="00DB5B64"/>
    <w:rsid w:val="00DB6D6D"/>
    <w:rsid w:val="00DB7840"/>
    <w:rsid w:val="00DB7986"/>
    <w:rsid w:val="00DB7DD1"/>
    <w:rsid w:val="00DC013F"/>
    <w:rsid w:val="00DC0148"/>
    <w:rsid w:val="00DC0B98"/>
    <w:rsid w:val="00DC10A1"/>
    <w:rsid w:val="00DC146D"/>
    <w:rsid w:val="00DC1F57"/>
    <w:rsid w:val="00DC2A21"/>
    <w:rsid w:val="00DC2A25"/>
    <w:rsid w:val="00DC4C1B"/>
    <w:rsid w:val="00DC7005"/>
    <w:rsid w:val="00DC7706"/>
    <w:rsid w:val="00DC78AB"/>
    <w:rsid w:val="00DC7BB6"/>
    <w:rsid w:val="00DD04E9"/>
    <w:rsid w:val="00DD054B"/>
    <w:rsid w:val="00DD065A"/>
    <w:rsid w:val="00DD0A87"/>
    <w:rsid w:val="00DD0C6A"/>
    <w:rsid w:val="00DD0EE4"/>
    <w:rsid w:val="00DD11B9"/>
    <w:rsid w:val="00DD1B0E"/>
    <w:rsid w:val="00DD282D"/>
    <w:rsid w:val="00DD296B"/>
    <w:rsid w:val="00DD3B9F"/>
    <w:rsid w:val="00DD3DE5"/>
    <w:rsid w:val="00DD4A24"/>
    <w:rsid w:val="00DD55C9"/>
    <w:rsid w:val="00DD58F6"/>
    <w:rsid w:val="00DD5E08"/>
    <w:rsid w:val="00DD61DE"/>
    <w:rsid w:val="00DD646E"/>
    <w:rsid w:val="00DE0742"/>
    <w:rsid w:val="00DE0E21"/>
    <w:rsid w:val="00DE0E98"/>
    <w:rsid w:val="00DE1030"/>
    <w:rsid w:val="00DE18A4"/>
    <w:rsid w:val="00DE1B38"/>
    <w:rsid w:val="00DE25E0"/>
    <w:rsid w:val="00DE2DEA"/>
    <w:rsid w:val="00DE3D32"/>
    <w:rsid w:val="00DE44F8"/>
    <w:rsid w:val="00DE4805"/>
    <w:rsid w:val="00DE4B60"/>
    <w:rsid w:val="00DE4D7B"/>
    <w:rsid w:val="00DE5AA7"/>
    <w:rsid w:val="00DE61D8"/>
    <w:rsid w:val="00DE6551"/>
    <w:rsid w:val="00DE6A1B"/>
    <w:rsid w:val="00DE72BD"/>
    <w:rsid w:val="00DE7641"/>
    <w:rsid w:val="00DF047F"/>
    <w:rsid w:val="00DF0E7C"/>
    <w:rsid w:val="00DF1423"/>
    <w:rsid w:val="00DF1C87"/>
    <w:rsid w:val="00DF1D17"/>
    <w:rsid w:val="00DF21B2"/>
    <w:rsid w:val="00DF2FD4"/>
    <w:rsid w:val="00DF3A09"/>
    <w:rsid w:val="00DF3A96"/>
    <w:rsid w:val="00DF3FB0"/>
    <w:rsid w:val="00DF4217"/>
    <w:rsid w:val="00DF4A77"/>
    <w:rsid w:val="00DF4D09"/>
    <w:rsid w:val="00DF5C23"/>
    <w:rsid w:val="00DF5C32"/>
    <w:rsid w:val="00DF6AC6"/>
    <w:rsid w:val="00DF6DE3"/>
    <w:rsid w:val="00DF73FA"/>
    <w:rsid w:val="00E012B0"/>
    <w:rsid w:val="00E025DA"/>
    <w:rsid w:val="00E02D6D"/>
    <w:rsid w:val="00E02E0B"/>
    <w:rsid w:val="00E038B4"/>
    <w:rsid w:val="00E03BA8"/>
    <w:rsid w:val="00E03F67"/>
    <w:rsid w:val="00E04140"/>
    <w:rsid w:val="00E048E3"/>
    <w:rsid w:val="00E0524A"/>
    <w:rsid w:val="00E0598A"/>
    <w:rsid w:val="00E059B6"/>
    <w:rsid w:val="00E05B62"/>
    <w:rsid w:val="00E05EE2"/>
    <w:rsid w:val="00E06398"/>
    <w:rsid w:val="00E070E9"/>
    <w:rsid w:val="00E07100"/>
    <w:rsid w:val="00E074F1"/>
    <w:rsid w:val="00E075BC"/>
    <w:rsid w:val="00E076A8"/>
    <w:rsid w:val="00E079B3"/>
    <w:rsid w:val="00E105F6"/>
    <w:rsid w:val="00E111B3"/>
    <w:rsid w:val="00E11BE9"/>
    <w:rsid w:val="00E12575"/>
    <w:rsid w:val="00E12D4B"/>
    <w:rsid w:val="00E136D0"/>
    <w:rsid w:val="00E1377C"/>
    <w:rsid w:val="00E13D97"/>
    <w:rsid w:val="00E13FBC"/>
    <w:rsid w:val="00E14539"/>
    <w:rsid w:val="00E15552"/>
    <w:rsid w:val="00E15CE4"/>
    <w:rsid w:val="00E15DBE"/>
    <w:rsid w:val="00E1613A"/>
    <w:rsid w:val="00E177A1"/>
    <w:rsid w:val="00E17AFD"/>
    <w:rsid w:val="00E17D45"/>
    <w:rsid w:val="00E17DE6"/>
    <w:rsid w:val="00E17EC2"/>
    <w:rsid w:val="00E2191C"/>
    <w:rsid w:val="00E21947"/>
    <w:rsid w:val="00E22302"/>
    <w:rsid w:val="00E224F5"/>
    <w:rsid w:val="00E23AF1"/>
    <w:rsid w:val="00E23DB7"/>
    <w:rsid w:val="00E23E89"/>
    <w:rsid w:val="00E23FD5"/>
    <w:rsid w:val="00E243E5"/>
    <w:rsid w:val="00E247A3"/>
    <w:rsid w:val="00E24A56"/>
    <w:rsid w:val="00E24A6B"/>
    <w:rsid w:val="00E25A41"/>
    <w:rsid w:val="00E26792"/>
    <w:rsid w:val="00E27059"/>
    <w:rsid w:val="00E27344"/>
    <w:rsid w:val="00E2743F"/>
    <w:rsid w:val="00E301AB"/>
    <w:rsid w:val="00E30337"/>
    <w:rsid w:val="00E30862"/>
    <w:rsid w:val="00E31743"/>
    <w:rsid w:val="00E31C89"/>
    <w:rsid w:val="00E31CA9"/>
    <w:rsid w:val="00E324E6"/>
    <w:rsid w:val="00E32A8D"/>
    <w:rsid w:val="00E32C05"/>
    <w:rsid w:val="00E335EB"/>
    <w:rsid w:val="00E33DB4"/>
    <w:rsid w:val="00E34D16"/>
    <w:rsid w:val="00E365F3"/>
    <w:rsid w:val="00E36655"/>
    <w:rsid w:val="00E366A2"/>
    <w:rsid w:val="00E36B58"/>
    <w:rsid w:val="00E3701E"/>
    <w:rsid w:val="00E37138"/>
    <w:rsid w:val="00E37321"/>
    <w:rsid w:val="00E4060A"/>
    <w:rsid w:val="00E40648"/>
    <w:rsid w:val="00E40665"/>
    <w:rsid w:val="00E40E54"/>
    <w:rsid w:val="00E41288"/>
    <w:rsid w:val="00E4184A"/>
    <w:rsid w:val="00E41AC1"/>
    <w:rsid w:val="00E42491"/>
    <w:rsid w:val="00E4280E"/>
    <w:rsid w:val="00E42F28"/>
    <w:rsid w:val="00E43A45"/>
    <w:rsid w:val="00E43ADB"/>
    <w:rsid w:val="00E441C0"/>
    <w:rsid w:val="00E44559"/>
    <w:rsid w:val="00E44855"/>
    <w:rsid w:val="00E465F5"/>
    <w:rsid w:val="00E47307"/>
    <w:rsid w:val="00E47654"/>
    <w:rsid w:val="00E47864"/>
    <w:rsid w:val="00E501BC"/>
    <w:rsid w:val="00E5022A"/>
    <w:rsid w:val="00E5058A"/>
    <w:rsid w:val="00E505DD"/>
    <w:rsid w:val="00E5060E"/>
    <w:rsid w:val="00E50D38"/>
    <w:rsid w:val="00E51504"/>
    <w:rsid w:val="00E5199E"/>
    <w:rsid w:val="00E51E66"/>
    <w:rsid w:val="00E52A69"/>
    <w:rsid w:val="00E52EB3"/>
    <w:rsid w:val="00E539AB"/>
    <w:rsid w:val="00E54933"/>
    <w:rsid w:val="00E56133"/>
    <w:rsid w:val="00E56288"/>
    <w:rsid w:val="00E56947"/>
    <w:rsid w:val="00E575E1"/>
    <w:rsid w:val="00E57951"/>
    <w:rsid w:val="00E60018"/>
    <w:rsid w:val="00E600A0"/>
    <w:rsid w:val="00E60147"/>
    <w:rsid w:val="00E60D1D"/>
    <w:rsid w:val="00E6127B"/>
    <w:rsid w:val="00E61830"/>
    <w:rsid w:val="00E61860"/>
    <w:rsid w:val="00E61CE4"/>
    <w:rsid w:val="00E61D3B"/>
    <w:rsid w:val="00E62DDD"/>
    <w:rsid w:val="00E63066"/>
    <w:rsid w:val="00E63573"/>
    <w:rsid w:val="00E64C57"/>
    <w:rsid w:val="00E64F74"/>
    <w:rsid w:val="00E65364"/>
    <w:rsid w:val="00E656C6"/>
    <w:rsid w:val="00E662A8"/>
    <w:rsid w:val="00E678AE"/>
    <w:rsid w:val="00E71094"/>
    <w:rsid w:val="00E71485"/>
    <w:rsid w:val="00E718C1"/>
    <w:rsid w:val="00E721CC"/>
    <w:rsid w:val="00E72348"/>
    <w:rsid w:val="00E73778"/>
    <w:rsid w:val="00E73DEA"/>
    <w:rsid w:val="00E749F8"/>
    <w:rsid w:val="00E75167"/>
    <w:rsid w:val="00E75A51"/>
    <w:rsid w:val="00E76434"/>
    <w:rsid w:val="00E8114E"/>
    <w:rsid w:val="00E81673"/>
    <w:rsid w:val="00E81DAD"/>
    <w:rsid w:val="00E821D7"/>
    <w:rsid w:val="00E82360"/>
    <w:rsid w:val="00E825FC"/>
    <w:rsid w:val="00E82A57"/>
    <w:rsid w:val="00E82D47"/>
    <w:rsid w:val="00E82F3E"/>
    <w:rsid w:val="00E83D80"/>
    <w:rsid w:val="00E8403A"/>
    <w:rsid w:val="00E84692"/>
    <w:rsid w:val="00E855DE"/>
    <w:rsid w:val="00E863F4"/>
    <w:rsid w:val="00E866B3"/>
    <w:rsid w:val="00E873E8"/>
    <w:rsid w:val="00E87748"/>
    <w:rsid w:val="00E87A6C"/>
    <w:rsid w:val="00E87EB2"/>
    <w:rsid w:val="00E90F13"/>
    <w:rsid w:val="00E91313"/>
    <w:rsid w:val="00E91529"/>
    <w:rsid w:val="00E92DE6"/>
    <w:rsid w:val="00E9612E"/>
    <w:rsid w:val="00E9620A"/>
    <w:rsid w:val="00E96324"/>
    <w:rsid w:val="00E96D83"/>
    <w:rsid w:val="00E97324"/>
    <w:rsid w:val="00E9735E"/>
    <w:rsid w:val="00E973F3"/>
    <w:rsid w:val="00E97AFB"/>
    <w:rsid w:val="00E97D10"/>
    <w:rsid w:val="00EA03F5"/>
    <w:rsid w:val="00EA0B3F"/>
    <w:rsid w:val="00EA1B6C"/>
    <w:rsid w:val="00EA2084"/>
    <w:rsid w:val="00EA2DB3"/>
    <w:rsid w:val="00EA36B2"/>
    <w:rsid w:val="00EA3CE0"/>
    <w:rsid w:val="00EA4655"/>
    <w:rsid w:val="00EA7C32"/>
    <w:rsid w:val="00EB0138"/>
    <w:rsid w:val="00EB076D"/>
    <w:rsid w:val="00EB15B4"/>
    <w:rsid w:val="00EB1859"/>
    <w:rsid w:val="00EB1953"/>
    <w:rsid w:val="00EB1CBE"/>
    <w:rsid w:val="00EB2787"/>
    <w:rsid w:val="00EB37E5"/>
    <w:rsid w:val="00EB38C4"/>
    <w:rsid w:val="00EB3B90"/>
    <w:rsid w:val="00EB3BF7"/>
    <w:rsid w:val="00EB3DE8"/>
    <w:rsid w:val="00EB41D5"/>
    <w:rsid w:val="00EB44FE"/>
    <w:rsid w:val="00EB5C4B"/>
    <w:rsid w:val="00EB67BB"/>
    <w:rsid w:val="00EB6DE6"/>
    <w:rsid w:val="00EB71A4"/>
    <w:rsid w:val="00EB71EB"/>
    <w:rsid w:val="00EB7293"/>
    <w:rsid w:val="00EB76B5"/>
    <w:rsid w:val="00EB7D7C"/>
    <w:rsid w:val="00EB7DE7"/>
    <w:rsid w:val="00EC0358"/>
    <w:rsid w:val="00EC039D"/>
    <w:rsid w:val="00EC1171"/>
    <w:rsid w:val="00EC1391"/>
    <w:rsid w:val="00EC195F"/>
    <w:rsid w:val="00EC2AF4"/>
    <w:rsid w:val="00EC344F"/>
    <w:rsid w:val="00EC437A"/>
    <w:rsid w:val="00EC4D5B"/>
    <w:rsid w:val="00EC57BD"/>
    <w:rsid w:val="00EC5895"/>
    <w:rsid w:val="00EC66FD"/>
    <w:rsid w:val="00EC71B1"/>
    <w:rsid w:val="00EC79ED"/>
    <w:rsid w:val="00EC7CF8"/>
    <w:rsid w:val="00ED0928"/>
    <w:rsid w:val="00ED2136"/>
    <w:rsid w:val="00ED29AF"/>
    <w:rsid w:val="00ED301F"/>
    <w:rsid w:val="00ED3078"/>
    <w:rsid w:val="00ED30E0"/>
    <w:rsid w:val="00ED32A8"/>
    <w:rsid w:val="00ED39A2"/>
    <w:rsid w:val="00ED3CCC"/>
    <w:rsid w:val="00ED445A"/>
    <w:rsid w:val="00ED536F"/>
    <w:rsid w:val="00ED57BE"/>
    <w:rsid w:val="00ED5839"/>
    <w:rsid w:val="00ED5869"/>
    <w:rsid w:val="00ED59F2"/>
    <w:rsid w:val="00ED5A06"/>
    <w:rsid w:val="00ED6918"/>
    <w:rsid w:val="00ED74B3"/>
    <w:rsid w:val="00ED7735"/>
    <w:rsid w:val="00EE0DC6"/>
    <w:rsid w:val="00EE1C8D"/>
    <w:rsid w:val="00EE2083"/>
    <w:rsid w:val="00EE2C03"/>
    <w:rsid w:val="00EE2C72"/>
    <w:rsid w:val="00EE3278"/>
    <w:rsid w:val="00EE361C"/>
    <w:rsid w:val="00EE48C3"/>
    <w:rsid w:val="00EE4E09"/>
    <w:rsid w:val="00EE54EB"/>
    <w:rsid w:val="00EE55C5"/>
    <w:rsid w:val="00EE5C88"/>
    <w:rsid w:val="00EE6286"/>
    <w:rsid w:val="00EE62BC"/>
    <w:rsid w:val="00EE67C1"/>
    <w:rsid w:val="00EE6A8D"/>
    <w:rsid w:val="00EE7C1E"/>
    <w:rsid w:val="00EE7E8F"/>
    <w:rsid w:val="00EF038F"/>
    <w:rsid w:val="00EF0DAD"/>
    <w:rsid w:val="00EF1364"/>
    <w:rsid w:val="00EF1EF3"/>
    <w:rsid w:val="00EF29EF"/>
    <w:rsid w:val="00EF2DFB"/>
    <w:rsid w:val="00EF2F47"/>
    <w:rsid w:val="00EF36A7"/>
    <w:rsid w:val="00EF37E6"/>
    <w:rsid w:val="00EF3A66"/>
    <w:rsid w:val="00EF41EB"/>
    <w:rsid w:val="00EF4664"/>
    <w:rsid w:val="00EF4CEF"/>
    <w:rsid w:val="00EF4FB6"/>
    <w:rsid w:val="00EF51D7"/>
    <w:rsid w:val="00EF616E"/>
    <w:rsid w:val="00EF6CA2"/>
    <w:rsid w:val="00EF77B6"/>
    <w:rsid w:val="00EF7CA3"/>
    <w:rsid w:val="00EF7D82"/>
    <w:rsid w:val="00F00916"/>
    <w:rsid w:val="00F00AD0"/>
    <w:rsid w:val="00F00C37"/>
    <w:rsid w:val="00F00DBE"/>
    <w:rsid w:val="00F00F37"/>
    <w:rsid w:val="00F011B4"/>
    <w:rsid w:val="00F0130E"/>
    <w:rsid w:val="00F0254D"/>
    <w:rsid w:val="00F0342E"/>
    <w:rsid w:val="00F03B1B"/>
    <w:rsid w:val="00F04B40"/>
    <w:rsid w:val="00F04C53"/>
    <w:rsid w:val="00F04C6A"/>
    <w:rsid w:val="00F04C9B"/>
    <w:rsid w:val="00F04D78"/>
    <w:rsid w:val="00F05B8A"/>
    <w:rsid w:val="00F05BFD"/>
    <w:rsid w:val="00F05D7A"/>
    <w:rsid w:val="00F06826"/>
    <w:rsid w:val="00F06A70"/>
    <w:rsid w:val="00F06E67"/>
    <w:rsid w:val="00F07396"/>
    <w:rsid w:val="00F07EC4"/>
    <w:rsid w:val="00F07FFD"/>
    <w:rsid w:val="00F10AA0"/>
    <w:rsid w:val="00F1112F"/>
    <w:rsid w:val="00F1132A"/>
    <w:rsid w:val="00F1146B"/>
    <w:rsid w:val="00F11B2F"/>
    <w:rsid w:val="00F11C9E"/>
    <w:rsid w:val="00F11CB8"/>
    <w:rsid w:val="00F12022"/>
    <w:rsid w:val="00F12162"/>
    <w:rsid w:val="00F125D4"/>
    <w:rsid w:val="00F12907"/>
    <w:rsid w:val="00F1300A"/>
    <w:rsid w:val="00F13777"/>
    <w:rsid w:val="00F1385A"/>
    <w:rsid w:val="00F13DC5"/>
    <w:rsid w:val="00F148F9"/>
    <w:rsid w:val="00F14B76"/>
    <w:rsid w:val="00F14C50"/>
    <w:rsid w:val="00F15094"/>
    <w:rsid w:val="00F15872"/>
    <w:rsid w:val="00F16F6E"/>
    <w:rsid w:val="00F16F8F"/>
    <w:rsid w:val="00F16FE1"/>
    <w:rsid w:val="00F17007"/>
    <w:rsid w:val="00F17FDF"/>
    <w:rsid w:val="00F20402"/>
    <w:rsid w:val="00F20944"/>
    <w:rsid w:val="00F21D84"/>
    <w:rsid w:val="00F21EF9"/>
    <w:rsid w:val="00F21F64"/>
    <w:rsid w:val="00F22973"/>
    <w:rsid w:val="00F22CDB"/>
    <w:rsid w:val="00F22D5C"/>
    <w:rsid w:val="00F230AA"/>
    <w:rsid w:val="00F23C8A"/>
    <w:rsid w:val="00F248AA"/>
    <w:rsid w:val="00F24D61"/>
    <w:rsid w:val="00F25534"/>
    <w:rsid w:val="00F27128"/>
    <w:rsid w:val="00F27309"/>
    <w:rsid w:val="00F30F62"/>
    <w:rsid w:val="00F31948"/>
    <w:rsid w:val="00F324EA"/>
    <w:rsid w:val="00F32D99"/>
    <w:rsid w:val="00F33E3F"/>
    <w:rsid w:val="00F35404"/>
    <w:rsid w:val="00F35742"/>
    <w:rsid w:val="00F357EE"/>
    <w:rsid w:val="00F35998"/>
    <w:rsid w:val="00F365EC"/>
    <w:rsid w:val="00F36B91"/>
    <w:rsid w:val="00F405AA"/>
    <w:rsid w:val="00F4160A"/>
    <w:rsid w:val="00F42114"/>
    <w:rsid w:val="00F42937"/>
    <w:rsid w:val="00F435DF"/>
    <w:rsid w:val="00F44224"/>
    <w:rsid w:val="00F44694"/>
    <w:rsid w:val="00F452A4"/>
    <w:rsid w:val="00F466AE"/>
    <w:rsid w:val="00F46914"/>
    <w:rsid w:val="00F46BAA"/>
    <w:rsid w:val="00F46E5B"/>
    <w:rsid w:val="00F47978"/>
    <w:rsid w:val="00F511E0"/>
    <w:rsid w:val="00F5138A"/>
    <w:rsid w:val="00F513FE"/>
    <w:rsid w:val="00F51D16"/>
    <w:rsid w:val="00F51E07"/>
    <w:rsid w:val="00F52589"/>
    <w:rsid w:val="00F5283B"/>
    <w:rsid w:val="00F528C9"/>
    <w:rsid w:val="00F52D65"/>
    <w:rsid w:val="00F5374B"/>
    <w:rsid w:val="00F541B2"/>
    <w:rsid w:val="00F549A9"/>
    <w:rsid w:val="00F54BB9"/>
    <w:rsid w:val="00F54BC6"/>
    <w:rsid w:val="00F554C0"/>
    <w:rsid w:val="00F55F47"/>
    <w:rsid w:val="00F61298"/>
    <w:rsid w:val="00F616F6"/>
    <w:rsid w:val="00F61934"/>
    <w:rsid w:val="00F6193B"/>
    <w:rsid w:val="00F61DB9"/>
    <w:rsid w:val="00F63043"/>
    <w:rsid w:val="00F63ADF"/>
    <w:rsid w:val="00F63DF3"/>
    <w:rsid w:val="00F64463"/>
    <w:rsid w:val="00F655BF"/>
    <w:rsid w:val="00F65F40"/>
    <w:rsid w:val="00F66AD2"/>
    <w:rsid w:val="00F67063"/>
    <w:rsid w:val="00F67B38"/>
    <w:rsid w:val="00F67E3D"/>
    <w:rsid w:val="00F67FB9"/>
    <w:rsid w:val="00F7044C"/>
    <w:rsid w:val="00F709A4"/>
    <w:rsid w:val="00F7167E"/>
    <w:rsid w:val="00F72523"/>
    <w:rsid w:val="00F72611"/>
    <w:rsid w:val="00F72718"/>
    <w:rsid w:val="00F7288D"/>
    <w:rsid w:val="00F72DF3"/>
    <w:rsid w:val="00F74301"/>
    <w:rsid w:val="00F7447B"/>
    <w:rsid w:val="00F74C49"/>
    <w:rsid w:val="00F74D67"/>
    <w:rsid w:val="00F74DAA"/>
    <w:rsid w:val="00F75CED"/>
    <w:rsid w:val="00F765C0"/>
    <w:rsid w:val="00F7738D"/>
    <w:rsid w:val="00F803AF"/>
    <w:rsid w:val="00F80490"/>
    <w:rsid w:val="00F82038"/>
    <w:rsid w:val="00F8227B"/>
    <w:rsid w:val="00F824DA"/>
    <w:rsid w:val="00F83014"/>
    <w:rsid w:val="00F8342F"/>
    <w:rsid w:val="00F83834"/>
    <w:rsid w:val="00F842C7"/>
    <w:rsid w:val="00F8473B"/>
    <w:rsid w:val="00F852B1"/>
    <w:rsid w:val="00F86631"/>
    <w:rsid w:val="00F87948"/>
    <w:rsid w:val="00F90677"/>
    <w:rsid w:val="00F90797"/>
    <w:rsid w:val="00F90C3D"/>
    <w:rsid w:val="00F910F2"/>
    <w:rsid w:val="00F9277D"/>
    <w:rsid w:val="00F9280F"/>
    <w:rsid w:val="00F93904"/>
    <w:rsid w:val="00F94E73"/>
    <w:rsid w:val="00F95226"/>
    <w:rsid w:val="00F9530F"/>
    <w:rsid w:val="00F95611"/>
    <w:rsid w:val="00F95E53"/>
    <w:rsid w:val="00F965FC"/>
    <w:rsid w:val="00F96791"/>
    <w:rsid w:val="00F970F9"/>
    <w:rsid w:val="00F97E46"/>
    <w:rsid w:val="00FA0185"/>
    <w:rsid w:val="00FA089B"/>
    <w:rsid w:val="00FA1049"/>
    <w:rsid w:val="00FA149A"/>
    <w:rsid w:val="00FA1704"/>
    <w:rsid w:val="00FA1B5B"/>
    <w:rsid w:val="00FA21F8"/>
    <w:rsid w:val="00FA230A"/>
    <w:rsid w:val="00FA3924"/>
    <w:rsid w:val="00FA44A5"/>
    <w:rsid w:val="00FA44C3"/>
    <w:rsid w:val="00FA44C7"/>
    <w:rsid w:val="00FA468C"/>
    <w:rsid w:val="00FA4925"/>
    <w:rsid w:val="00FA4F8A"/>
    <w:rsid w:val="00FA523B"/>
    <w:rsid w:val="00FA5362"/>
    <w:rsid w:val="00FA548A"/>
    <w:rsid w:val="00FA5AC9"/>
    <w:rsid w:val="00FA5C45"/>
    <w:rsid w:val="00FA5EEA"/>
    <w:rsid w:val="00FA642D"/>
    <w:rsid w:val="00FA66D4"/>
    <w:rsid w:val="00FA686F"/>
    <w:rsid w:val="00FA6BA3"/>
    <w:rsid w:val="00FA6E4C"/>
    <w:rsid w:val="00FA7093"/>
    <w:rsid w:val="00FA719D"/>
    <w:rsid w:val="00FB128B"/>
    <w:rsid w:val="00FB18C6"/>
    <w:rsid w:val="00FB18EE"/>
    <w:rsid w:val="00FB20AE"/>
    <w:rsid w:val="00FB32E9"/>
    <w:rsid w:val="00FB33E7"/>
    <w:rsid w:val="00FB440B"/>
    <w:rsid w:val="00FB4A56"/>
    <w:rsid w:val="00FB4AF8"/>
    <w:rsid w:val="00FB521C"/>
    <w:rsid w:val="00FB53B8"/>
    <w:rsid w:val="00FB5721"/>
    <w:rsid w:val="00FB5AA5"/>
    <w:rsid w:val="00FB5F10"/>
    <w:rsid w:val="00FB632D"/>
    <w:rsid w:val="00FB6A56"/>
    <w:rsid w:val="00FB7535"/>
    <w:rsid w:val="00FB7702"/>
    <w:rsid w:val="00FC00C4"/>
    <w:rsid w:val="00FC02F8"/>
    <w:rsid w:val="00FC077B"/>
    <w:rsid w:val="00FC080E"/>
    <w:rsid w:val="00FC0883"/>
    <w:rsid w:val="00FC0D97"/>
    <w:rsid w:val="00FC1D02"/>
    <w:rsid w:val="00FC1D1F"/>
    <w:rsid w:val="00FC248B"/>
    <w:rsid w:val="00FC2AD7"/>
    <w:rsid w:val="00FC2B49"/>
    <w:rsid w:val="00FC3921"/>
    <w:rsid w:val="00FC40E8"/>
    <w:rsid w:val="00FC5636"/>
    <w:rsid w:val="00FC60C3"/>
    <w:rsid w:val="00FC62FE"/>
    <w:rsid w:val="00FC7491"/>
    <w:rsid w:val="00FD135B"/>
    <w:rsid w:val="00FD186A"/>
    <w:rsid w:val="00FD2B95"/>
    <w:rsid w:val="00FD3CBF"/>
    <w:rsid w:val="00FD3FAA"/>
    <w:rsid w:val="00FD501D"/>
    <w:rsid w:val="00FD573A"/>
    <w:rsid w:val="00FD5C0F"/>
    <w:rsid w:val="00FD634D"/>
    <w:rsid w:val="00FD63CA"/>
    <w:rsid w:val="00FD64D7"/>
    <w:rsid w:val="00FD6F9D"/>
    <w:rsid w:val="00FD7E82"/>
    <w:rsid w:val="00FE0352"/>
    <w:rsid w:val="00FE0521"/>
    <w:rsid w:val="00FE1F64"/>
    <w:rsid w:val="00FE2713"/>
    <w:rsid w:val="00FE27EF"/>
    <w:rsid w:val="00FE296F"/>
    <w:rsid w:val="00FE2ACD"/>
    <w:rsid w:val="00FE2CDA"/>
    <w:rsid w:val="00FE3D32"/>
    <w:rsid w:val="00FE3ED0"/>
    <w:rsid w:val="00FE46B8"/>
    <w:rsid w:val="00FE46C5"/>
    <w:rsid w:val="00FE4B70"/>
    <w:rsid w:val="00FE4B7E"/>
    <w:rsid w:val="00FE5441"/>
    <w:rsid w:val="00FE5977"/>
    <w:rsid w:val="00FE5DEF"/>
    <w:rsid w:val="00FE65CF"/>
    <w:rsid w:val="00FE69F7"/>
    <w:rsid w:val="00FE73A5"/>
    <w:rsid w:val="00FE7801"/>
    <w:rsid w:val="00FE7A78"/>
    <w:rsid w:val="00FE7C53"/>
    <w:rsid w:val="00FE7CF3"/>
    <w:rsid w:val="00FF07F7"/>
    <w:rsid w:val="00FF0912"/>
    <w:rsid w:val="00FF1034"/>
    <w:rsid w:val="00FF125B"/>
    <w:rsid w:val="00FF1CC2"/>
    <w:rsid w:val="00FF1F04"/>
    <w:rsid w:val="00FF2526"/>
    <w:rsid w:val="00FF2FAC"/>
    <w:rsid w:val="00FF333A"/>
    <w:rsid w:val="00FF3520"/>
    <w:rsid w:val="00FF3D0C"/>
    <w:rsid w:val="00FF4200"/>
    <w:rsid w:val="00FF48C1"/>
    <w:rsid w:val="00FF4A7D"/>
    <w:rsid w:val="00FF5B5F"/>
    <w:rsid w:val="00FF5F19"/>
    <w:rsid w:val="00FF60B4"/>
    <w:rsid w:val="00FF700A"/>
    <w:rsid w:val="00FF76C0"/>
    <w:rsid w:val="00FF7A9C"/>
    <w:rsid w:val="01A41B91"/>
    <w:rsid w:val="0A190C29"/>
    <w:rsid w:val="116B4F45"/>
    <w:rsid w:val="121C17C1"/>
    <w:rsid w:val="15DB0631"/>
    <w:rsid w:val="1E782F2A"/>
    <w:rsid w:val="220F2A80"/>
    <w:rsid w:val="32732B37"/>
    <w:rsid w:val="342B656E"/>
    <w:rsid w:val="3F9B569C"/>
    <w:rsid w:val="48823229"/>
    <w:rsid w:val="4B433781"/>
    <w:rsid w:val="57DA7C15"/>
    <w:rsid w:val="63955ACE"/>
    <w:rsid w:val="677A3F6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20"/>
      <o:rules v:ext="edit">
        <o:r id="V:Rule1" type="connector" idref="#_x0000_s1091"/>
        <o:r id="V:Rule2" type="connector" idref="#_x0000_s327834"/>
        <o:r id="V:Rule3" type="connector" idref="#_x0000_s327836"/>
        <o:r id="V:Rule4" type="connector" idref="#_x0000_s327837"/>
        <o:r id="V:Rule5" type="connector" idref="#_x0000_s327838"/>
        <o:r id="V:Rule6" type="connector" idref="#_x0000_s327839"/>
        <o:r id="V:Rule7" type="connector" idref="#_x0000_s327840"/>
        <o:r id="V:Rule8" type="connector" idref="#_x0000_s327843"/>
        <o:r id="V:Rule9" type="connector" idref="#_x0000_s327846"/>
        <o:r id="V:Rule10" type="connector" idref="#_x0000_s327848"/>
        <o:r id="V:Rule11" type="connector" idref="#_x0000_s327849"/>
        <o:r id="V:Rule12" type="connector" idref="#_x0000_s327850"/>
        <o:r id="V:Rule13" type="connector" idref="#_x0000_s327851"/>
        <o:r id="V:Rule14" type="connector" idref="#_x0000_s327852"/>
        <o:r id="V:Rule15" type="connector" idref="#_x0000_s327856"/>
        <o:r id="V:Rule16" type="connector" idref="#_x0000_s327858"/>
        <o:r id="V:Rule17" type="connector" idref="#_x0000_s327859"/>
        <o:r id="V:Rule18" type="connector" idref="#_x0000_s327860"/>
        <o:r id="V:Rule19" type="connector" idref="#_x0000_s327870"/>
        <o:r id="V:Rule20" type="connector" idref="#_x0000_s327871"/>
        <o:r id="V:Rule21" type="connector" idref="#_x0000_s327872"/>
        <o:r id="V:Rule22" type="connector" idref="#_x0000_s327873"/>
        <o:r id="V:Rule23" type="connector" idref="#_x0000_s327874"/>
        <o:r id="V:Rule24" type="connector" idref="#_x0000_s327875"/>
        <o:r id="V:Rule25" type="connector" idref="#_x0000_s327879"/>
        <o:r id="V:Rule26" type="connector" idref="#_x0000_s327880"/>
        <o:r id="V:Rule27" type="connector" idref="#_x0000_s327881"/>
        <o:r id="V:Rule28" type="connector" idref="#_x0000_s327882"/>
        <o:r id="V:Rule29" type="connector" idref="#_x0000_s327883"/>
        <o:r id="V:Rule30" type="connector" idref="#_x0000_s327884"/>
        <o:r id="V:Rule31" type="connector" idref="#_x0000_s327886"/>
        <o:r id="V:Rule32" type="connector" idref="#_x0000_s327889"/>
        <o:r id="V:Rule33" type="connector" idref="#_x0000_s327892"/>
        <o:r id="V:Rule34" type="connector" idref="#_x0000_s327895"/>
        <o:r id="V:Rule35" type="connector" idref="#_x0000_s327897"/>
        <o:r id="V:Rule36" type="connector" idref="#_x0000_s327898"/>
        <o:r id="V:Rule37" type="connector" idref="#_x0000_s327899"/>
        <o:r id="V:Rule38" type="connector" idref="#_x0000_s327900"/>
        <o:r id="V:Rule39" type="connector" idref="#_x0000_s327901"/>
        <o:r id="V:Rule40" type="connector" idref="#_x0000_s327904"/>
        <o:r id="V:Rule41" type="connector" idref="#_x0000_s327905"/>
        <o:r id="V:Rule42" type="connector" idref="#_x0000_s327916"/>
        <o:r id="V:Rule43" type="connector" idref="#_x0000_s327917"/>
        <o:r id="V:Rule44" type="connector" idref="#_x0000_s327918"/>
        <o:r id="V:Rule45" type="connector" idref="#_x0000_s327919"/>
        <o:r id="V:Rule46" type="connector" idref="#_x0000_s327920"/>
        <o:r id="V:Rule47" type="connector" idref="#_x0000_s327921"/>
        <o:r id="V:Rule48" type="connector" idref="#_x0000_s327922"/>
        <o:r id="V:Rule49" type="connector" idref="#_x0000_s327923"/>
        <o:r id="V:Rule50" type="connector" idref="#_x0000_s327924"/>
        <o:r id="V:Rule51" type="connector" idref="#_x0000_s327925"/>
        <o:r id="V:Rule52" type="connector" idref="#_x0000_s327926"/>
        <o:r id="V:Rule53" type="connector" idref="#_x0000_s327927"/>
        <o:r id="V:Rule54" type="connector" idref="#_x0000_s327928"/>
        <o:r id="V:Rule55" type="connector" idref="#_x0000_s327931"/>
        <o:r id="V:Rule56" type="connector" idref="#_x0000_s327932"/>
        <o:r id="V:Rule57" type="connector" idref="#_x0000_s327933"/>
        <o:r id="V:Rule58" type="connector" idref="#_x0000_s327934"/>
        <o:r id="V:Rule59" type="connector" idref="#_x0000_s327935"/>
        <o:r id="V:Rule60" type="connector" idref="#_x0000_s327938"/>
        <o:r id="V:Rule61" type="connector" idref="#_x0000_s327939"/>
        <o:r id="V:Rule62" type="connector" idref="#_x0000_s327946"/>
        <o:r id="V:Rule63" type="connector" idref="#_x0000_s327948"/>
        <o:r id="V:Rule64" type="connector" idref="#_x0000_s327950"/>
        <o:r id="V:Rule65" type="connector" idref="#_x0000_s327951"/>
        <o:r id="V:Rule66" type="connector" idref="#_x0000_s327952"/>
        <o:r id="V:Rule67" type="connector" idref="#_x0000_s327954"/>
        <o:r id="V:Rule68" type="connector" idref="#_x0000_s327957"/>
        <o:r id="V:Rule69" type="connector" idref="#_x0000_s327962"/>
        <o:r id="V:Rule70" type="connector" idref="#_x0000_s327964"/>
        <o:r id="V:Rule71" type="connector" idref="#_x0000_s327965"/>
        <o:r id="V:Rule72" type="connector" idref="#_x0000_s327967"/>
        <o:r id="V:Rule73" type="connector" idref="#_x0000_s327969"/>
        <o:r id="V:Rule74" type="connector" idref="#_x0000_s327971"/>
        <o:r id="V:Rule75" type="connector" idref="#_x0000_s327973"/>
        <o:r id="V:Rule76" type="connector" idref="#_x0000_s327976"/>
        <o:r id="V:Rule77" type="connector" idref="#_x0000_s327977"/>
        <o:r id="V:Rule78" type="connector" idref="#_x0000_s327978"/>
        <o:r id="V:Rule79" type="connector" idref="#_x0000_s32798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uiPriority="39" w:name="toc 2" w:locked="1"/>
    <w:lsdException w:uiPriority="39" w:name="toc 3" w:locked="1"/>
    <w:lsdException w:uiPriority="39" w:name="toc 4" w:locked="1"/>
    <w:lsdException w:qFormat="1" w:unhideWhenUsed="0" w:uiPriority="99" w:semiHidden="0" w:name="toc 5"/>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qFormat="1" w:unhideWhenUsed="0" w:uiPriority="99" w:name="envelope address"/>
    <w:lsdException w:uiPriority="99" w:name="envelope return" w:locked="1"/>
    <w:lsdException w:uiPriority="99" w:name="footnote reference" w:locked="1"/>
    <w:lsdException w:qFormat="1" w:unhideWhenUsed="0" w:uiPriority="0"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qFormat="1" w:unhideWhenUsed="0" w:uiPriority="99" w:semiHidden="0" w:name="List Bullet"/>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qFormat="1" w:unhideWhenUsed="0" w:uiPriority="99" w:semiHidden="0" w:name="Body Text First Indent"/>
    <w:lsdException w:qFormat="1" w:unhideWhenUsed="0" w:uiPriority="99" w:semiHidden="0" w:name="Body Text First Indent 2"/>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qFormat="1" w:unhideWhenUsed="0" w:uiPriority="99" w:semiHidden="0" w:name="Document Map"/>
    <w:lsdException w:qFormat="1" w:unhideWhenUsed="0" w:uiPriority="0" w:semiHidden="0" w:name="Plain Text"/>
    <w:lsdException w:uiPriority="99" w:name="E-mail Signature" w:locked="1"/>
    <w:lsdException w:qFormat="1" w:unhideWhenUsed="0" w:uiPriority="0"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sdException w:uiPriority="99" w:name="Table Theme" w:locked="1"/>
    <w:lsdException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7"/>
    <w:qFormat/>
    <w:uiPriority w:val="99"/>
    <w:pPr>
      <w:autoSpaceDE w:val="0"/>
      <w:autoSpaceDN w:val="0"/>
      <w:adjustRightInd w:val="0"/>
      <w:jc w:val="center"/>
      <w:outlineLvl w:val="0"/>
    </w:pPr>
    <w:rPr>
      <w:kern w:val="0"/>
      <w:sz w:val="44"/>
      <w:lang w:val="zh-CN"/>
    </w:rPr>
  </w:style>
  <w:style w:type="paragraph" w:styleId="3">
    <w:name w:val="heading 2"/>
    <w:basedOn w:val="1"/>
    <w:next w:val="4"/>
    <w:link w:val="38"/>
    <w:qFormat/>
    <w:uiPriority w:val="99"/>
    <w:pPr>
      <w:keepNext/>
      <w:keepLines/>
      <w:adjustRightInd w:val="0"/>
      <w:snapToGrid w:val="0"/>
      <w:spacing w:beforeLines="50" w:after="120" w:line="360" w:lineRule="auto"/>
      <w:ind w:firstLine="510"/>
      <w:textAlignment w:val="baseline"/>
      <w:outlineLvl w:val="1"/>
    </w:pPr>
    <w:rPr>
      <w:rFonts w:ascii="黑体" w:hAnsi="Arial" w:eastAsia="黑体"/>
      <w:b/>
      <w:spacing w:val="4"/>
      <w:sz w:val="24"/>
    </w:rPr>
  </w:style>
  <w:style w:type="paragraph" w:styleId="5">
    <w:name w:val="heading 3"/>
    <w:basedOn w:val="1"/>
    <w:next w:val="1"/>
    <w:link w:val="39"/>
    <w:qFormat/>
    <w:uiPriority w:val="99"/>
    <w:pPr>
      <w:keepNext/>
      <w:keepLines/>
      <w:spacing w:before="260" w:after="260" w:line="413" w:lineRule="auto"/>
      <w:outlineLvl w:val="2"/>
    </w:pPr>
    <w:rPr>
      <w:rFonts w:ascii="宋体"/>
      <w:spacing w:val="4"/>
      <w:sz w:val="24"/>
    </w:rPr>
  </w:style>
  <w:style w:type="character" w:default="1" w:styleId="29">
    <w:name w:val="Default Paragraph Font"/>
    <w:semiHidden/>
    <w:unhideWhenUsed/>
    <w:qFormat/>
    <w:uiPriority w:val="1"/>
  </w:style>
  <w:style w:type="table" w:default="1" w:styleId="35">
    <w:name w:val="Normal Table"/>
    <w:semiHidden/>
    <w:unhideWhenUsed/>
    <w:qFormat/>
    <w:uiPriority w:val="99"/>
    <w:tblPr>
      <w:tblLayout w:type="fixed"/>
      <w:tblCellMar>
        <w:top w:w="0" w:type="dxa"/>
        <w:left w:w="108" w:type="dxa"/>
        <w:bottom w:w="0" w:type="dxa"/>
        <w:right w:w="108" w:type="dxa"/>
      </w:tblCellMar>
    </w:tblPr>
  </w:style>
  <w:style w:type="paragraph" w:styleId="4">
    <w:name w:val="Normal Indent"/>
    <w:basedOn w:val="1"/>
    <w:link w:val="56"/>
    <w:qFormat/>
    <w:uiPriority w:val="0"/>
    <w:pPr>
      <w:spacing w:before="120" w:line="500" w:lineRule="exact"/>
      <w:ind w:firstLine="420"/>
    </w:pPr>
    <w:rPr>
      <w:rFonts w:ascii="Calibri" w:hAnsi="Calibri"/>
      <w:kern w:val="0"/>
      <w:sz w:val="24"/>
    </w:rPr>
  </w:style>
  <w:style w:type="paragraph" w:styleId="6">
    <w:name w:val="annotation subject"/>
    <w:basedOn w:val="7"/>
    <w:next w:val="7"/>
    <w:link w:val="41"/>
    <w:semiHidden/>
    <w:qFormat/>
    <w:uiPriority w:val="99"/>
    <w:rPr>
      <w:b/>
      <w:bCs/>
    </w:rPr>
  </w:style>
  <w:style w:type="paragraph" w:styleId="7">
    <w:name w:val="annotation text"/>
    <w:basedOn w:val="1"/>
    <w:link w:val="40"/>
    <w:qFormat/>
    <w:uiPriority w:val="99"/>
    <w:pPr>
      <w:jc w:val="left"/>
    </w:pPr>
  </w:style>
  <w:style w:type="paragraph" w:styleId="8">
    <w:name w:val="Body Text First Indent"/>
    <w:basedOn w:val="9"/>
    <w:link w:val="43"/>
    <w:qFormat/>
    <w:uiPriority w:val="99"/>
    <w:pPr>
      <w:adjustRightInd/>
      <w:spacing w:after="120" w:line="240" w:lineRule="auto"/>
      <w:ind w:firstLine="420" w:firstLineChars="100"/>
      <w:textAlignment w:val="auto"/>
    </w:pPr>
    <w:rPr>
      <w:rFonts w:ascii="Times New Roman"/>
      <w:spacing w:val="0"/>
      <w:kern w:val="2"/>
      <w:sz w:val="21"/>
    </w:rPr>
  </w:style>
  <w:style w:type="paragraph" w:styleId="9">
    <w:name w:val="Body Text"/>
    <w:basedOn w:val="1"/>
    <w:link w:val="42"/>
    <w:qFormat/>
    <w:uiPriority w:val="99"/>
    <w:pPr>
      <w:adjustRightInd w:val="0"/>
      <w:spacing w:line="360" w:lineRule="auto"/>
      <w:ind w:firstLine="510"/>
      <w:textAlignment w:val="baseline"/>
    </w:pPr>
    <w:rPr>
      <w:rFonts w:ascii="宋体" w:hAnsi="Calibri"/>
      <w:spacing w:val="4"/>
      <w:kern w:val="18"/>
      <w:sz w:val="24"/>
    </w:rPr>
  </w:style>
  <w:style w:type="paragraph" w:styleId="10">
    <w:name w:val="List Bullet"/>
    <w:basedOn w:val="1"/>
    <w:qFormat/>
    <w:uiPriority w:val="99"/>
    <w:pPr>
      <w:jc w:val="center"/>
    </w:pPr>
    <w:rPr>
      <w:color w:val="FF0000"/>
      <w:sz w:val="24"/>
      <w:szCs w:val="24"/>
    </w:rPr>
  </w:style>
  <w:style w:type="paragraph" w:styleId="11">
    <w:name w:val="envelope address"/>
    <w:basedOn w:val="1"/>
    <w:semiHidden/>
    <w:qFormat/>
    <w:uiPriority w:val="99"/>
    <w:pPr>
      <w:ind w:left="100" w:leftChars="1400"/>
    </w:pPr>
    <w:rPr>
      <w:rFonts w:ascii="Arial" w:hAnsi="Arial" w:cs="Arial"/>
      <w:szCs w:val="24"/>
    </w:rPr>
  </w:style>
  <w:style w:type="paragraph" w:styleId="12">
    <w:name w:val="Document Map"/>
    <w:basedOn w:val="1"/>
    <w:link w:val="44"/>
    <w:qFormat/>
    <w:uiPriority w:val="99"/>
    <w:pPr>
      <w:shd w:val="clear" w:color="auto" w:fill="000080"/>
    </w:pPr>
  </w:style>
  <w:style w:type="paragraph" w:styleId="13">
    <w:name w:val="Body Text 3"/>
    <w:basedOn w:val="1"/>
    <w:link w:val="45"/>
    <w:qFormat/>
    <w:uiPriority w:val="99"/>
    <w:pPr>
      <w:spacing w:after="120"/>
    </w:pPr>
    <w:rPr>
      <w:sz w:val="16"/>
    </w:rPr>
  </w:style>
  <w:style w:type="paragraph" w:styleId="14">
    <w:name w:val="Body Text Indent"/>
    <w:basedOn w:val="1"/>
    <w:link w:val="46"/>
    <w:qFormat/>
    <w:uiPriority w:val="99"/>
    <w:pPr>
      <w:spacing w:after="120"/>
      <w:ind w:left="420" w:leftChars="200"/>
    </w:pPr>
  </w:style>
  <w:style w:type="paragraph" w:styleId="15">
    <w:name w:val="Block Text"/>
    <w:basedOn w:val="1"/>
    <w:qFormat/>
    <w:uiPriority w:val="99"/>
    <w:pPr>
      <w:widowControl/>
      <w:spacing w:line="440" w:lineRule="exact"/>
      <w:ind w:left="113" w:right="113" w:firstLine="567"/>
    </w:pPr>
    <w:rPr>
      <w:rFonts w:ascii="FangSong_GB2312" w:eastAsia="Times New Roman"/>
      <w:kern w:val="0"/>
      <w:sz w:val="28"/>
    </w:rPr>
  </w:style>
  <w:style w:type="paragraph" w:styleId="16">
    <w:name w:val="toc 5"/>
    <w:basedOn w:val="1"/>
    <w:next w:val="1"/>
    <w:qFormat/>
    <w:uiPriority w:val="99"/>
    <w:pPr>
      <w:ind w:left="1680" w:leftChars="800"/>
    </w:pPr>
  </w:style>
  <w:style w:type="paragraph" w:styleId="17">
    <w:name w:val="Plain Text"/>
    <w:basedOn w:val="1"/>
    <w:link w:val="47"/>
    <w:qFormat/>
    <w:uiPriority w:val="0"/>
    <w:rPr>
      <w:rFonts w:ascii="宋体" w:hAnsi="Courier New"/>
      <w:kern w:val="0"/>
      <w:sz w:val="20"/>
    </w:rPr>
  </w:style>
  <w:style w:type="paragraph" w:styleId="18">
    <w:name w:val="Body Text Indent 2"/>
    <w:basedOn w:val="1"/>
    <w:link w:val="48"/>
    <w:qFormat/>
    <w:uiPriority w:val="99"/>
    <w:pPr>
      <w:spacing w:line="360" w:lineRule="auto"/>
      <w:ind w:firstLine="447" w:firstLineChars="200"/>
    </w:pPr>
    <w:rPr>
      <w:rFonts w:ascii="宋体"/>
      <w:spacing w:val="4"/>
      <w:w w:val="90"/>
      <w:sz w:val="24"/>
    </w:rPr>
  </w:style>
  <w:style w:type="paragraph" w:styleId="19">
    <w:name w:val="Balloon Text"/>
    <w:basedOn w:val="1"/>
    <w:link w:val="49"/>
    <w:qFormat/>
    <w:uiPriority w:val="99"/>
    <w:rPr>
      <w:sz w:val="18"/>
    </w:rPr>
  </w:style>
  <w:style w:type="paragraph" w:styleId="20">
    <w:name w:val="footer"/>
    <w:basedOn w:val="1"/>
    <w:link w:val="50"/>
    <w:qFormat/>
    <w:uiPriority w:val="99"/>
    <w:pPr>
      <w:tabs>
        <w:tab w:val="center" w:pos="4153"/>
        <w:tab w:val="right" w:pos="8306"/>
      </w:tabs>
      <w:snapToGrid w:val="0"/>
      <w:jc w:val="left"/>
    </w:pPr>
    <w:rPr>
      <w:sz w:val="18"/>
    </w:rPr>
  </w:style>
  <w:style w:type="paragraph" w:styleId="21">
    <w:name w:val="Body Text First Indent 2"/>
    <w:basedOn w:val="14"/>
    <w:link w:val="51"/>
    <w:qFormat/>
    <w:uiPriority w:val="99"/>
    <w:pPr>
      <w:ind w:firstLine="420" w:firstLineChars="200"/>
    </w:pPr>
  </w:style>
  <w:style w:type="paragraph" w:styleId="22">
    <w:name w:val="header"/>
    <w:basedOn w:val="1"/>
    <w:link w:val="52"/>
    <w:qFormat/>
    <w:uiPriority w:val="99"/>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99"/>
    <w:pPr>
      <w:adjustRightInd w:val="0"/>
      <w:snapToGrid w:val="0"/>
      <w:spacing w:before="120" w:after="120" w:line="360" w:lineRule="auto"/>
      <w:ind w:firstLine="510"/>
      <w:jc w:val="left"/>
      <w:textAlignment w:val="baseline"/>
    </w:pPr>
    <w:rPr>
      <w:rFonts w:ascii="黑体" w:eastAsia="黑体"/>
      <w:b/>
      <w:caps/>
      <w:spacing w:val="4"/>
      <w:kern w:val="0"/>
      <w:sz w:val="28"/>
    </w:rPr>
  </w:style>
  <w:style w:type="paragraph" w:styleId="24">
    <w:name w:val="List"/>
    <w:basedOn w:val="1"/>
    <w:qFormat/>
    <w:uiPriority w:val="99"/>
    <w:pPr>
      <w:spacing w:line="320" w:lineRule="exact"/>
      <w:jc w:val="center"/>
    </w:pPr>
    <w:rPr>
      <w:sz w:val="22"/>
      <w:szCs w:val="24"/>
    </w:rPr>
  </w:style>
  <w:style w:type="paragraph" w:styleId="25">
    <w:name w:val="Body Text Indent 3"/>
    <w:basedOn w:val="1"/>
    <w:link w:val="53"/>
    <w:qFormat/>
    <w:uiPriority w:val="99"/>
    <w:pPr>
      <w:spacing w:after="120"/>
      <w:ind w:left="420"/>
    </w:pPr>
    <w:rPr>
      <w:sz w:val="16"/>
    </w:rPr>
  </w:style>
  <w:style w:type="paragraph" w:styleId="26">
    <w:name w:val="Body Text 2"/>
    <w:basedOn w:val="1"/>
    <w:link w:val="54"/>
    <w:qFormat/>
    <w:uiPriority w:val="99"/>
    <w:pPr>
      <w:spacing w:after="120" w:line="480" w:lineRule="auto"/>
    </w:pPr>
  </w:style>
  <w:style w:type="paragraph" w:styleId="27">
    <w:name w:val="HTML Preformatted"/>
    <w:basedOn w:val="1"/>
    <w:link w:val="55"/>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paragraph" w:styleId="28">
    <w:name w:val="Normal (Web)"/>
    <w:basedOn w:val="1"/>
    <w:qFormat/>
    <w:uiPriority w:val="0"/>
    <w:rPr>
      <w:sz w:val="24"/>
    </w:rPr>
  </w:style>
  <w:style w:type="character" w:styleId="30">
    <w:name w:val="Strong"/>
    <w:basedOn w:val="29"/>
    <w:qFormat/>
    <w:uiPriority w:val="99"/>
    <w:rPr>
      <w:rFonts w:cs="Times New Roman"/>
      <w:b/>
      <w:bCs/>
    </w:rPr>
  </w:style>
  <w:style w:type="character" w:styleId="31">
    <w:name w:val="page number"/>
    <w:basedOn w:val="29"/>
    <w:qFormat/>
    <w:uiPriority w:val="99"/>
    <w:rPr>
      <w:rFonts w:cs="Times New Roman"/>
    </w:rPr>
  </w:style>
  <w:style w:type="character" w:styleId="32">
    <w:name w:val="FollowedHyperlink"/>
    <w:basedOn w:val="29"/>
    <w:qFormat/>
    <w:uiPriority w:val="99"/>
    <w:rPr>
      <w:rFonts w:cs="Times New Roman"/>
      <w:color w:val="800080"/>
      <w:u w:val="single"/>
    </w:rPr>
  </w:style>
  <w:style w:type="character" w:styleId="33">
    <w:name w:val="Hyperlink"/>
    <w:basedOn w:val="29"/>
    <w:qFormat/>
    <w:uiPriority w:val="99"/>
    <w:rPr>
      <w:rFonts w:cs="Times New Roman"/>
      <w:color w:val="001D4C"/>
      <w:u w:val="none"/>
    </w:rPr>
  </w:style>
  <w:style w:type="character" w:styleId="34">
    <w:name w:val="annotation reference"/>
    <w:basedOn w:val="29"/>
    <w:qFormat/>
    <w:uiPriority w:val="0"/>
    <w:rPr>
      <w:rFonts w:cs="Times New Roman"/>
      <w:sz w:val="21"/>
    </w:rPr>
  </w:style>
  <w:style w:type="table" w:styleId="36">
    <w:name w:val="Table Grid"/>
    <w:basedOn w:val="3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37">
    <w:name w:val="标题 1 Char"/>
    <w:basedOn w:val="29"/>
    <w:link w:val="2"/>
    <w:qFormat/>
    <w:locked/>
    <w:uiPriority w:val="99"/>
    <w:rPr>
      <w:rFonts w:ascii="Times New Roman" w:hAnsi="Times New Roman" w:eastAsia="宋体" w:cs="Times New Roman"/>
      <w:kern w:val="0"/>
      <w:sz w:val="20"/>
      <w:szCs w:val="20"/>
      <w:lang w:val="zh-CN"/>
    </w:rPr>
  </w:style>
  <w:style w:type="character" w:customStyle="1" w:styleId="38">
    <w:name w:val="标题 2 Char"/>
    <w:basedOn w:val="29"/>
    <w:link w:val="3"/>
    <w:qFormat/>
    <w:locked/>
    <w:uiPriority w:val="99"/>
    <w:rPr>
      <w:rFonts w:ascii="黑体" w:hAnsi="Arial" w:eastAsia="黑体" w:cs="Times New Roman"/>
      <w:b/>
      <w:snapToGrid w:val="0"/>
      <w:spacing w:val="4"/>
      <w:sz w:val="20"/>
      <w:szCs w:val="20"/>
    </w:rPr>
  </w:style>
  <w:style w:type="character" w:customStyle="1" w:styleId="39">
    <w:name w:val="标题 3 Char"/>
    <w:basedOn w:val="29"/>
    <w:link w:val="5"/>
    <w:qFormat/>
    <w:locked/>
    <w:uiPriority w:val="99"/>
    <w:rPr>
      <w:rFonts w:ascii="宋体" w:hAnsi="Times New Roman" w:eastAsia="宋体" w:cs="Times New Roman"/>
      <w:snapToGrid w:val="0"/>
      <w:spacing w:val="4"/>
      <w:sz w:val="20"/>
      <w:szCs w:val="20"/>
    </w:rPr>
  </w:style>
  <w:style w:type="character" w:customStyle="1" w:styleId="40">
    <w:name w:val="批注文字 Char"/>
    <w:basedOn w:val="29"/>
    <w:link w:val="7"/>
    <w:semiHidden/>
    <w:qFormat/>
    <w:locked/>
    <w:uiPriority w:val="99"/>
    <w:rPr>
      <w:rFonts w:ascii="Times New Roman" w:hAnsi="Times New Roman" w:eastAsia="宋体" w:cs="Times New Roman"/>
      <w:sz w:val="20"/>
      <w:szCs w:val="20"/>
    </w:rPr>
  </w:style>
  <w:style w:type="character" w:customStyle="1" w:styleId="41">
    <w:name w:val="批注主题 Char"/>
    <w:basedOn w:val="40"/>
    <w:link w:val="6"/>
    <w:semiHidden/>
    <w:qFormat/>
    <w:locked/>
    <w:uiPriority w:val="99"/>
    <w:rPr>
      <w:b/>
      <w:bCs/>
    </w:rPr>
  </w:style>
  <w:style w:type="character" w:customStyle="1" w:styleId="42">
    <w:name w:val="正文文本 Char2"/>
    <w:basedOn w:val="29"/>
    <w:link w:val="9"/>
    <w:semiHidden/>
    <w:qFormat/>
    <w:locked/>
    <w:uiPriority w:val="99"/>
    <w:rPr>
      <w:rFonts w:ascii="Times New Roman" w:hAnsi="Times New Roman" w:eastAsia="宋体" w:cs="Times New Roman"/>
      <w:sz w:val="20"/>
      <w:szCs w:val="20"/>
    </w:rPr>
  </w:style>
  <w:style w:type="character" w:customStyle="1" w:styleId="43">
    <w:name w:val="正文首行缩进 Char"/>
    <w:basedOn w:val="42"/>
    <w:link w:val="8"/>
    <w:qFormat/>
    <w:locked/>
    <w:uiPriority w:val="99"/>
  </w:style>
  <w:style w:type="character" w:customStyle="1" w:styleId="44">
    <w:name w:val="文档结构图 Char"/>
    <w:basedOn w:val="29"/>
    <w:link w:val="12"/>
    <w:qFormat/>
    <w:locked/>
    <w:uiPriority w:val="99"/>
    <w:rPr>
      <w:rFonts w:ascii="Times New Roman" w:hAnsi="Times New Roman" w:eastAsia="宋体" w:cs="Times New Roman"/>
      <w:sz w:val="20"/>
      <w:szCs w:val="20"/>
      <w:shd w:val="clear" w:color="auto" w:fill="000080"/>
    </w:rPr>
  </w:style>
  <w:style w:type="character" w:customStyle="1" w:styleId="45">
    <w:name w:val="正文文本 3 Char"/>
    <w:basedOn w:val="29"/>
    <w:link w:val="13"/>
    <w:qFormat/>
    <w:locked/>
    <w:uiPriority w:val="99"/>
    <w:rPr>
      <w:rFonts w:ascii="Times New Roman" w:hAnsi="Times New Roman" w:eastAsia="宋体" w:cs="Times New Roman"/>
      <w:sz w:val="20"/>
      <w:szCs w:val="20"/>
    </w:rPr>
  </w:style>
  <w:style w:type="character" w:customStyle="1" w:styleId="46">
    <w:name w:val="正文文本缩进 Char"/>
    <w:basedOn w:val="29"/>
    <w:link w:val="14"/>
    <w:semiHidden/>
    <w:qFormat/>
    <w:locked/>
    <w:uiPriority w:val="99"/>
    <w:rPr>
      <w:rFonts w:ascii="Times New Roman" w:hAnsi="Times New Roman" w:eastAsia="宋体" w:cs="Times New Roman"/>
      <w:sz w:val="20"/>
      <w:szCs w:val="20"/>
    </w:rPr>
  </w:style>
  <w:style w:type="character" w:customStyle="1" w:styleId="47">
    <w:name w:val="纯文本 Char1"/>
    <w:basedOn w:val="29"/>
    <w:link w:val="17"/>
    <w:qFormat/>
    <w:locked/>
    <w:uiPriority w:val="0"/>
    <w:rPr>
      <w:rFonts w:ascii="宋体" w:hAnsi="Courier New" w:eastAsia="宋体" w:cs="Courier New"/>
      <w:sz w:val="21"/>
      <w:szCs w:val="21"/>
    </w:rPr>
  </w:style>
  <w:style w:type="character" w:customStyle="1" w:styleId="48">
    <w:name w:val="正文文本缩进 2 Char"/>
    <w:basedOn w:val="29"/>
    <w:link w:val="18"/>
    <w:qFormat/>
    <w:locked/>
    <w:uiPriority w:val="99"/>
    <w:rPr>
      <w:rFonts w:ascii="宋体" w:hAnsi="Times New Roman" w:eastAsia="宋体" w:cs="Times New Roman"/>
      <w:spacing w:val="4"/>
      <w:w w:val="90"/>
      <w:sz w:val="20"/>
      <w:szCs w:val="20"/>
    </w:rPr>
  </w:style>
  <w:style w:type="character" w:customStyle="1" w:styleId="49">
    <w:name w:val="批注框文本 Char"/>
    <w:basedOn w:val="29"/>
    <w:link w:val="19"/>
    <w:qFormat/>
    <w:locked/>
    <w:uiPriority w:val="99"/>
    <w:rPr>
      <w:rFonts w:ascii="Times New Roman" w:hAnsi="Times New Roman" w:eastAsia="宋体" w:cs="Times New Roman"/>
      <w:sz w:val="20"/>
      <w:szCs w:val="20"/>
    </w:rPr>
  </w:style>
  <w:style w:type="character" w:customStyle="1" w:styleId="50">
    <w:name w:val="页脚 Char"/>
    <w:basedOn w:val="29"/>
    <w:link w:val="20"/>
    <w:qFormat/>
    <w:locked/>
    <w:uiPriority w:val="99"/>
    <w:rPr>
      <w:rFonts w:ascii="Times New Roman" w:hAnsi="Times New Roman" w:eastAsia="宋体" w:cs="Times New Roman"/>
      <w:sz w:val="20"/>
      <w:szCs w:val="20"/>
    </w:rPr>
  </w:style>
  <w:style w:type="character" w:customStyle="1" w:styleId="51">
    <w:name w:val="正文首行缩进 2 Char"/>
    <w:basedOn w:val="46"/>
    <w:link w:val="21"/>
    <w:qFormat/>
    <w:locked/>
    <w:uiPriority w:val="99"/>
  </w:style>
  <w:style w:type="character" w:customStyle="1" w:styleId="52">
    <w:name w:val="页眉 Char"/>
    <w:basedOn w:val="29"/>
    <w:link w:val="22"/>
    <w:qFormat/>
    <w:locked/>
    <w:uiPriority w:val="99"/>
    <w:rPr>
      <w:rFonts w:ascii="Times New Roman" w:hAnsi="Times New Roman" w:eastAsia="宋体" w:cs="Times New Roman"/>
      <w:sz w:val="20"/>
      <w:szCs w:val="20"/>
    </w:rPr>
  </w:style>
  <w:style w:type="character" w:customStyle="1" w:styleId="53">
    <w:name w:val="正文文本缩进 3 Char"/>
    <w:basedOn w:val="29"/>
    <w:link w:val="25"/>
    <w:qFormat/>
    <w:locked/>
    <w:uiPriority w:val="99"/>
    <w:rPr>
      <w:rFonts w:ascii="Times New Roman" w:hAnsi="Times New Roman" w:eastAsia="宋体" w:cs="Times New Roman"/>
      <w:sz w:val="20"/>
      <w:szCs w:val="20"/>
    </w:rPr>
  </w:style>
  <w:style w:type="character" w:customStyle="1" w:styleId="54">
    <w:name w:val="正文文本 2 Char"/>
    <w:basedOn w:val="29"/>
    <w:link w:val="26"/>
    <w:qFormat/>
    <w:locked/>
    <w:uiPriority w:val="99"/>
    <w:rPr>
      <w:rFonts w:ascii="Times New Roman" w:hAnsi="Times New Roman" w:eastAsia="宋体" w:cs="Times New Roman"/>
      <w:sz w:val="20"/>
      <w:szCs w:val="20"/>
    </w:rPr>
  </w:style>
  <w:style w:type="character" w:customStyle="1" w:styleId="55">
    <w:name w:val="HTML 预设格式 Char"/>
    <w:basedOn w:val="29"/>
    <w:link w:val="27"/>
    <w:qFormat/>
    <w:locked/>
    <w:uiPriority w:val="99"/>
    <w:rPr>
      <w:rFonts w:ascii="Arial" w:hAnsi="Arial" w:eastAsia="宋体" w:cs="Arial"/>
      <w:kern w:val="0"/>
      <w:sz w:val="24"/>
      <w:szCs w:val="24"/>
    </w:rPr>
  </w:style>
  <w:style w:type="character" w:customStyle="1" w:styleId="56">
    <w:name w:val="正文缩进 Char"/>
    <w:link w:val="4"/>
    <w:qFormat/>
    <w:locked/>
    <w:uiPriority w:val="0"/>
    <w:rPr>
      <w:rFonts w:eastAsia="宋体"/>
      <w:sz w:val="24"/>
    </w:rPr>
  </w:style>
  <w:style w:type="character" w:customStyle="1" w:styleId="57">
    <w:name w:val="样式 首行缩进:  2 字符1 Char Char"/>
    <w:basedOn w:val="29"/>
    <w:link w:val="58"/>
    <w:qFormat/>
    <w:locked/>
    <w:uiPriority w:val="99"/>
    <w:rPr>
      <w:rFonts w:eastAsia="宋体" w:cs="Times New Roman"/>
      <w:sz w:val="24"/>
    </w:rPr>
  </w:style>
  <w:style w:type="paragraph" w:customStyle="1" w:styleId="58">
    <w:name w:val="样式 首行缩进:  2 字符1"/>
    <w:basedOn w:val="1"/>
    <w:link w:val="57"/>
    <w:qFormat/>
    <w:uiPriority w:val="99"/>
    <w:pPr>
      <w:adjustRightInd w:val="0"/>
      <w:snapToGrid w:val="0"/>
      <w:spacing w:line="360" w:lineRule="auto"/>
      <w:ind w:firstLine="480" w:firstLineChars="200"/>
    </w:pPr>
    <w:rPr>
      <w:rFonts w:ascii="Calibri" w:hAnsi="Calibri"/>
      <w:sz w:val="24"/>
      <w:szCs w:val="22"/>
    </w:rPr>
  </w:style>
  <w:style w:type="character" w:customStyle="1" w:styleId="59">
    <w:name w:val="表格内正文 Char Char1"/>
    <w:qFormat/>
    <w:uiPriority w:val="99"/>
    <w:rPr>
      <w:rFonts w:ascii="宋体" w:hAnsi="宋体" w:eastAsia="宋体"/>
      <w:spacing w:val="4"/>
      <w:kern w:val="18"/>
      <w:sz w:val="24"/>
      <w:lang w:val="en-US" w:eastAsia="zh-CN"/>
    </w:rPr>
  </w:style>
  <w:style w:type="character" w:customStyle="1" w:styleId="60">
    <w:name w:val="文本正文 Char1"/>
    <w:qFormat/>
    <w:uiPriority w:val="99"/>
    <w:rPr>
      <w:rFonts w:ascii="宋体" w:eastAsia="宋体"/>
      <w:snapToGrid w:val="0"/>
      <w:spacing w:val="4"/>
      <w:kern w:val="18"/>
      <w:sz w:val="24"/>
      <w:lang w:val="en-US" w:eastAsia="zh-CN"/>
    </w:rPr>
  </w:style>
  <w:style w:type="character" w:customStyle="1" w:styleId="61">
    <w:name w:val="表头 Char3"/>
    <w:qFormat/>
    <w:uiPriority w:val="99"/>
    <w:rPr>
      <w:rFonts w:ascii="宋体" w:hAnsi="宋体" w:eastAsia="宋体"/>
      <w:spacing w:val="4"/>
      <w:kern w:val="18"/>
      <w:sz w:val="24"/>
      <w:lang w:val="en-US" w:eastAsia="zh-CN"/>
    </w:rPr>
  </w:style>
  <w:style w:type="character" w:customStyle="1" w:styleId="62">
    <w:name w:val="表头 Char1"/>
    <w:qFormat/>
    <w:uiPriority w:val="99"/>
    <w:rPr>
      <w:rFonts w:ascii="宋体" w:hAnsi="宋体" w:eastAsia="宋体"/>
      <w:spacing w:val="4"/>
      <w:sz w:val="24"/>
      <w:lang w:val="en-US" w:eastAsia="zh-CN"/>
    </w:rPr>
  </w:style>
  <w:style w:type="character" w:customStyle="1" w:styleId="63">
    <w:name w:val="f241"/>
    <w:qFormat/>
    <w:uiPriority w:val="99"/>
    <w:rPr>
      <w:sz w:val="36"/>
    </w:rPr>
  </w:style>
  <w:style w:type="character" w:customStyle="1" w:styleId="64">
    <w:name w:val="文本正文 Char2"/>
    <w:qFormat/>
    <w:uiPriority w:val="99"/>
    <w:rPr>
      <w:rFonts w:ascii="宋体" w:eastAsia="宋体"/>
      <w:snapToGrid w:val="0"/>
      <w:spacing w:val="4"/>
      <w:kern w:val="18"/>
      <w:sz w:val="24"/>
      <w:lang w:val="en-US" w:eastAsia="zh-CN"/>
    </w:rPr>
  </w:style>
  <w:style w:type="character" w:customStyle="1" w:styleId="65">
    <w:name w:val="4正文 Char Char"/>
    <w:link w:val="66"/>
    <w:qFormat/>
    <w:locked/>
    <w:uiPriority w:val="99"/>
    <w:rPr>
      <w:rFonts w:eastAsia="宋体"/>
    </w:rPr>
  </w:style>
  <w:style w:type="paragraph" w:customStyle="1" w:styleId="66">
    <w:name w:val="4正文"/>
    <w:basedOn w:val="1"/>
    <w:link w:val="65"/>
    <w:qFormat/>
    <w:uiPriority w:val="99"/>
    <w:pPr>
      <w:ind w:firstLine="480"/>
    </w:pPr>
    <w:rPr>
      <w:rFonts w:ascii="Calibri" w:hAnsi="Calibri"/>
      <w:kern w:val="0"/>
      <w:sz w:val="20"/>
    </w:rPr>
  </w:style>
  <w:style w:type="character" w:customStyle="1" w:styleId="67">
    <w:name w:val="表格内正文 Char"/>
    <w:link w:val="68"/>
    <w:qFormat/>
    <w:locked/>
    <w:uiPriority w:val="99"/>
    <w:rPr>
      <w:rFonts w:ascii="宋体" w:hAnsi="宋体" w:eastAsia="宋体"/>
      <w:spacing w:val="4"/>
      <w:kern w:val="18"/>
      <w:sz w:val="24"/>
    </w:rPr>
  </w:style>
  <w:style w:type="paragraph" w:customStyle="1" w:styleId="68">
    <w:name w:val="表格内正文"/>
    <w:basedOn w:val="1"/>
    <w:link w:val="67"/>
    <w:qFormat/>
    <w:uiPriority w:val="99"/>
    <w:pPr>
      <w:spacing w:line="360" w:lineRule="auto"/>
      <w:ind w:firstLine="493"/>
    </w:pPr>
    <w:rPr>
      <w:rFonts w:ascii="宋体" w:hAnsi="宋体"/>
      <w:spacing w:val="4"/>
      <w:kern w:val="18"/>
      <w:sz w:val="24"/>
    </w:rPr>
  </w:style>
  <w:style w:type="character" w:customStyle="1" w:styleId="69">
    <w:name w:val="普通文字 + 行距: 1.5 倍行距 Char"/>
    <w:basedOn w:val="29"/>
    <w:qFormat/>
    <w:uiPriority w:val="99"/>
    <w:rPr>
      <w:rFonts w:ascii="宋体" w:hAnsi="Courier New" w:eastAsia="宋体" w:cs="Times New Roman"/>
      <w:kern w:val="2"/>
      <w:sz w:val="21"/>
      <w:lang w:val="en-US" w:eastAsia="zh-CN" w:bidi="ar-SA"/>
    </w:rPr>
  </w:style>
  <w:style w:type="character" w:customStyle="1" w:styleId="70">
    <w:name w:val="p51"/>
    <w:qFormat/>
    <w:uiPriority w:val="99"/>
    <w:rPr>
      <w:sz w:val="21"/>
    </w:rPr>
  </w:style>
  <w:style w:type="character" w:customStyle="1" w:styleId="71">
    <w:name w:val="表格正文 Char Char"/>
    <w:qFormat/>
    <w:uiPriority w:val="99"/>
    <w:rPr>
      <w:rFonts w:ascii="宋体" w:eastAsia="宋体"/>
      <w:snapToGrid w:val="0"/>
      <w:spacing w:val="4"/>
      <w:w w:val="90"/>
      <w:kern w:val="2"/>
      <w:sz w:val="24"/>
      <w:lang w:val="en-US" w:eastAsia="zh-CN"/>
    </w:rPr>
  </w:style>
  <w:style w:type="character" w:customStyle="1" w:styleId="72">
    <w:name w:val="纯文本 Char"/>
    <w:qFormat/>
    <w:uiPriority w:val="99"/>
    <w:rPr>
      <w:rFonts w:ascii="宋体" w:hAnsi="Courier New" w:eastAsia="宋体"/>
    </w:rPr>
  </w:style>
  <w:style w:type="character" w:customStyle="1" w:styleId="73">
    <w:name w:val="五号"/>
    <w:qFormat/>
    <w:uiPriority w:val="99"/>
    <w:rPr>
      <w:rFonts w:ascii="宋体" w:hAnsi="宋体" w:eastAsia="宋体"/>
      <w:kern w:val="18"/>
      <w:sz w:val="21"/>
    </w:rPr>
  </w:style>
  <w:style w:type="character" w:customStyle="1" w:styleId="74">
    <w:name w:val="正文001 Char Char"/>
    <w:basedOn w:val="29"/>
    <w:link w:val="75"/>
    <w:qFormat/>
    <w:locked/>
    <w:uiPriority w:val="99"/>
    <w:rPr>
      <w:rFonts w:cs="Times New Roman"/>
      <w:sz w:val="24"/>
    </w:rPr>
  </w:style>
  <w:style w:type="paragraph" w:customStyle="1" w:styleId="75">
    <w:name w:val="正文001"/>
    <w:basedOn w:val="1"/>
    <w:link w:val="74"/>
    <w:qFormat/>
    <w:uiPriority w:val="99"/>
    <w:pPr>
      <w:spacing w:before="60" w:line="460" w:lineRule="exact"/>
      <w:ind w:firstLine="482"/>
    </w:pPr>
    <w:rPr>
      <w:rFonts w:ascii="Calibri" w:hAnsi="Calibri"/>
      <w:sz w:val="24"/>
      <w:szCs w:val="22"/>
    </w:rPr>
  </w:style>
  <w:style w:type="character" w:customStyle="1" w:styleId="76">
    <w:name w:val="正文2 Char"/>
    <w:link w:val="77"/>
    <w:qFormat/>
    <w:locked/>
    <w:uiPriority w:val="99"/>
    <w:rPr>
      <w:rFonts w:ascii="宋体" w:hAnsi="宋体" w:eastAsia="宋体"/>
      <w:kern w:val="21"/>
      <w:sz w:val="24"/>
    </w:rPr>
  </w:style>
  <w:style w:type="paragraph" w:customStyle="1" w:styleId="77">
    <w:name w:val="正文2"/>
    <w:basedOn w:val="1"/>
    <w:link w:val="76"/>
    <w:qFormat/>
    <w:uiPriority w:val="99"/>
    <w:pPr>
      <w:adjustRightInd w:val="0"/>
      <w:spacing w:line="360" w:lineRule="auto"/>
      <w:ind w:firstLine="480" w:firstLineChars="200"/>
      <w:textAlignment w:val="baseline"/>
    </w:pPr>
    <w:rPr>
      <w:rFonts w:ascii="宋体" w:hAnsi="宋体"/>
      <w:kern w:val="21"/>
      <w:sz w:val="24"/>
    </w:rPr>
  </w:style>
  <w:style w:type="character" w:customStyle="1" w:styleId="78">
    <w:name w:val="正文文本2"/>
    <w:qFormat/>
    <w:uiPriority w:val="99"/>
    <w:rPr>
      <w:rFonts w:ascii="宋体" w:eastAsia="宋体"/>
      <w:snapToGrid w:val="0"/>
      <w:spacing w:val="4"/>
      <w:kern w:val="18"/>
      <w:sz w:val="24"/>
      <w:lang w:val="en-US" w:eastAsia="zh-CN"/>
    </w:rPr>
  </w:style>
  <w:style w:type="character" w:customStyle="1" w:styleId="79">
    <w:name w:val="样式 正文mm Char"/>
    <w:basedOn w:val="29"/>
    <w:link w:val="80"/>
    <w:qFormat/>
    <w:locked/>
    <w:uiPriority w:val="99"/>
    <w:rPr>
      <w:rFonts w:eastAsia="宋体" w:cs="宋体"/>
      <w:sz w:val="24"/>
      <w:szCs w:val="24"/>
    </w:rPr>
  </w:style>
  <w:style w:type="paragraph" w:customStyle="1" w:styleId="80">
    <w:name w:val="样式 正文mm"/>
    <w:basedOn w:val="1"/>
    <w:next w:val="21"/>
    <w:link w:val="79"/>
    <w:qFormat/>
    <w:uiPriority w:val="99"/>
    <w:pPr>
      <w:spacing w:line="360" w:lineRule="auto"/>
      <w:ind w:firstLine="200" w:firstLineChars="200"/>
    </w:pPr>
    <w:rPr>
      <w:rFonts w:ascii="Calibri" w:hAnsi="Calibri" w:cs="宋体"/>
      <w:sz w:val="24"/>
      <w:szCs w:val="24"/>
    </w:rPr>
  </w:style>
  <w:style w:type="character" w:customStyle="1" w:styleId="81">
    <w:name w:val="表格居中 Char"/>
    <w:link w:val="82"/>
    <w:qFormat/>
    <w:locked/>
    <w:uiPriority w:val="99"/>
    <w:rPr>
      <w:rFonts w:ascii="宋体" w:hAnsi="宋体" w:eastAsia="宋体"/>
      <w:snapToGrid w:val="0"/>
      <w:spacing w:val="-4"/>
      <w:w w:val="90"/>
      <w:sz w:val="24"/>
    </w:rPr>
  </w:style>
  <w:style w:type="paragraph" w:customStyle="1" w:styleId="82">
    <w:name w:val="表格居中"/>
    <w:basedOn w:val="1"/>
    <w:link w:val="81"/>
    <w:qFormat/>
    <w:uiPriority w:val="99"/>
    <w:pPr>
      <w:jc w:val="center"/>
    </w:pPr>
    <w:rPr>
      <w:rFonts w:ascii="宋体" w:hAnsi="宋体"/>
      <w:snapToGrid w:val="0"/>
      <w:spacing w:val="-4"/>
      <w:w w:val="90"/>
      <w:kern w:val="0"/>
      <w:sz w:val="24"/>
    </w:rPr>
  </w:style>
  <w:style w:type="character" w:customStyle="1" w:styleId="83">
    <w:name w:val="正文1 Char Char"/>
    <w:qFormat/>
    <w:uiPriority w:val="99"/>
    <w:rPr>
      <w:rFonts w:ascii="宋体" w:hAnsi="宋体" w:eastAsia="宋体"/>
      <w:snapToGrid w:val="0"/>
      <w:color w:val="000000"/>
      <w:kern w:val="21"/>
      <w:sz w:val="24"/>
      <w:lang w:val="en-US" w:eastAsia="zh-CN"/>
    </w:rPr>
  </w:style>
  <w:style w:type="character" w:customStyle="1" w:styleId="84">
    <w:name w:val="正文文本 Char"/>
    <w:qFormat/>
    <w:uiPriority w:val="99"/>
    <w:rPr>
      <w:rFonts w:ascii="宋体" w:eastAsia="宋体"/>
      <w:snapToGrid w:val="0"/>
      <w:spacing w:val="4"/>
      <w:kern w:val="18"/>
      <w:sz w:val="24"/>
      <w:lang w:val="en-US" w:eastAsia="zh-CN"/>
    </w:rPr>
  </w:style>
  <w:style w:type="character" w:customStyle="1" w:styleId="85">
    <w:name w:val="表格内表格正文 Char"/>
    <w:link w:val="86"/>
    <w:qFormat/>
    <w:locked/>
    <w:uiPriority w:val="99"/>
    <w:rPr>
      <w:rFonts w:ascii="宋体" w:hAnsi="宋体" w:eastAsia="宋体"/>
      <w:w w:val="90"/>
      <w:sz w:val="24"/>
    </w:rPr>
  </w:style>
  <w:style w:type="paragraph" w:customStyle="1" w:styleId="86">
    <w:name w:val="表格内表格正文"/>
    <w:basedOn w:val="1"/>
    <w:link w:val="85"/>
    <w:qFormat/>
    <w:uiPriority w:val="99"/>
    <w:pPr>
      <w:jc w:val="center"/>
    </w:pPr>
    <w:rPr>
      <w:rFonts w:ascii="宋体" w:hAnsi="宋体"/>
      <w:w w:val="90"/>
      <w:kern w:val="0"/>
      <w:sz w:val="24"/>
    </w:rPr>
  </w:style>
  <w:style w:type="character" w:customStyle="1" w:styleId="87">
    <w:name w:val="正文文本 Char1"/>
    <w:qFormat/>
    <w:uiPriority w:val="99"/>
    <w:rPr>
      <w:rFonts w:ascii="宋体" w:eastAsia="宋体"/>
      <w:snapToGrid w:val="0"/>
      <w:spacing w:val="4"/>
      <w:kern w:val="18"/>
      <w:sz w:val="24"/>
    </w:rPr>
  </w:style>
  <w:style w:type="character" w:customStyle="1" w:styleId="88">
    <w:name w:val="headline-content2"/>
    <w:basedOn w:val="29"/>
    <w:qFormat/>
    <w:uiPriority w:val="99"/>
    <w:rPr>
      <w:rFonts w:cs="Times New Roman"/>
    </w:rPr>
  </w:style>
  <w:style w:type="character" w:customStyle="1" w:styleId="89">
    <w:name w:val="表格内正文 Char1"/>
    <w:qFormat/>
    <w:uiPriority w:val="99"/>
    <w:rPr>
      <w:rFonts w:ascii="宋体" w:hAnsi="宋体" w:eastAsia="宋体"/>
      <w:spacing w:val="4"/>
      <w:kern w:val="18"/>
      <w:sz w:val="24"/>
      <w:lang w:val="en-US" w:eastAsia="zh-CN"/>
    </w:rPr>
  </w:style>
  <w:style w:type="character" w:customStyle="1" w:styleId="90">
    <w:name w:val="表格正文 Char1"/>
    <w:qFormat/>
    <w:uiPriority w:val="99"/>
    <w:rPr>
      <w:rFonts w:ascii="宋体" w:eastAsia="宋体"/>
      <w:snapToGrid w:val="0"/>
      <w:spacing w:val="4"/>
      <w:w w:val="90"/>
      <w:sz w:val="24"/>
      <w:lang w:val="en-US" w:eastAsia="zh-CN"/>
    </w:rPr>
  </w:style>
  <w:style w:type="character" w:customStyle="1" w:styleId="91">
    <w:name w:val="小四+首行缩进 Char2"/>
    <w:link w:val="92"/>
    <w:qFormat/>
    <w:locked/>
    <w:uiPriority w:val="99"/>
    <w:rPr>
      <w:rFonts w:ascii="宋体" w:hAnsi="宋体" w:eastAsia="宋体"/>
      <w:sz w:val="24"/>
    </w:rPr>
  </w:style>
  <w:style w:type="paragraph" w:customStyle="1" w:styleId="92">
    <w:name w:val="小四+首行缩进"/>
    <w:basedOn w:val="1"/>
    <w:link w:val="91"/>
    <w:qFormat/>
    <w:uiPriority w:val="99"/>
    <w:pPr>
      <w:spacing w:line="360" w:lineRule="auto"/>
      <w:ind w:firstLine="482"/>
    </w:pPr>
    <w:rPr>
      <w:rFonts w:ascii="宋体" w:hAnsi="宋体"/>
      <w:kern w:val="0"/>
      <w:sz w:val="24"/>
    </w:rPr>
  </w:style>
  <w:style w:type="character" w:customStyle="1" w:styleId="93">
    <w:name w:val="title"/>
    <w:basedOn w:val="29"/>
    <w:qFormat/>
    <w:uiPriority w:val="99"/>
    <w:rPr>
      <w:rFonts w:cs="Times New Roman"/>
    </w:rPr>
  </w:style>
  <w:style w:type="character" w:customStyle="1" w:styleId="94">
    <w:name w:val="表格内正文 Char Char Char"/>
    <w:link w:val="95"/>
    <w:qFormat/>
    <w:locked/>
    <w:uiPriority w:val="99"/>
    <w:rPr>
      <w:rFonts w:ascii="宋体" w:hAnsi="宋体" w:eastAsia="宋体"/>
      <w:spacing w:val="4"/>
      <w:kern w:val="18"/>
      <w:sz w:val="24"/>
    </w:rPr>
  </w:style>
  <w:style w:type="paragraph" w:customStyle="1" w:styleId="95">
    <w:name w:val="表格内正文 Char Char"/>
    <w:basedOn w:val="1"/>
    <w:link w:val="94"/>
    <w:qFormat/>
    <w:uiPriority w:val="99"/>
    <w:pPr>
      <w:spacing w:line="360" w:lineRule="auto"/>
      <w:ind w:firstLine="493"/>
    </w:pPr>
    <w:rPr>
      <w:rFonts w:ascii="宋体" w:hAnsi="宋体"/>
      <w:spacing w:val="4"/>
      <w:kern w:val="18"/>
      <w:sz w:val="24"/>
    </w:rPr>
  </w:style>
  <w:style w:type="character" w:customStyle="1" w:styleId="96">
    <w:name w:val="文本正文 Char"/>
    <w:qFormat/>
    <w:uiPriority w:val="99"/>
    <w:rPr>
      <w:rFonts w:ascii="宋体" w:eastAsia="宋体"/>
      <w:snapToGrid w:val="0"/>
      <w:spacing w:val="4"/>
      <w:kern w:val="18"/>
      <w:sz w:val="24"/>
      <w:lang w:val="en-US" w:eastAsia="zh-CN"/>
    </w:rPr>
  </w:style>
  <w:style w:type="character" w:customStyle="1" w:styleId="97">
    <w:name w:val="表格正文 Char"/>
    <w:link w:val="98"/>
    <w:qFormat/>
    <w:locked/>
    <w:uiPriority w:val="99"/>
    <w:rPr>
      <w:rFonts w:ascii="宋体" w:eastAsia="宋体"/>
      <w:snapToGrid w:val="0"/>
      <w:spacing w:val="4"/>
      <w:w w:val="90"/>
      <w:sz w:val="24"/>
    </w:rPr>
  </w:style>
  <w:style w:type="paragraph" w:customStyle="1" w:styleId="98">
    <w:name w:val="表格正文"/>
    <w:basedOn w:val="1"/>
    <w:next w:val="1"/>
    <w:link w:val="97"/>
    <w:qFormat/>
    <w:uiPriority w:val="99"/>
    <w:pPr>
      <w:adjustRightInd w:val="0"/>
      <w:snapToGrid w:val="0"/>
      <w:jc w:val="center"/>
      <w:textAlignment w:val="baseline"/>
    </w:pPr>
    <w:rPr>
      <w:rFonts w:ascii="宋体" w:hAnsi="Calibri"/>
      <w:snapToGrid w:val="0"/>
      <w:spacing w:val="4"/>
      <w:w w:val="90"/>
      <w:kern w:val="0"/>
      <w:sz w:val="24"/>
    </w:rPr>
  </w:style>
  <w:style w:type="character" w:customStyle="1" w:styleId="99">
    <w:name w:val="表头 Char"/>
    <w:link w:val="100"/>
    <w:qFormat/>
    <w:locked/>
    <w:uiPriority w:val="99"/>
    <w:rPr>
      <w:rFonts w:ascii="宋体" w:eastAsia="宋体"/>
      <w:snapToGrid w:val="0"/>
      <w:spacing w:val="4"/>
      <w:kern w:val="18"/>
      <w:sz w:val="24"/>
    </w:rPr>
  </w:style>
  <w:style w:type="paragraph" w:customStyle="1" w:styleId="100">
    <w:name w:val="表头"/>
    <w:basedOn w:val="9"/>
    <w:link w:val="99"/>
    <w:qFormat/>
    <w:uiPriority w:val="99"/>
    <w:pPr>
      <w:ind w:firstLine="0"/>
      <w:jc w:val="center"/>
    </w:pPr>
    <w:rPr>
      <w:snapToGrid w:val="0"/>
    </w:rPr>
  </w:style>
  <w:style w:type="character" w:customStyle="1" w:styleId="101">
    <w:name w:val="apple-converted-space"/>
    <w:basedOn w:val="29"/>
    <w:qFormat/>
    <w:uiPriority w:val="99"/>
    <w:rPr>
      <w:rFonts w:cs="Times New Roman"/>
    </w:rPr>
  </w:style>
  <w:style w:type="character" w:customStyle="1" w:styleId="102">
    <w:name w:val="Char Char"/>
    <w:link w:val="103"/>
    <w:qFormat/>
    <w:locked/>
    <w:uiPriority w:val="99"/>
    <w:rPr>
      <w:rFonts w:ascii="宋体" w:eastAsia="宋体"/>
      <w:snapToGrid w:val="0"/>
      <w:spacing w:val="4"/>
      <w:kern w:val="18"/>
      <w:sz w:val="24"/>
    </w:rPr>
  </w:style>
  <w:style w:type="paragraph" w:customStyle="1" w:styleId="103">
    <w:name w:val="Char"/>
    <w:basedOn w:val="1"/>
    <w:link w:val="102"/>
    <w:qFormat/>
    <w:uiPriority w:val="99"/>
    <w:rPr>
      <w:rFonts w:ascii="宋体" w:hAnsi="Calibri"/>
      <w:snapToGrid w:val="0"/>
      <w:spacing w:val="4"/>
      <w:kern w:val="18"/>
      <w:sz w:val="24"/>
    </w:rPr>
  </w:style>
  <w:style w:type="character" w:customStyle="1" w:styleId="104">
    <w:name w:val="表格正文3 Char Char"/>
    <w:link w:val="105"/>
    <w:qFormat/>
    <w:locked/>
    <w:uiPriority w:val="99"/>
    <w:rPr>
      <w:rFonts w:ascii="宋体" w:hAnsi="宋体" w:eastAsia="宋体"/>
      <w:spacing w:val="4"/>
      <w:sz w:val="24"/>
    </w:rPr>
  </w:style>
  <w:style w:type="paragraph" w:customStyle="1" w:styleId="105">
    <w:name w:val="表格正文3 Char"/>
    <w:basedOn w:val="1"/>
    <w:link w:val="104"/>
    <w:qFormat/>
    <w:uiPriority w:val="99"/>
    <w:pPr>
      <w:adjustRightInd w:val="0"/>
      <w:spacing w:line="360" w:lineRule="auto"/>
      <w:textAlignment w:val="baseline"/>
    </w:pPr>
    <w:rPr>
      <w:rFonts w:ascii="宋体" w:hAnsi="宋体"/>
      <w:spacing w:val="4"/>
      <w:kern w:val="0"/>
      <w:sz w:val="24"/>
    </w:rPr>
  </w:style>
  <w:style w:type="character" w:customStyle="1" w:styleId="106">
    <w:name w:val="样式 宋体 小四"/>
    <w:qFormat/>
    <w:uiPriority w:val="99"/>
    <w:rPr>
      <w:rFonts w:ascii="宋体" w:hAnsi="宋体" w:eastAsia="宋体"/>
      <w:sz w:val="24"/>
    </w:rPr>
  </w:style>
  <w:style w:type="paragraph" w:customStyle="1" w:styleId="107">
    <w:name w:val="Char Char Char Char1"/>
    <w:basedOn w:val="1"/>
    <w:qFormat/>
    <w:uiPriority w:val="99"/>
    <w:pPr>
      <w:widowControl/>
      <w:spacing w:after="160" w:line="240" w:lineRule="exact"/>
      <w:jc w:val="left"/>
    </w:pPr>
  </w:style>
  <w:style w:type="paragraph" w:customStyle="1" w:styleId="108">
    <w:name w:val="居中正文"/>
    <w:basedOn w:val="8"/>
    <w:qFormat/>
    <w:uiPriority w:val="99"/>
    <w:pPr>
      <w:adjustRightInd w:val="0"/>
      <w:spacing w:before="120" w:after="0" w:line="360" w:lineRule="auto"/>
      <w:ind w:firstLine="0" w:firstLineChars="0"/>
      <w:jc w:val="center"/>
      <w:textAlignment w:val="baseline"/>
    </w:pPr>
    <w:rPr>
      <w:rFonts w:ascii="宋体"/>
      <w:kern w:val="28"/>
      <w:sz w:val="24"/>
    </w:rPr>
  </w:style>
  <w:style w:type="paragraph" w:customStyle="1" w:styleId="109">
    <w:name w:val="样式 仿宋_GB2312 行距: 1.5 倍行距"/>
    <w:basedOn w:val="1"/>
    <w:qFormat/>
    <w:uiPriority w:val="99"/>
    <w:pPr>
      <w:spacing w:line="360" w:lineRule="auto"/>
      <w:ind w:firstLine="420" w:firstLineChars="200"/>
    </w:pPr>
    <w:rPr>
      <w:rFonts w:ascii="FangSong_GB2312" w:hAnsi="FangSong_GB2312" w:cs="宋体"/>
      <w:sz w:val="24"/>
    </w:rPr>
  </w:style>
  <w:style w:type="paragraph" w:customStyle="1" w:styleId="110">
    <w:name w:val="Char11"/>
    <w:basedOn w:val="1"/>
    <w:qFormat/>
    <w:uiPriority w:val="99"/>
    <w:rPr>
      <w:szCs w:val="24"/>
    </w:rPr>
  </w:style>
  <w:style w:type="paragraph" w:customStyle="1" w:styleId="111">
    <w:name w:val="文章正文 Char"/>
    <w:basedOn w:val="4"/>
    <w:qFormat/>
    <w:uiPriority w:val="99"/>
    <w:pPr>
      <w:widowControl/>
      <w:spacing w:before="0" w:line="520" w:lineRule="exact"/>
      <w:ind w:firstLine="200" w:firstLineChars="200"/>
      <w:jc w:val="left"/>
    </w:pPr>
    <w:rPr>
      <w:rFonts w:ascii="宋体" w:hAnsi="宋体"/>
    </w:rPr>
  </w:style>
  <w:style w:type="paragraph" w:customStyle="1" w:styleId="112">
    <w:name w:val="Char Char Char Char"/>
    <w:basedOn w:val="1"/>
    <w:qFormat/>
    <w:uiPriority w:val="99"/>
    <w:pPr>
      <w:widowControl/>
      <w:spacing w:after="160" w:line="240" w:lineRule="exact"/>
      <w:jc w:val="left"/>
    </w:pPr>
  </w:style>
  <w:style w:type="paragraph" w:customStyle="1" w:styleId="113">
    <w:name w:val="Char Char Char Char Char Char Char1"/>
    <w:basedOn w:val="1"/>
    <w:qFormat/>
    <w:uiPriority w:val="99"/>
    <w:pPr>
      <w:widowControl/>
      <w:spacing w:after="160" w:line="240" w:lineRule="exact"/>
      <w:jc w:val="left"/>
    </w:pPr>
    <w:rPr>
      <w:rFonts w:ascii="宋体"/>
      <w:spacing w:val="4"/>
      <w:sz w:val="24"/>
    </w:rPr>
  </w:style>
  <w:style w:type="paragraph" w:customStyle="1" w:styleId="114">
    <w:name w:val="标题02"/>
    <w:basedOn w:val="1"/>
    <w:next w:val="1"/>
    <w:qFormat/>
    <w:uiPriority w:val="99"/>
    <w:pPr>
      <w:snapToGrid w:val="0"/>
      <w:spacing w:line="440" w:lineRule="atLeast"/>
      <w:outlineLvl w:val="1"/>
    </w:pPr>
    <w:rPr>
      <w:b/>
      <w:sz w:val="24"/>
    </w:rPr>
  </w:style>
  <w:style w:type="paragraph" w:customStyle="1" w:styleId="115">
    <w:name w:val="中文报告书样式"/>
    <w:basedOn w:val="1"/>
    <w:qFormat/>
    <w:uiPriority w:val="99"/>
    <w:pPr>
      <w:adjustRightInd w:val="0"/>
      <w:spacing w:line="480" w:lineRule="atLeast"/>
      <w:ind w:firstLine="482"/>
      <w:textAlignment w:val="baseline"/>
    </w:pPr>
    <w:rPr>
      <w:kern w:val="24"/>
      <w:sz w:val="24"/>
    </w:rPr>
  </w:style>
  <w:style w:type="paragraph" w:customStyle="1" w:styleId="116">
    <w:name w:val="Char Char Char Char Char Char Char Char Char Char Char Char Char Char Char Char Char Char Char Char Char1"/>
    <w:basedOn w:val="1"/>
    <w:qFormat/>
    <w:uiPriority w:val="99"/>
    <w:rPr>
      <w:szCs w:val="24"/>
    </w:rPr>
  </w:style>
  <w:style w:type="paragraph" w:customStyle="1" w:styleId="117">
    <w:name w:val="正文 + 小四"/>
    <w:basedOn w:val="1"/>
    <w:qFormat/>
    <w:uiPriority w:val="99"/>
    <w:pPr>
      <w:spacing w:line="396" w:lineRule="auto"/>
      <w:ind w:firstLine="480" w:firstLineChars="200"/>
    </w:pPr>
    <w:rPr>
      <w:color w:val="FF0000"/>
      <w:kern w:val="0"/>
      <w:sz w:val="24"/>
    </w:rPr>
  </w:style>
  <w:style w:type="paragraph" w:customStyle="1" w:styleId="118">
    <w:name w:val="表中文字"/>
    <w:basedOn w:val="13"/>
    <w:qFormat/>
    <w:uiPriority w:val="99"/>
    <w:pPr>
      <w:spacing w:after="0"/>
      <w:jc w:val="center"/>
    </w:pPr>
    <w:rPr>
      <w:rFonts w:ascii="宋体"/>
      <w:spacing w:val="4"/>
      <w:w w:val="90"/>
      <w:sz w:val="24"/>
    </w:rPr>
  </w:style>
  <w:style w:type="paragraph" w:customStyle="1" w:styleId="119">
    <w:name w:val="正文样式1"/>
    <w:basedOn w:val="1"/>
    <w:qFormat/>
    <w:uiPriority w:val="99"/>
    <w:pPr>
      <w:widowControl/>
      <w:spacing w:line="360" w:lineRule="auto"/>
      <w:ind w:firstLine="480" w:firstLineChars="200"/>
    </w:pPr>
    <w:rPr>
      <w:rFonts w:ascii="宋体" w:hAnsi="Courier New" w:cs="Courier New"/>
      <w:kern w:val="0"/>
      <w:sz w:val="24"/>
      <w:szCs w:val="21"/>
    </w:rPr>
  </w:style>
  <w:style w:type="paragraph" w:customStyle="1" w:styleId="120">
    <w:name w:val="Char Char Char Char Char Char Char Char Char Char Char Char Char Char Char Char Char Char Char Char Char"/>
    <w:basedOn w:val="1"/>
    <w:qFormat/>
    <w:uiPriority w:val="99"/>
  </w:style>
  <w:style w:type="paragraph" w:customStyle="1" w:styleId="121">
    <w:name w:val="文本正文"/>
    <w:basedOn w:val="1"/>
    <w:qFormat/>
    <w:uiPriority w:val="99"/>
    <w:pPr>
      <w:autoSpaceDE w:val="0"/>
      <w:autoSpaceDN w:val="0"/>
      <w:adjustRightInd w:val="0"/>
      <w:spacing w:line="360" w:lineRule="auto"/>
      <w:ind w:firstLine="200" w:firstLineChars="200"/>
      <w:textAlignment w:val="baseline"/>
    </w:pPr>
    <w:rPr>
      <w:rFonts w:ascii="宋体" w:hAnsi="宋体"/>
      <w:color w:val="000000"/>
      <w:spacing w:val="4"/>
      <w:kern w:val="18"/>
      <w:sz w:val="24"/>
    </w:rPr>
  </w:style>
  <w:style w:type="paragraph" w:customStyle="1" w:styleId="122">
    <w:name w:val="Char Char Char Char Char Char1 Char Char Char Char"/>
    <w:basedOn w:val="1"/>
    <w:qFormat/>
    <w:uiPriority w:val="99"/>
    <w:rPr>
      <w:szCs w:val="24"/>
    </w:rPr>
  </w:style>
  <w:style w:type="paragraph" w:customStyle="1" w:styleId="123">
    <w:name w:val="Char Char Char1 Char"/>
    <w:basedOn w:val="1"/>
    <w:qFormat/>
    <w:uiPriority w:val="99"/>
  </w:style>
  <w:style w:type="paragraph" w:customStyle="1" w:styleId="124">
    <w:name w:val="正文 首行缩进:  2 字符"/>
    <w:basedOn w:val="1"/>
    <w:qFormat/>
    <w:uiPriority w:val="99"/>
    <w:pPr>
      <w:spacing w:line="420" w:lineRule="exact"/>
      <w:ind w:firstLine="422" w:firstLineChars="200"/>
      <w:jc w:val="center"/>
    </w:pPr>
    <w:rPr>
      <w:rFonts w:ascii="宋体" w:hAnsi="宋体"/>
      <w:b/>
      <w:szCs w:val="21"/>
    </w:rPr>
  </w:style>
  <w:style w:type="paragraph" w:customStyle="1" w:styleId="125">
    <w:name w:val="Char Char Char Char Char Char Char Char Char Char Char Char Char Char Char Char Char Char Char Char Char Char"/>
    <w:basedOn w:val="1"/>
    <w:next w:val="1"/>
    <w:qFormat/>
    <w:uiPriority w:val="99"/>
    <w:pPr>
      <w:spacing w:line="360" w:lineRule="auto"/>
      <w:ind w:firstLine="200" w:firstLineChars="200"/>
    </w:pPr>
  </w:style>
  <w:style w:type="paragraph" w:customStyle="1" w:styleId="126">
    <w:name w:val="Char12"/>
    <w:basedOn w:val="1"/>
    <w:qFormat/>
    <w:uiPriority w:val="99"/>
    <w:rPr>
      <w:sz w:val="32"/>
      <w:szCs w:val="32"/>
    </w:rPr>
  </w:style>
  <w:style w:type="paragraph" w:customStyle="1" w:styleId="127">
    <w:name w:val="简单回函地址"/>
    <w:basedOn w:val="1"/>
    <w:qFormat/>
    <w:uiPriority w:val="99"/>
    <w:pPr>
      <w:adjustRightInd w:val="0"/>
      <w:spacing w:line="312" w:lineRule="atLeast"/>
      <w:textAlignment w:val="baseline"/>
    </w:pPr>
    <w:rPr>
      <w:kern w:val="0"/>
    </w:rPr>
  </w:style>
  <w:style w:type="paragraph" w:customStyle="1" w:styleId="128">
    <w:name w:val="样式 正文文本文本正文正文文字 Char Char Char Char + 居中 首行缩进:  0 厘米 段前: 6 磅"/>
    <w:basedOn w:val="9"/>
    <w:qFormat/>
    <w:uiPriority w:val="99"/>
    <w:pPr>
      <w:spacing w:before="120" w:line="240" w:lineRule="auto"/>
      <w:ind w:firstLine="0"/>
      <w:jc w:val="center"/>
    </w:pPr>
    <w:rPr>
      <w:spacing w:val="0"/>
      <w:w w:val="90"/>
      <w:kern w:val="2"/>
    </w:rPr>
  </w:style>
  <w:style w:type="paragraph" w:customStyle="1" w:styleId="129">
    <w:name w:val="胡奔流-标题4"/>
    <w:basedOn w:val="1"/>
    <w:qFormat/>
    <w:uiPriority w:val="99"/>
    <w:pPr>
      <w:adjustRightInd w:val="0"/>
      <w:spacing w:before="240" w:after="240" w:line="360" w:lineRule="auto"/>
      <w:textAlignment w:val="baseline"/>
    </w:pPr>
    <w:rPr>
      <w:rFonts w:ascii="宋体"/>
      <w:spacing w:val="10"/>
      <w:kern w:val="21"/>
      <w:sz w:val="24"/>
    </w:rPr>
  </w:style>
  <w:style w:type="paragraph" w:customStyle="1" w:styleId="130">
    <w:name w:val="Char Char Char Char Char Char1 Char Char Char Char1"/>
    <w:basedOn w:val="1"/>
    <w:qFormat/>
    <w:uiPriority w:val="99"/>
    <w:rPr>
      <w:szCs w:val="24"/>
    </w:rPr>
  </w:style>
  <w:style w:type="paragraph" w:customStyle="1" w:styleId="131">
    <w:name w:val="Char Char Char Char Char Char1 Char Char Char Char Char Char Char Char Char Char Char Char Char Char Char Char Char Char Char Char Char Char Char Char Char"/>
    <w:basedOn w:val="1"/>
    <w:qFormat/>
    <w:uiPriority w:val="99"/>
    <w:rPr>
      <w:sz w:val="24"/>
      <w:szCs w:val="24"/>
    </w:rPr>
  </w:style>
  <w:style w:type="paragraph" w:customStyle="1" w:styleId="132">
    <w:name w:val="3级标题"/>
    <w:basedOn w:val="1"/>
    <w:qFormat/>
    <w:uiPriority w:val="99"/>
    <w:pPr>
      <w:spacing w:before="300" w:line="460" w:lineRule="exact"/>
      <w:outlineLvl w:val="2"/>
    </w:pPr>
    <w:rPr>
      <w:b/>
      <w:sz w:val="24"/>
    </w:rPr>
  </w:style>
  <w:style w:type="paragraph" w:customStyle="1" w:styleId="133">
    <w:name w:val="正文首行缩进2个字"/>
    <w:basedOn w:val="1"/>
    <w:qFormat/>
    <w:uiPriority w:val="99"/>
    <w:pPr>
      <w:ind w:firstLine="480" w:firstLineChars="200"/>
    </w:pPr>
    <w:rPr>
      <w:rFonts w:eastAsia="楷体"/>
      <w:sz w:val="24"/>
    </w:rPr>
  </w:style>
  <w:style w:type="paragraph" w:customStyle="1" w:styleId="134">
    <w:name w:val="Char Char Char Char Char Char Char Char Char Char Char Char Char"/>
    <w:basedOn w:val="1"/>
    <w:qFormat/>
    <w:uiPriority w:val="99"/>
  </w:style>
  <w:style w:type="paragraph" w:customStyle="1" w:styleId="135">
    <w:name w:val="Char Char Char Char1 Char Char Char Char Char Char Char Char Char2"/>
    <w:basedOn w:val="1"/>
    <w:qFormat/>
    <w:uiPriority w:val="99"/>
    <w:rPr>
      <w:szCs w:val="21"/>
    </w:rPr>
  </w:style>
  <w:style w:type="paragraph" w:customStyle="1" w:styleId="136">
    <w:name w:val="样式1"/>
    <w:basedOn w:val="1"/>
    <w:qFormat/>
    <w:uiPriority w:val="99"/>
    <w:pPr>
      <w:spacing w:line="360" w:lineRule="auto"/>
      <w:ind w:firstLine="425"/>
    </w:pPr>
    <w:rPr>
      <w:kern w:val="44"/>
    </w:rPr>
  </w:style>
  <w:style w:type="paragraph" w:customStyle="1" w:styleId="137">
    <w:name w:val="Char Char Char Char Char Char Char Char Char Char Char Char Char Char Char"/>
    <w:basedOn w:val="1"/>
    <w:qFormat/>
    <w:uiPriority w:val="99"/>
  </w:style>
  <w:style w:type="paragraph" w:customStyle="1" w:styleId="138">
    <w:name w:val="表格标题"/>
    <w:basedOn w:val="1"/>
    <w:qFormat/>
    <w:uiPriority w:val="99"/>
    <w:pPr>
      <w:spacing w:before="120"/>
      <w:jc w:val="center"/>
    </w:pPr>
    <w:rPr>
      <w:sz w:val="24"/>
    </w:rPr>
  </w:style>
  <w:style w:type="paragraph" w:customStyle="1" w:styleId="139">
    <w:name w:val="1级标题"/>
    <w:basedOn w:val="1"/>
    <w:qFormat/>
    <w:uiPriority w:val="99"/>
    <w:pPr>
      <w:spacing w:beforeLines="100" w:afterLines="100"/>
      <w:jc w:val="center"/>
      <w:outlineLvl w:val="0"/>
    </w:pPr>
    <w:rPr>
      <w:rFonts w:cs="宋体"/>
      <w:b/>
      <w:bCs/>
      <w:kern w:val="44"/>
      <w:sz w:val="30"/>
    </w:rPr>
  </w:style>
  <w:style w:type="paragraph" w:customStyle="1" w:styleId="140">
    <w:name w:val="0正文"/>
    <w:basedOn w:val="14"/>
    <w:qFormat/>
    <w:uiPriority w:val="99"/>
    <w:pPr>
      <w:spacing w:after="0" w:line="300" w:lineRule="auto"/>
      <w:ind w:left="0" w:leftChars="0" w:firstLine="480" w:firstLineChars="200"/>
    </w:pPr>
    <w:rPr>
      <w:rFonts w:cs="宋体"/>
      <w:kern w:val="0"/>
      <w:sz w:val="24"/>
    </w:rPr>
  </w:style>
  <w:style w:type="paragraph" w:customStyle="1" w:styleId="141">
    <w:name w:val="Char Char Char Char Char Char Char Char Char Char Char Char Char Char Char1 Char Char Char Char"/>
    <w:basedOn w:val="1"/>
    <w:qFormat/>
    <w:uiPriority w:val="99"/>
  </w:style>
  <w:style w:type="paragraph" w:customStyle="1" w:styleId="142">
    <w:name w:val="Char Char Char Char2"/>
    <w:basedOn w:val="1"/>
    <w:qFormat/>
    <w:uiPriority w:val="99"/>
    <w:pPr>
      <w:widowControl/>
      <w:spacing w:after="160" w:line="240" w:lineRule="exact"/>
      <w:jc w:val="left"/>
    </w:pPr>
  </w:style>
  <w:style w:type="paragraph" w:customStyle="1" w:styleId="143">
    <w:name w:val="标题3 Char Char Char Char"/>
    <w:basedOn w:val="1"/>
    <w:qFormat/>
    <w:uiPriority w:val="99"/>
    <w:pPr>
      <w:spacing w:afterLines="50" w:line="560" w:lineRule="exact"/>
    </w:pPr>
    <w:rPr>
      <w:rFonts w:eastAsia="黑体"/>
      <w:sz w:val="30"/>
      <w:szCs w:val="30"/>
    </w:rPr>
  </w:style>
  <w:style w:type="paragraph" w:customStyle="1" w:styleId="144">
    <w:name w:val="HJN-ZZ"/>
    <w:basedOn w:val="1"/>
    <w:qFormat/>
    <w:uiPriority w:val="99"/>
    <w:pPr>
      <w:adjustRightInd w:val="0"/>
      <w:spacing w:line="360" w:lineRule="auto"/>
      <w:ind w:firstLine="482"/>
      <w:jc w:val="left"/>
      <w:textAlignment w:val="baseline"/>
    </w:pPr>
    <w:rPr>
      <w:rFonts w:ascii="宋体" w:hAnsi="宋体"/>
      <w:kern w:val="21"/>
      <w:sz w:val="24"/>
    </w:rPr>
  </w:style>
  <w:style w:type="paragraph" w:customStyle="1" w:styleId="145">
    <w:name w:val="6表内容"/>
    <w:basedOn w:val="1"/>
    <w:qFormat/>
    <w:uiPriority w:val="99"/>
    <w:pPr>
      <w:spacing w:line="340" w:lineRule="exact"/>
      <w:jc w:val="center"/>
    </w:pPr>
    <w:rPr>
      <w:rFonts w:cs="宋体"/>
      <w:color w:val="000000"/>
    </w:rPr>
  </w:style>
  <w:style w:type="paragraph" w:customStyle="1" w:styleId="146">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47">
    <w:name w:val="样式 文本正文 + 首行缩进:  2 字符3"/>
    <w:basedOn w:val="9"/>
    <w:qFormat/>
    <w:uiPriority w:val="99"/>
    <w:pPr>
      <w:autoSpaceDE w:val="0"/>
      <w:autoSpaceDN w:val="0"/>
      <w:ind w:firstLine="496" w:firstLineChars="200"/>
    </w:pPr>
    <w:rPr>
      <w:rFonts w:hAnsi="宋体"/>
      <w:color w:val="000000"/>
      <w:spacing w:val="0"/>
      <w:kern w:val="21"/>
    </w:rPr>
  </w:style>
  <w:style w:type="paragraph" w:customStyle="1" w:styleId="148">
    <w:name w:val="Char Char Char Char Char Char Char Char Char Char Char Char Char Char Char1 Char Char Char"/>
    <w:basedOn w:val="1"/>
    <w:qFormat/>
    <w:uiPriority w:val="99"/>
  </w:style>
  <w:style w:type="paragraph" w:customStyle="1" w:styleId="149">
    <w:name w:val="p0"/>
    <w:basedOn w:val="1"/>
    <w:qFormat/>
    <w:uiPriority w:val="99"/>
    <w:pPr>
      <w:widowControl/>
    </w:pPr>
    <w:rPr>
      <w:kern w:val="0"/>
    </w:rPr>
  </w:style>
  <w:style w:type="paragraph" w:customStyle="1" w:styleId="150">
    <w:name w:val="正文3"/>
    <w:qFormat/>
    <w:uiPriority w:val="99"/>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151">
    <w:name w:val="Char Char1 Char Char Char Char Char Char Char Char Char Char Char Char Char Char Char Char Char Char Char Char1 Char"/>
    <w:basedOn w:val="21"/>
    <w:qFormat/>
    <w:uiPriority w:val="99"/>
    <w:pPr>
      <w:widowControl/>
      <w:adjustRightInd w:val="0"/>
      <w:snapToGrid w:val="0"/>
      <w:spacing w:after="0" w:line="360" w:lineRule="auto"/>
      <w:ind w:left="0" w:leftChars="0" w:firstLine="200"/>
      <w:jc w:val="left"/>
    </w:pPr>
    <w:rPr>
      <w:rFonts w:ascii="宋体" w:cs="宋体"/>
      <w:kern w:val="0"/>
      <w:sz w:val="24"/>
      <w:szCs w:val="24"/>
    </w:rPr>
  </w:style>
  <w:style w:type="paragraph" w:customStyle="1" w:styleId="152">
    <w:name w:val="报告正文"/>
    <w:basedOn w:val="21"/>
    <w:qFormat/>
    <w:uiPriority w:val="99"/>
    <w:pPr>
      <w:spacing w:before="240" w:line="360" w:lineRule="auto"/>
      <w:ind w:left="902" w:leftChars="0" w:firstLine="200"/>
    </w:pPr>
    <w:rPr>
      <w:sz w:val="24"/>
    </w:rPr>
  </w:style>
  <w:style w:type="paragraph" w:customStyle="1" w:styleId="153">
    <w:name w:val="六表内容"/>
    <w:basedOn w:val="1"/>
    <w:qFormat/>
    <w:uiPriority w:val="99"/>
    <w:pPr>
      <w:widowControl/>
      <w:spacing w:line="340" w:lineRule="exact"/>
      <w:jc w:val="center"/>
    </w:pPr>
    <w:rPr>
      <w:kern w:val="0"/>
      <w:sz w:val="20"/>
      <w:szCs w:val="21"/>
    </w:rPr>
  </w:style>
  <w:style w:type="paragraph" w:customStyle="1" w:styleId="154">
    <w:name w:val="Char Char1 Char Char Char"/>
    <w:basedOn w:val="1"/>
    <w:qFormat/>
    <w:uiPriority w:val="99"/>
    <w:rPr>
      <w:sz w:val="24"/>
    </w:rPr>
  </w:style>
  <w:style w:type="paragraph" w:customStyle="1" w:styleId="155">
    <w:name w:val="标题03"/>
    <w:basedOn w:val="1"/>
    <w:qFormat/>
    <w:uiPriority w:val="99"/>
    <w:pPr>
      <w:tabs>
        <w:tab w:val="left" w:pos="860"/>
        <w:tab w:val="left" w:pos="960"/>
        <w:tab w:val="left" w:pos="1075"/>
      </w:tabs>
      <w:snapToGrid w:val="0"/>
      <w:spacing w:line="440" w:lineRule="atLeast"/>
      <w:ind w:left="960" w:hanging="720"/>
      <w:outlineLvl w:val="2"/>
    </w:pPr>
    <w:rPr>
      <w:b/>
      <w:sz w:val="24"/>
    </w:rPr>
  </w:style>
  <w:style w:type="paragraph" w:customStyle="1" w:styleId="156">
    <w:name w:val="xl48"/>
    <w:basedOn w:val="1"/>
    <w:qFormat/>
    <w:uiPriority w:val="99"/>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57">
    <w:name w:val="Char Char Char Char Char Char Char"/>
    <w:basedOn w:val="1"/>
    <w:qFormat/>
    <w:uiPriority w:val="99"/>
  </w:style>
  <w:style w:type="paragraph" w:customStyle="1" w:styleId="158">
    <w:name w:val="文章正文样式"/>
    <w:basedOn w:val="1"/>
    <w:qFormat/>
    <w:uiPriority w:val="99"/>
    <w:pPr>
      <w:spacing w:line="520" w:lineRule="exact"/>
      <w:ind w:firstLine="480" w:firstLineChars="200"/>
      <w:jc w:val="left"/>
    </w:pPr>
    <w:rPr>
      <w:rFonts w:ascii="宋体" w:hAnsi="宋体" w:cs="宋体"/>
      <w:sz w:val="24"/>
    </w:rPr>
  </w:style>
  <w:style w:type="paragraph" w:customStyle="1" w:styleId="159">
    <w:name w:val="1表格"/>
    <w:basedOn w:val="1"/>
    <w:qFormat/>
    <w:uiPriority w:val="99"/>
    <w:pPr>
      <w:spacing w:line="160" w:lineRule="atLeast"/>
      <w:jc w:val="center"/>
    </w:pPr>
  </w:style>
  <w:style w:type="paragraph" w:customStyle="1" w:styleId="160">
    <w:name w:val="表后文字"/>
    <w:next w:val="1"/>
    <w:qFormat/>
    <w:uiPriority w:val="99"/>
    <w:pPr>
      <w:ind w:firstLine="493"/>
    </w:pPr>
    <w:rPr>
      <w:rFonts w:ascii="宋体" w:hAnsi="Times New Roman" w:eastAsia="宋体" w:cs="Times New Roman"/>
      <w:spacing w:val="4"/>
      <w:w w:val="80"/>
      <w:kern w:val="18"/>
      <w:sz w:val="24"/>
      <w:lang w:val="en-US" w:eastAsia="zh-CN" w:bidi="ar-SA"/>
    </w:rPr>
  </w:style>
  <w:style w:type="paragraph" w:customStyle="1" w:styleId="161">
    <w:name w:val="Default"/>
    <w:link w:val="207"/>
    <w:qFormat/>
    <w:uiPriority w:val="0"/>
    <w:pPr>
      <w:widowControl w:val="0"/>
      <w:autoSpaceDE w:val="0"/>
      <w:autoSpaceDN w:val="0"/>
      <w:adjustRightInd w:val="0"/>
    </w:pPr>
    <w:rPr>
      <w:rFonts w:ascii="宋体..壮.." w:hAnsi="Times New Roman" w:eastAsia="宋体..壮.." w:cs="宋体..壮.."/>
      <w:color w:val="000000"/>
      <w:sz w:val="24"/>
      <w:szCs w:val="24"/>
      <w:lang w:val="en-US" w:eastAsia="zh-CN" w:bidi="ar-SA"/>
    </w:rPr>
  </w:style>
  <w:style w:type="paragraph" w:customStyle="1" w:styleId="162">
    <w:name w:val="七表后"/>
    <w:basedOn w:val="1"/>
    <w:qFormat/>
    <w:uiPriority w:val="99"/>
    <w:pPr>
      <w:spacing w:line="240" w:lineRule="exact"/>
    </w:pPr>
    <w:rPr>
      <w:szCs w:val="24"/>
    </w:rPr>
  </w:style>
  <w:style w:type="paragraph" w:customStyle="1" w:styleId="163">
    <w:name w:val="表"/>
    <w:basedOn w:val="1"/>
    <w:qFormat/>
    <w:uiPriority w:val="99"/>
    <w:pPr>
      <w:snapToGrid w:val="0"/>
      <w:jc w:val="center"/>
    </w:pPr>
    <w:rPr>
      <w:spacing w:val="2"/>
    </w:rPr>
  </w:style>
  <w:style w:type="paragraph" w:customStyle="1" w:styleId="164">
    <w:name w:val="表格001"/>
    <w:basedOn w:val="1"/>
    <w:qFormat/>
    <w:uiPriority w:val="99"/>
    <w:pPr>
      <w:jc w:val="center"/>
    </w:pPr>
  </w:style>
  <w:style w:type="paragraph" w:customStyle="1" w:styleId="165">
    <w:name w:val="样式 文本正文 + 仿宋_GB2312"/>
    <w:basedOn w:val="1"/>
    <w:qFormat/>
    <w:uiPriority w:val="99"/>
    <w:pPr>
      <w:autoSpaceDE w:val="0"/>
      <w:autoSpaceDN w:val="0"/>
      <w:adjustRightInd w:val="0"/>
      <w:spacing w:line="360" w:lineRule="auto"/>
      <w:ind w:firstLine="200" w:firstLineChars="200"/>
      <w:textAlignment w:val="baseline"/>
    </w:pPr>
    <w:rPr>
      <w:rFonts w:ascii="FangSong_GB2312" w:hAnsi="FangSong_GB2312"/>
      <w:color w:val="000000"/>
      <w:spacing w:val="4"/>
      <w:kern w:val="18"/>
      <w:sz w:val="24"/>
    </w:rPr>
  </w:style>
  <w:style w:type="paragraph" w:customStyle="1" w:styleId="166">
    <w:name w:val="样式 正文 + 宋体 小四1"/>
    <w:basedOn w:val="1"/>
    <w:qFormat/>
    <w:uiPriority w:val="99"/>
    <w:pPr>
      <w:widowControl/>
      <w:spacing w:line="360" w:lineRule="auto"/>
      <w:ind w:firstLine="480" w:firstLineChars="200"/>
      <w:jc w:val="left"/>
    </w:pPr>
    <w:rPr>
      <w:rFonts w:ascii="宋体" w:hAnsi="宋体"/>
      <w:kern w:val="0"/>
      <w:sz w:val="24"/>
    </w:rPr>
  </w:style>
  <w:style w:type="paragraph" w:customStyle="1" w:styleId="167">
    <w:name w:val="正文(首行缩进)"/>
    <w:basedOn w:val="1"/>
    <w:qFormat/>
    <w:uiPriority w:val="99"/>
    <w:pPr>
      <w:spacing w:line="360" w:lineRule="auto"/>
      <w:ind w:firstLine="510"/>
    </w:pPr>
    <w:rPr>
      <w:rFonts w:ascii="宋体" w:hAnsi="宋体"/>
      <w:kern w:val="0"/>
      <w:sz w:val="24"/>
    </w:rPr>
  </w:style>
  <w:style w:type="paragraph" w:customStyle="1" w:styleId="168">
    <w:name w:val="样式 正文文本文本正文正文文字 Char Char Char Char + 居中 首行缩进:  0 厘米 字符缩放: 9..."/>
    <w:basedOn w:val="9"/>
    <w:qFormat/>
    <w:uiPriority w:val="99"/>
    <w:pPr>
      <w:spacing w:line="240" w:lineRule="auto"/>
      <w:ind w:firstLine="0"/>
      <w:jc w:val="center"/>
    </w:pPr>
    <w:rPr>
      <w:spacing w:val="0"/>
      <w:w w:val="90"/>
      <w:kern w:val="0"/>
    </w:rPr>
  </w:style>
  <w:style w:type="paragraph" w:customStyle="1" w:styleId="169">
    <w:name w:val="标题4"/>
    <w:basedOn w:val="1"/>
    <w:qFormat/>
    <w:uiPriority w:val="99"/>
    <w:pPr>
      <w:adjustRightInd w:val="0"/>
      <w:snapToGrid w:val="0"/>
      <w:spacing w:line="360" w:lineRule="auto"/>
      <w:ind w:left="496" w:leftChars="200"/>
    </w:pPr>
    <w:rPr>
      <w:rFonts w:ascii="宋体" w:hAnsi="宋体"/>
      <w:spacing w:val="4"/>
      <w:kern w:val="0"/>
      <w:sz w:val="24"/>
    </w:rPr>
  </w:style>
  <w:style w:type="paragraph" w:customStyle="1" w:styleId="170">
    <w:name w:val="正文缩近"/>
    <w:basedOn w:val="1"/>
    <w:qFormat/>
    <w:uiPriority w:val="99"/>
    <w:pPr>
      <w:spacing w:line="360" w:lineRule="auto"/>
      <w:ind w:firstLine="560" w:firstLineChars="200"/>
    </w:pPr>
    <w:rPr>
      <w:sz w:val="28"/>
    </w:rPr>
  </w:style>
  <w:style w:type="paragraph" w:customStyle="1" w:styleId="171">
    <w:name w:val="标题 22"/>
    <w:basedOn w:val="2"/>
    <w:qFormat/>
    <w:uiPriority w:val="99"/>
    <w:pPr>
      <w:keepNext/>
      <w:keepLines/>
      <w:pageBreakBefore/>
      <w:autoSpaceDE/>
      <w:autoSpaceDN/>
      <w:adjustRightInd/>
      <w:spacing w:beforeLines="50" w:afterLines="50"/>
      <w:jc w:val="both"/>
    </w:pPr>
    <w:rPr>
      <w:rFonts w:eastAsia="黑体"/>
      <w:b/>
      <w:kern w:val="44"/>
      <w:sz w:val="24"/>
      <w:lang w:val="en-US"/>
    </w:rPr>
  </w:style>
  <w:style w:type="paragraph" w:customStyle="1" w:styleId="172">
    <w:name w:val="5表头"/>
    <w:basedOn w:val="1"/>
    <w:qFormat/>
    <w:uiPriority w:val="99"/>
    <w:pPr>
      <w:spacing w:beforeLines="50"/>
      <w:jc w:val="center"/>
    </w:pPr>
    <w:rPr>
      <w:rFonts w:eastAsia="黑体" w:cs="宋体"/>
    </w:rPr>
  </w:style>
  <w:style w:type="paragraph" w:customStyle="1" w:styleId="173">
    <w:name w:val="表格1"/>
    <w:basedOn w:val="1"/>
    <w:qFormat/>
    <w:uiPriority w:val="99"/>
    <w:pPr>
      <w:spacing w:line="360" w:lineRule="exact"/>
      <w:jc w:val="center"/>
    </w:pPr>
    <w:rPr>
      <w:rFonts w:ascii="FangSong_GB2312" w:hAnsi="宋体" w:eastAsia="Times New Roman"/>
      <w:sz w:val="18"/>
    </w:rPr>
  </w:style>
  <w:style w:type="paragraph" w:customStyle="1" w:styleId="174">
    <w:name w:val="表格文字"/>
    <w:basedOn w:val="1"/>
    <w:qFormat/>
    <w:uiPriority w:val="99"/>
    <w:pPr>
      <w:adjustRightInd w:val="0"/>
      <w:snapToGrid w:val="0"/>
      <w:jc w:val="center"/>
    </w:pPr>
    <w:rPr>
      <w:rFonts w:ascii="宋体"/>
      <w:sz w:val="24"/>
    </w:rPr>
  </w:style>
  <w:style w:type="paragraph" w:customStyle="1" w:styleId="175">
    <w:name w:val="正文文本 21"/>
    <w:basedOn w:val="1"/>
    <w:qFormat/>
    <w:uiPriority w:val="99"/>
    <w:pPr>
      <w:adjustRightInd w:val="0"/>
      <w:jc w:val="center"/>
      <w:textAlignment w:val="baseline"/>
    </w:pPr>
    <w:rPr>
      <w:sz w:val="24"/>
    </w:rPr>
  </w:style>
  <w:style w:type="paragraph" w:customStyle="1" w:styleId="176">
    <w:name w:val="表文"/>
    <w:basedOn w:val="9"/>
    <w:next w:val="4"/>
    <w:qFormat/>
    <w:uiPriority w:val="99"/>
    <w:pPr>
      <w:adjustRightInd/>
      <w:spacing w:line="240" w:lineRule="auto"/>
      <w:ind w:firstLine="0"/>
      <w:jc w:val="center"/>
      <w:textAlignment w:val="auto"/>
    </w:pPr>
    <w:rPr>
      <w:rFonts w:ascii="FangSong_GB2312" w:eastAsia="Times New Roman"/>
      <w:spacing w:val="0"/>
      <w:kern w:val="2"/>
    </w:rPr>
  </w:style>
  <w:style w:type="paragraph" w:customStyle="1" w:styleId="177">
    <w:name w:val="Char Char Char1 Char Char Char"/>
    <w:basedOn w:val="1"/>
    <w:qFormat/>
    <w:uiPriority w:val="99"/>
  </w:style>
  <w:style w:type="paragraph" w:customStyle="1" w:styleId="178">
    <w:name w:val="表格正文4"/>
    <w:basedOn w:val="98"/>
    <w:qFormat/>
    <w:uiPriority w:val="99"/>
    <w:pPr>
      <w:jc w:val="both"/>
    </w:pPr>
    <w:rPr>
      <w:spacing w:val="0"/>
    </w:rPr>
  </w:style>
  <w:style w:type="paragraph" w:customStyle="1" w:styleId="179">
    <w:name w:val="正文1"/>
    <w:basedOn w:val="1"/>
    <w:qFormat/>
    <w:uiPriority w:val="99"/>
    <w:pPr>
      <w:spacing w:line="360" w:lineRule="auto"/>
    </w:pPr>
    <w:rPr>
      <w:rFonts w:ascii="FangSong_GB2312" w:eastAsia="Times New Roman"/>
      <w:sz w:val="24"/>
    </w:rPr>
  </w:style>
  <w:style w:type="paragraph" w:customStyle="1" w:styleId="180">
    <w:name w:val="默认段落字体 Para Char Char Char Char"/>
    <w:basedOn w:val="1"/>
    <w:qFormat/>
    <w:uiPriority w:val="99"/>
    <w:pPr>
      <w:spacing w:beforeLines="100" w:afterLines="50" w:line="600" w:lineRule="exact"/>
      <w:ind w:firstLine="200" w:firstLineChars="200"/>
    </w:pPr>
    <w:rPr>
      <w:rFonts w:eastAsia="黑体"/>
      <w:sz w:val="28"/>
    </w:rPr>
  </w:style>
  <w:style w:type="paragraph" w:customStyle="1" w:styleId="181">
    <w:name w:val="标题222"/>
    <w:basedOn w:val="1"/>
    <w:qFormat/>
    <w:uiPriority w:val="99"/>
    <w:pPr>
      <w:spacing w:line="500" w:lineRule="exact"/>
    </w:pPr>
    <w:rPr>
      <w:rFonts w:ascii="宋体" w:hAnsi="宋体" w:cs="宋体"/>
      <w:b/>
      <w:bCs/>
      <w:sz w:val="28"/>
    </w:rPr>
  </w:style>
  <w:style w:type="paragraph" w:customStyle="1" w:styleId="182">
    <w:name w:val="Char1"/>
    <w:basedOn w:val="1"/>
    <w:qFormat/>
    <w:uiPriority w:val="99"/>
    <w:rPr>
      <w:sz w:val="24"/>
      <w:szCs w:val="24"/>
    </w:rPr>
  </w:style>
  <w:style w:type="paragraph" w:customStyle="1" w:styleId="183">
    <w:name w:val="正文内容"/>
    <w:basedOn w:val="1"/>
    <w:qFormat/>
    <w:uiPriority w:val="99"/>
    <w:pPr>
      <w:adjustRightInd w:val="0"/>
      <w:snapToGrid w:val="0"/>
      <w:spacing w:line="360" w:lineRule="auto"/>
      <w:ind w:firstLine="496" w:firstLineChars="200"/>
    </w:pPr>
    <w:rPr>
      <w:rFonts w:ascii="宋体" w:hAnsi="宋体"/>
      <w:spacing w:val="4"/>
      <w:kern w:val="0"/>
      <w:sz w:val="24"/>
    </w:rPr>
  </w:style>
  <w:style w:type="paragraph" w:customStyle="1" w:styleId="184">
    <w:name w:val="pic-info"/>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85">
    <w:name w:val="胡奔流-标题6"/>
    <w:basedOn w:val="1"/>
    <w:qFormat/>
    <w:uiPriority w:val="99"/>
    <w:pPr>
      <w:adjustRightInd w:val="0"/>
      <w:snapToGrid w:val="0"/>
      <w:spacing w:line="360" w:lineRule="auto"/>
      <w:textAlignment w:val="baseline"/>
    </w:pPr>
    <w:rPr>
      <w:rFonts w:ascii="宋体"/>
      <w:spacing w:val="10"/>
      <w:kern w:val="0"/>
      <w:sz w:val="24"/>
    </w:rPr>
  </w:style>
  <w:style w:type="paragraph" w:customStyle="1" w:styleId="186">
    <w:name w:val="纯文本1"/>
    <w:basedOn w:val="1"/>
    <w:qFormat/>
    <w:uiPriority w:val="99"/>
    <w:pPr>
      <w:autoSpaceDE w:val="0"/>
      <w:autoSpaceDN w:val="0"/>
      <w:adjustRightInd w:val="0"/>
      <w:textAlignment w:val="baseline"/>
    </w:pPr>
    <w:rPr>
      <w:rFonts w:ascii="Courier New" w:hAnsi="Courier New"/>
      <w:sz w:val="15"/>
    </w:rPr>
  </w:style>
  <w:style w:type="paragraph" w:customStyle="1" w:styleId="187">
    <w:name w:val="Char1 Char Char Char"/>
    <w:basedOn w:val="1"/>
    <w:qFormat/>
    <w:uiPriority w:val="99"/>
  </w:style>
  <w:style w:type="paragraph" w:customStyle="1" w:styleId="188">
    <w:name w:val="Char Char Char Char Char Char Char Char Char Char Char Char Char Char Char1 Char"/>
    <w:basedOn w:val="1"/>
    <w:qFormat/>
    <w:uiPriority w:val="99"/>
  </w:style>
  <w:style w:type="paragraph" w:customStyle="1" w:styleId="189">
    <w:name w:val="1"/>
    <w:basedOn w:val="1"/>
    <w:next w:val="28"/>
    <w:qFormat/>
    <w:uiPriority w:val="99"/>
    <w:pPr>
      <w:widowControl/>
      <w:spacing w:before="100" w:beforeAutospacing="1" w:after="100" w:afterAutospacing="1"/>
      <w:jc w:val="left"/>
    </w:pPr>
    <w:rPr>
      <w:rFonts w:ascii="Verdana" w:hAnsi="Verdana"/>
      <w:color w:val="333333"/>
      <w:kern w:val="0"/>
    </w:rPr>
  </w:style>
  <w:style w:type="paragraph" w:customStyle="1" w:styleId="190">
    <w:name w:val="五表头"/>
    <w:basedOn w:val="1"/>
    <w:qFormat/>
    <w:uiPriority w:val="99"/>
    <w:pPr>
      <w:spacing w:beforeLines="50"/>
      <w:jc w:val="center"/>
    </w:pPr>
    <w:rPr>
      <w:rFonts w:eastAsia="黑体"/>
      <w:szCs w:val="24"/>
    </w:rPr>
  </w:style>
  <w:style w:type="paragraph" w:customStyle="1" w:styleId="191">
    <w:name w:val="表格01"/>
    <w:basedOn w:val="1"/>
    <w:qFormat/>
    <w:uiPriority w:val="99"/>
    <w:pPr>
      <w:adjustRightInd w:val="0"/>
      <w:snapToGrid w:val="0"/>
      <w:jc w:val="center"/>
    </w:pPr>
    <w:rPr>
      <w:sz w:val="24"/>
    </w:rPr>
  </w:style>
  <w:style w:type="paragraph" w:customStyle="1" w:styleId="192">
    <w:name w:val="Char Char Char Char11"/>
    <w:basedOn w:val="1"/>
    <w:qFormat/>
    <w:uiPriority w:val="99"/>
    <w:pPr>
      <w:spacing w:line="360" w:lineRule="auto"/>
      <w:ind w:firstLine="200" w:firstLineChars="200"/>
    </w:pPr>
    <w:rPr>
      <w:rFonts w:ascii="宋体" w:hAnsi="宋体" w:cs="宋体"/>
      <w:sz w:val="24"/>
      <w:szCs w:val="24"/>
    </w:rPr>
  </w:style>
  <w:style w:type="paragraph" w:customStyle="1" w:styleId="193">
    <w:name w:val="图表标题"/>
    <w:basedOn w:val="1"/>
    <w:qFormat/>
    <w:uiPriority w:val="99"/>
    <w:pPr>
      <w:spacing w:beforeLines="25" w:afterLines="25"/>
      <w:jc w:val="center"/>
      <w:outlineLvl w:val="4"/>
    </w:pPr>
    <w:rPr>
      <w:rFonts w:eastAsia="楷体"/>
      <w:b/>
      <w:sz w:val="24"/>
    </w:rPr>
  </w:style>
  <w:style w:type="paragraph" w:customStyle="1" w:styleId="194">
    <w:name w:val="默认段落字体 Para Char"/>
    <w:basedOn w:val="1"/>
    <w:next w:val="1"/>
    <w:qFormat/>
    <w:uiPriority w:val="99"/>
    <w:pPr>
      <w:spacing w:line="360" w:lineRule="auto"/>
      <w:ind w:firstLine="200" w:firstLineChars="200"/>
    </w:pPr>
    <w:rPr>
      <w:rFonts w:ascii="宋体" w:hAnsi="宋体"/>
      <w:sz w:val="24"/>
    </w:rPr>
  </w:style>
  <w:style w:type="paragraph" w:customStyle="1" w:styleId="195">
    <w:name w:val="Char Char6 Char Char Char Char"/>
    <w:basedOn w:val="1"/>
    <w:qFormat/>
    <w:uiPriority w:val="99"/>
    <w:rPr>
      <w:szCs w:val="21"/>
    </w:rPr>
  </w:style>
  <w:style w:type="paragraph" w:customStyle="1" w:styleId="196">
    <w:name w:val="列出段落1"/>
    <w:basedOn w:val="1"/>
    <w:qFormat/>
    <w:uiPriority w:val="99"/>
    <w:pPr>
      <w:ind w:firstLine="420" w:firstLineChars="200"/>
    </w:pPr>
  </w:style>
  <w:style w:type="paragraph" w:customStyle="1" w:styleId="197">
    <w:name w:val="君邦正文"/>
    <w:qFormat/>
    <w:uiPriority w:val="99"/>
    <w:pPr>
      <w:spacing w:line="360" w:lineRule="auto"/>
      <w:ind w:left="-4" w:leftChars="-2" w:firstLine="480" w:firstLineChars="200"/>
      <w:jc w:val="both"/>
    </w:pPr>
    <w:rPr>
      <w:rFonts w:ascii="宋体" w:hAnsi="宋体" w:eastAsia="宋体" w:cs="Times New Roman"/>
      <w:kern w:val="2"/>
      <w:sz w:val="24"/>
      <w:lang w:val="en-US" w:eastAsia="zh-CN" w:bidi="ar-SA"/>
    </w:rPr>
  </w:style>
  <w:style w:type="paragraph" w:customStyle="1" w:styleId="198">
    <w:name w:val="样式 小四 行距: 1.5 倍行距"/>
    <w:basedOn w:val="1"/>
    <w:qFormat/>
    <w:uiPriority w:val="99"/>
    <w:pPr>
      <w:adjustRightInd w:val="0"/>
      <w:snapToGrid w:val="0"/>
      <w:spacing w:line="360" w:lineRule="auto"/>
      <w:ind w:firstLine="200" w:firstLineChars="200"/>
    </w:pPr>
    <w:rPr>
      <w:rFonts w:ascii="宋体" w:cs="宋体"/>
      <w:sz w:val="24"/>
      <w:szCs w:val="24"/>
    </w:rPr>
  </w:style>
  <w:style w:type="paragraph" w:styleId="199">
    <w:name w:val="List Paragraph"/>
    <w:basedOn w:val="1"/>
    <w:qFormat/>
    <w:uiPriority w:val="99"/>
    <w:pPr>
      <w:ind w:firstLine="420" w:firstLineChars="200"/>
    </w:pPr>
  </w:style>
  <w:style w:type="character" w:customStyle="1" w:styleId="200">
    <w:name w:val="【表中文字】 Char"/>
    <w:link w:val="201"/>
    <w:qFormat/>
    <w:locked/>
    <w:uiPriority w:val="99"/>
    <w:rPr>
      <w:rFonts w:eastAsia="宋体"/>
      <w:kern w:val="2"/>
      <w:sz w:val="21"/>
    </w:rPr>
  </w:style>
  <w:style w:type="paragraph" w:customStyle="1" w:styleId="201">
    <w:name w:val="【表中文字】"/>
    <w:basedOn w:val="1"/>
    <w:link w:val="200"/>
    <w:qFormat/>
    <w:uiPriority w:val="99"/>
    <w:pPr>
      <w:jc w:val="center"/>
    </w:pPr>
    <w:rPr>
      <w:rFonts w:ascii="Calibri" w:hAnsi="Calibri"/>
    </w:rPr>
  </w:style>
  <w:style w:type="character" w:customStyle="1" w:styleId="202">
    <w:name w:val="Char Char7"/>
    <w:qFormat/>
    <w:uiPriority w:val="99"/>
    <w:rPr>
      <w:rFonts w:ascii="宋体" w:hAnsi="Courier New" w:eastAsia="宋体"/>
      <w:kern w:val="2"/>
      <w:sz w:val="21"/>
      <w:lang w:val="en-US" w:eastAsia="zh-CN"/>
    </w:rPr>
  </w:style>
  <w:style w:type="paragraph" w:customStyle="1" w:styleId="203">
    <w:name w:val="列出段落2"/>
    <w:basedOn w:val="1"/>
    <w:qFormat/>
    <w:uiPriority w:val="0"/>
    <w:pPr>
      <w:ind w:firstLine="420" w:firstLineChars="200"/>
    </w:pPr>
    <w:rPr>
      <w:szCs w:val="24"/>
    </w:rPr>
  </w:style>
  <w:style w:type="paragraph" w:customStyle="1" w:styleId="204">
    <w:name w:val="表格"/>
    <w:basedOn w:val="1"/>
    <w:qFormat/>
    <w:uiPriority w:val="0"/>
    <w:pPr>
      <w:adjustRightInd w:val="0"/>
      <w:spacing w:before="40" w:after="40" w:line="360" w:lineRule="auto"/>
      <w:ind w:firstLine="1040" w:firstLineChars="200"/>
      <w:textAlignment w:val="baseline"/>
    </w:pPr>
    <w:rPr>
      <w:rFonts w:ascii="昆仑仿宋" w:eastAsia="昆仑仿宋"/>
      <w:kern w:val="0"/>
      <w:sz w:val="24"/>
    </w:rPr>
  </w:style>
  <w:style w:type="character" w:customStyle="1" w:styleId="205">
    <w:name w:val="表文字 Char1"/>
    <w:link w:val="206"/>
    <w:qFormat/>
    <w:uiPriority w:val="0"/>
    <w:rPr>
      <w:kern w:val="2"/>
      <w:sz w:val="21"/>
      <w:szCs w:val="21"/>
    </w:rPr>
  </w:style>
  <w:style w:type="paragraph" w:customStyle="1" w:styleId="206">
    <w:name w:val="表文字"/>
    <w:basedOn w:val="1"/>
    <w:link w:val="205"/>
    <w:qFormat/>
    <w:uiPriority w:val="0"/>
    <w:pPr>
      <w:topLinePunct/>
      <w:adjustRightInd w:val="0"/>
      <w:spacing w:line="240" w:lineRule="exact"/>
      <w:jc w:val="center"/>
      <w:textAlignment w:val="baseline"/>
    </w:pPr>
    <w:rPr>
      <w:rFonts w:ascii="Calibri" w:hAnsi="Calibri"/>
      <w:szCs w:val="21"/>
    </w:rPr>
  </w:style>
  <w:style w:type="character" w:customStyle="1" w:styleId="207">
    <w:name w:val="Default Char"/>
    <w:link w:val="161"/>
    <w:qFormat/>
    <w:uiPriority w:val="0"/>
    <w:rPr>
      <w:rFonts w:ascii="宋体..壮.." w:hAnsi="Times New Roman" w:eastAsia="宋体..壮.." w:cs="宋体..壮.."/>
      <w:color w:val="000000"/>
      <w:sz w:val="24"/>
      <w:szCs w:val="24"/>
    </w:rPr>
  </w:style>
  <w:style w:type="character" w:customStyle="1" w:styleId="208">
    <w:name w:val="批注文字 Char2"/>
    <w:qFormat/>
    <w:uiPriority w:val="0"/>
    <w:rPr>
      <w:rFonts w:eastAsia="宋体"/>
      <w:kern w:val="2"/>
      <w:sz w:val="21"/>
      <w:lang w:val="en-US" w:eastAsia="zh-CN" w:bidi="ar-SA"/>
    </w:rPr>
  </w:style>
  <w:style w:type="paragraph" w:customStyle="1" w:styleId="209">
    <w:name w:val="图表内容"/>
    <w:link w:val="210"/>
    <w:qFormat/>
    <w:uiPriority w:val="0"/>
    <w:pPr>
      <w:spacing w:line="400" w:lineRule="exact"/>
      <w:jc w:val="center"/>
    </w:pPr>
    <w:rPr>
      <w:rFonts w:ascii="Times New Roman" w:hAnsi="Times New Roman" w:eastAsiaTheme="majorEastAsia" w:cstheme="majorBidi"/>
      <w:bCs/>
      <w:kern w:val="2"/>
      <w:sz w:val="24"/>
      <w:szCs w:val="28"/>
      <w:lang w:val="en-US" w:eastAsia="zh-CN" w:bidi="ar-SA"/>
    </w:rPr>
  </w:style>
  <w:style w:type="character" w:customStyle="1" w:styleId="210">
    <w:name w:val="图表内容 Char"/>
    <w:basedOn w:val="29"/>
    <w:link w:val="209"/>
    <w:qFormat/>
    <w:uiPriority w:val="0"/>
    <w:rPr>
      <w:rFonts w:ascii="Times New Roman" w:hAnsi="Times New Roman" w:eastAsiaTheme="majorEastAsia" w:cstheme="majorBidi"/>
      <w:bCs/>
      <w:kern w:val="2"/>
      <w:sz w:val="24"/>
      <w:szCs w:val="28"/>
    </w:rPr>
  </w:style>
  <w:style w:type="character" w:styleId="211">
    <w:name w:val="Placeholder Text"/>
    <w:basedOn w:val="29"/>
    <w:unhideWhenUsed/>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customXml" Target="../customXml/item1.xml"/><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wmf"/><Relationship Id="rId3" Type="http://schemas.openxmlformats.org/officeDocument/2006/relationships/footer" Target="footer1.xml"/><Relationship Id="rId29" Type="http://schemas.openxmlformats.org/officeDocument/2006/relationships/oleObject" Target="embeddings/oleObject3.bin"/><Relationship Id="rId28" Type="http://schemas.openxmlformats.org/officeDocument/2006/relationships/image" Target="media/image20.wmf"/><Relationship Id="rId27" Type="http://schemas.openxmlformats.org/officeDocument/2006/relationships/image" Target="media/image19.wmf"/><Relationship Id="rId26" Type="http://schemas.openxmlformats.org/officeDocument/2006/relationships/image" Target="media/image18.wmf"/><Relationship Id="rId25" Type="http://schemas.openxmlformats.org/officeDocument/2006/relationships/image" Target="media/image17.wmf"/><Relationship Id="rId24" Type="http://schemas.openxmlformats.org/officeDocument/2006/relationships/oleObject" Target="embeddings/oleObject2.bin"/><Relationship Id="rId23" Type="http://schemas.openxmlformats.org/officeDocument/2006/relationships/image" Target="media/image16.wmf"/><Relationship Id="rId22" Type="http://schemas.openxmlformats.org/officeDocument/2006/relationships/oleObject" Target="embeddings/oleObject1.bin"/><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91"/>
    <customShpInfo spid="_x0000_s327779"/>
    <customShpInfo spid="_x0000_s327780"/>
    <customShpInfo spid="_x0000_s327781"/>
    <customShpInfo spid="_x0000_s327782"/>
    <customShpInfo spid="_x0000_s327783"/>
    <customShpInfo spid="_x0000_s327784"/>
    <customShpInfo spid="_x0000_s327785"/>
    <customShpInfo spid="_x0000_s327786"/>
    <customShpInfo spid="_x0000_s327787"/>
    <customShpInfo spid="_x0000_s327788"/>
    <customShpInfo spid="_x0000_s327789"/>
    <customShpInfo spid="_x0000_s327790"/>
    <customShpInfo spid="_x0000_s327791"/>
    <customShpInfo spid="_x0000_s327792"/>
    <customShpInfo spid="_x0000_s327793"/>
    <customShpInfo spid="_x0000_s327794"/>
    <customShpInfo spid="_x0000_s327795"/>
    <customShpInfo spid="_x0000_s327796"/>
    <customShpInfo spid="_x0000_s327797"/>
    <customShpInfo spid="_x0000_s327798"/>
    <customShpInfo spid="_x0000_s327799"/>
    <customShpInfo spid="_x0000_s327800"/>
    <customShpInfo spid="_x0000_s327801"/>
    <customShpInfo spid="_x0000_s327802"/>
    <customShpInfo spid="_x0000_s327803"/>
    <customShpInfo spid="_x0000_s327804"/>
    <customShpInfo spid="_x0000_s327805"/>
    <customShpInfo spid="_x0000_s327806"/>
    <customShpInfo spid="_x0000_s327807"/>
    <customShpInfo spid="_x0000_s327808"/>
    <customShpInfo spid="_x0000_s327809"/>
    <customShpInfo spid="_x0000_s327810"/>
    <customShpInfo spid="_x0000_s327811"/>
    <customShpInfo spid="_x0000_s327812"/>
    <customShpInfo spid="_x0000_s327813"/>
    <customShpInfo spid="_x0000_s327814"/>
    <customShpInfo spid="_x0000_s327815"/>
    <customShpInfo spid="_x0000_s327816"/>
    <customShpInfo spid="_x0000_s327817"/>
    <customShpInfo spid="_x0000_s327818"/>
    <customShpInfo spid="_x0000_s327819"/>
    <customShpInfo spid="_x0000_s327820"/>
    <customShpInfo spid="_x0000_s327821"/>
    <customShpInfo spid="_x0000_s327822"/>
    <customShpInfo spid="_x0000_s327778"/>
    <customShpInfo spid="_x0000_s327824"/>
    <customShpInfo spid="_x0000_s327825"/>
    <customShpInfo spid="_x0000_s327826"/>
    <customShpInfo spid="_x0000_s327827"/>
    <customShpInfo spid="_x0000_s327828"/>
    <customShpInfo spid="_x0000_s327829"/>
    <customShpInfo spid="_x0000_s327830"/>
    <customShpInfo spid="_x0000_s327831"/>
    <customShpInfo spid="_x0000_s327832"/>
    <customShpInfo spid="_x0000_s327833"/>
    <customShpInfo spid="_x0000_s327834"/>
    <customShpInfo spid="_x0000_s327835"/>
    <customShpInfo spid="_x0000_s327836"/>
    <customShpInfo spid="_x0000_s327837"/>
    <customShpInfo spid="_x0000_s327838"/>
    <customShpInfo spid="_x0000_s327839"/>
    <customShpInfo spid="_x0000_s327840"/>
    <customShpInfo spid="_x0000_s327841"/>
    <customShpInfo spid="_x0000_s327842"/>
    <customShpInfo spid="_x0000_s327843"/>
    <customShpInfo spid="_x0000_s327844"/>
    <customShpInfo spid="_x0000_s327845"/>
    <customShpInfo spid="_x0000_s327846"/>
    <customShpInfo spid="_x0000_s327847"/>
    <customShpInfo spid="_x0000_s327848"/>
    <customShpInfo spid="_x0000_s327849"/>
    <customShpInfo spid="_x0000_s327850"/>
    <customShpInfo spid="_x0000_s327851"/>
    <customShpInfo spid="_x0000_s327852"/>
    <customShpInfo spid="_x0000_s327853"/>
    <customShpInfo spid="_x0000_s327854"/>
    <customShpInfo spid="_x0000_s327855"/>
    <customShpInfo spid="_x0000_s327856"/>
    <customShpInfo spid="_x0000_s327857"/>
    <customShpInfo spid="_x0000_s327858"/>
    <customShpInfo spid="_x0000_s327859"/>
    <customShpInfo spid="_x0000_s327860"/>
    <customShpInfo spid="_x0000_s327861"/>
    <customShpInfo spid="_x0000_s327862"/>
    <customShpInfo spid="_x0000_s327863"/>
    <customShpInfo spid="_x0000_s327823"/>
    <customShpInfo spid="_x0000_s327865"/>
    <customShpInfo spid="_x0000_s327866"/>
    <customShpInfo spid="_x0000_s327867"/>
    <customShpInfo spid="_x0000_s327868"/>
    <customShpInfo spid="_x0000_s327869"/>
    <customShpInfo spid="_x0000_s327870"/>
    <customShpInfo spid="_x0000_s327871"/>
    <customShpInfo spid="_x0000_s327872"/>
    <customShpInfo spid="_x0000_s327873"/>
    <customShpInfo spid="_x0000_s327874"/>
    <customShpInfo spid="_x0000_s327875"/>
    <customShpInfo spid="_x0000_s327876"/>
    <customShpInfo spid="_x0000_s327877"/>
    <customShpInfo spid="_x0000_s327878"/>
    <customShpInfo spid="_x0000_s327879"/>
    <customShpInfo spid="_x0000_s327880"/>
    <customShpInfo spid="_x0000_s327881"/>
    <customShpInfo spid="_x0000_s327882"/>
    <customShpInfo spid="_x0000_s327883"/>
    <customShpInfo spid="_x0000_s327884"/>
    <customShpInfo spid="_x0000_s327885"/>
    <customShpInfo spid="_x0000_s327886"/>
    <customShpInfo spid="_x0000_s327887"/>
    <customShpInfo spid="_x0000_s327888"/>
    <customShpInfo spid="_x0000_s327889"/>
    <customShpInfo spid="_x0000_s327890"/>
    <customShpInfo spid="_x0000_s327891"/>
    <customShpInfo spid="_x0000_s327892"/>
    <customShpInfo spid="_x0000_s327893"/>
    <customShpInfo spid="_x0000_s327894"/>
    <customShpInfo spid="_x0000_s327895"/>
    <customShpInfo spid="_x0000_s327896"/>
    <customShpInfo spid="_x0000_s327897"/>
    <customShpInfo spid="_x0000_s327898"/>
    <customShpInfo spid="_x0000_s327899"/>
    <customShpInfo spid="_x0000_s327900"/>
    <customShpInfo spid="_x0000_s327901"/>
    <customShpInfo spid="_x0000_s327902"/>
    <customShpInfo spid="_x0000_s327903"/>
    <customShpInfo spid="_x0000_s327904"/>
    <customShpInfo spid="_x0000_s327905"/>
    <customShpInfo spid="_x0000_s327906"/>
    <customShpInfo spid="_x0000_s327907"/>
    <customShpInfo spid="_x0000_s327864"/>
    <customShpInfo spid="_x0000_s327909"/>
    <customShpInfo spid="_x0000_s327910"/>
    <customShpInfo spid="_x0000_s327911"/>
    <customShpInfo spid="_x0000_s327912"/>
    <customShpInfo spid="_x0000_s327913"/>
    <customShpInfo spid="_x0000_s327914"/>
    <customShpInfo spid="_x0000_s327915"/>
    <customShpInfo spid="_x0000_s327916"/>
    <customShpInfo spid="_x0000_s327917"/>
    <customShpInfo spid="_x0000_s327918"/>
    <customShpInfo spid="_x0000_s327919"/>
    <customShpInfo spid="_x0000_s327920"/>
    <customShpInfo spid="_x0000_s327921"/>
    <customShpInfo spid="_x0000_s327922"/>
    <customShpInfo spid="_x0000_s327923"/>
    <customShpInfo spid="_x0000_s327924"/>
    <customShpInfo spid="_x0000_s327925"/>
    <customShpInfo spid="_x0000_s327926"/>
    <customShpInfo spid="_x0000_s327927"/>
    <customShpInfo spid="_x0000_s327928"/>
    <customShpInfo spid="_x0000_s327929"/>
    <customShpInfo spid="_x0000_s327930"/>
    <customShpInfo spid="_x0000_s327931"/>
    <customShpInfo spid="_x0000_s327932"/>
    <customShpInfo spid="_x0000_s327933"/>
    <customShpInfo spid="_x0000_s327934"/>
    <customShpInfo spid="_x0000_s327935"/>
    <customShpInfo spid="_x0000_s327936"/>
    <customShpInfo spid="_x0000_s327937"/>
    <customShpInfo spid="_x0000_s327938"/>
    <customShpInfo spid="_x0000_s327939"/>
    <customShpInfo spid="_x0000_s327940"/>
    <customShpInfo spid="_x0000_s327941"/>
    <customShpInfo spid="_x0000_s327942"/>
    <customShpInfo spid="_x0000_s327943"/>
    <customShpInfo spid="_x0000_s327944"/>
    <customShpInfo spid="_x0000_s327945"/>
    <customShpInfo spid="_x0000_s327946"/>
    <customShpInfo spid="_x0000_s327947"/>
    <customShpInfo spid="_x0000_s327948"/>
    <customShpInfo spid="_x0000_s327949"/>
    <customShpInfo spid="_x0000_s327950"/>
    <customShpInfo spid="_x0000_s327951"/>
    <customShpInfo spid="_x0000_s327952"/>
    <customShpInfo spid="_x0000_s327953"/>
    <customShpInfo spid="_x0000_s327954"/>
    <customShpInfo spid="_x0000_s327955"/>
    <customShpInfo spid="_x0000_s327956"/>
    <customShpInfo spid="_x0000_s327957"/>
    <customShpInfo spid="_x0000_s327908"/>
    <customShpInfo spid="_x0000_s327959"/>
    <customShpInfo spid="_x0000_s327960"/>
    <customShpInfo spid="_x0000_s327961"/>
    <customShpInfo spid="_x0000_s327962"/>
    <customShpInfo spid="_x0000_s327963"/>
    <customShpInfo spid="_x0000_s327964"/>
    <customShpInfo spid="_x0000_s327965"/>
    <customShpInfo spid="_x0000_s327966"/>
    <customShpInfo spid="_x0000_s327967"/>
    <customShpInfo spid="_x0000_s327968"/>
    <customShpInfo spid="_x0000_s327969"/>
    <customShpInfo spid="_x0000_s327970"/>
    <customShpInfo spid="_x0000_s327971"/>
    <customShpInfo spid="_x0000_s327972"/>
    <customShpInfo spid="_x0000_s327973"/>
    <customShpInfo spid="_x0000_s327974"/>
    <customShpInfo spid="_x0000_s327975"/>
    <customShpInfo spid="_x0000_s327976"/>
    <customShpInfo spid="_x0000_s327977"/>
    <customShpInfo spid="_x0000_s327978"/>
    <customShpInfo spid="_x0000_s327979"/>
    <customShpInfo spid="_x0000_s327980"/>
    <customShpInfo spid="_x0000_s327981"/>
    <customShpInfo spid="_x0000_s327982"/>
    <customShpInfo spid="_x0000_s327983"/>
    <customShpInfo spid="_x0000_s327958"/>
    <customShpInfo spid="_x0000_s178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9BDDB8-32E9-40AC-8920-C70206D39EC7}">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126</Pages>
  <Words>72658</Words>
  <Characters>21991</Characters>
  <Lines>183</Lines>
  <Paragraphs>188</Paragraphs>
  <TotalTime>1277</TotalTime>
  <ScaleCrop>false</ScaleCrop>
  <LinksUpToDate>false</LinksUpToDate>
  <CharactersWithSpaces>94461</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2019-01-22T01:50:00Z</dcterms:created>
  <dc:creator>Administrator</dc:creator>
  <cp:lastModifiedBy>Y-</cp:lastModifiedBy>
  <cp:lastPrinted>2019-02-21T02:28:54Z</cp:lastPrinted>
  <dcterms:modified xsi:type="dcterms:W3CDTF">2019-02-21T02:29:39Z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