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60" w:lineRule="exact"/>
        <w:jc w:val="center"/>
        <w:rPr>
          <w:rFonts w:ascii="Times New Roman" w:hAnsi="Times New Roman" w:eastAsia="方正小标宋简体"/>
          <w:sz w:val="44"/>
          <w:szCs w:val="44"/>
        </w:rPr>
      </w:pPr>
      <w:bookmarkStart w:id="0" w:name="_GoBack"/>
      <w:bookmarkEnd w:id="0"/>
      <w:r>
        <w:rPr>
          <w:rFonts w:ascii="Times New Roman" w:hAnsi="Times New Roman" w:eastAsia="方正小标宋简体"/>
          <w:sz w:val="44"/>
          <w:szCs w:val="44"/>
        </w:rPr>
        <w:t>中共宁县委政法委员会</w:t>
      </w:r>
    </w:p>
    <w:p>
      <w:pPr>
        <w:widowControl w:val="0"/>
        <w:spacing w:line="560" w:lineRule="exact"/>
        <w:jc w:val="center"/>
        <w:rPr>
          <w:rFonts w:ascii="Times New Roman" w:hAnsi="Times New Roman" w:eastAsia="方正小标宋简体"/>
          <w:sz w:val="44"/>
          <w:szCs w:val="44"/>
        </w:rPr>
      </w:pPr>
      <w:r>
        <w:rPr>
          <w:rFonts w:ascii="Times New Roman" w:hAnsi="Times New Roman" w:eastAsia="方正小标宋简体"/>
          <w:sz w:val="44"/>
          <w:szCs w:val="44"/>
        </w:rPr>
        <w:t>20</w:t>
      </w:r>
      <w:r>
        <w:rPr>
          <w:rFonts w:hint="eastAsia" w:ascii="Times New Roman" w:hAnsi="Times New Roman" w:eastAsia="方正小标宋简体"/>
          <w:sz w:val="44"/>
          <w:szCs w:val="44"/>
        </w:rPr>
        <w:t>21</w:t>
      </w:r>
      <w:r>
        <w:rPr>
          <w:rFonts w:ascii="Times New Roman" w:hAnsi="Times New Roman" w:eastAsia="方正小标宋简体"/>
          <w:sz w:val="44"/>
          <w:szCs w:val="44"/>
        </w:rPr>
        <w:t>年整体支出绩效自评报告</w:t>
      </w:r>
    </w:p>
    <w:p>
      <w:pPr>
        <w:widowControl w:val="0"/>
        <w:spacing w:line="560" w:lineRule="exact"/>
        <w:jc w:val="center"/>
        <w:rPr>
          <w:rFonts w:ascii="Times New Roman" w:hAnsi="Times New Roman" w:eastAsia="方正小标宋简体"/>
          <w:sz w:val="44"/>
          <w:szCs w:val="44"/>
        </w:rPr>
      </w:pPr>
    </w:p>
    <w:p>
      <w:pPr>
        <w:spacing w:line="640" w:lineRule="exact"/>
        <w:ind w:firstLine="640" w:firstLineChars="200"/>
        <w:rPr>
          <w:rFonts w:ascii="Times New Roman" w:hAnsi="Times New Roman" w:eastAsia="仿宋_GB2312"/>
          <w:color w:val="333333"/>
          <w:sz w:val="32"/>
          <w:szCs w:val="32"/>
        </w:rPr>
      </w:pPr>
      <w:r>
        <w:rPr>
          <w:rFonts w:hint="eastAsia" w:ascii="Times New Roman" w:hAnsi="Times New Roman" w:eastAsia="仿宋_GB2312"/>
          <w:color w:val="333333"/>
          <w:sz w:val="32"/>
          <w:szCs w:val="32"/>
        </w:rPr>
        <w:t>一、部门概况</w:t>
      </w:r>
    </w:p>
    <w:p>
      <w:pPr>
        <w:spacing w:line="640" w:lineRule="exact"/>
        <w:ind w:firstLine="640" w:firstLineChars="200"/>
        <w:rPr>
          <w:rFonts w:ascii="Times New Roman" w:hAnsi="Times New Roman" w:eastAsia="仿宋_GB2312"/>
          <w:color w:val="333333"/>
          <w:sz w:val="32"/>
          <w:szCs w:val="32"/>
        </w:rPr>
      </w:pPr>
      <w:r>
        <w:rPr>
          <w:rFonts w:ascii="Times New Roman" w:hAnsi="Times New Roman" w:eastAsia="仿宋_GB2312"/>
          <w:color w:val="333333"/>
          <w:sz w:val="32"/>
          <w:szCs w:val="32"/>
        </w:rPr>
        <w:t>（一）部门基本情况</w:t>
      </w:r>
    </w:p>
    <w:p>
      <w:pPr>
        <w:spacing w:line="640" w:lineRule="exact"/>
        <w:ind w:firstLine="640" w:firstLineChars="200"/>
        <w:rPr>
          <w:rFonts w:ascii="Times New Roman" w:hAnsi="Times New Roman" w:eastAsia="仿宋_GB2312"/>
          <w:color w:val="333333"/>
          <w:sz w:val="32"/>
          <w:szCs w:val="32"/>
        </w:rPr>
      </w:pPr>
      <w:r>
        <w:rPr>
          <w:rFonts w:ascii="Times New Roman" w:hAnsi="Times New Roman" w:eastAsia="仿宋_GB2312"/>
          <w:color w:val="333333"/>
          <w:sz w:val="32"/>
          <w:szCs w:val="32"/>
        </w:rPr>
        <w:t> 组织架构：宁县政法委是全额拨款行政单位，20</w:t>
      </w:r>
      <w:r>
        <w:rPr>
          <w:rFonts w:hint="eastAsia" w:ascii="Times New Roman" w:hAnsi="Times New Roman" w:eastAsia="仿宋_GB2312"/>
          <w:color w:val="333333"/>
          <w:sz w:val="32"/>
          <w:szCs w:val="32"/>
        </w:rPr>
        <w:t>20</w:t>
      </w:r>
      <w:r>
        <w:rPr>
          <w:rFonts w:ascii="Times New Roman" w:hAnsi="Times New Roman" w:eastAsia="仿宋_GB2312"/>
          <w:color w:val="333333"/>
          <w:sz w:val="32"/>
          <w:szCs w:val="32"/>
        </w:rPr>
        <w:t>年3月，全县机构改革，内设办公政工室、维护稳定工作室、社会治理与综治督导室、防范处理邪教工作室四个内设机构。</w:t>
      </w:r>
      <w:r>
        <w:rPr>
          <w:rFonts w:hint="eastAsia" w:ascii="Times New Roman" w:hAnsi="Times New Roman" w:eastAsia="仿宋_GB2312"/>
          <w:color w:val="333333"/>
          <w:sz w:val="32"/>
          <w:szCs w:val="32"/>
        </w:rPr>
        <w:t>2021年成立宁县综治工作中心。</w:t>
      </w:r>
    </w:p>
    <w:p>
      <w:pPr>
        <w:spacing w:line="640" w:lineRule="exact"/>
        <w:ind w:firstLine="643" w:firstLineChars="200"/>
        <w:rPr>
          <w:rFonts w:ascii="Times New Roman" w:hAnsi="Times New Roman" w:eastAsia="仿宋_GB2312"/>
          <w:b/>
          <w:color w:val="313131"/>
          <w:sz w:val="32"/>
          <w:szCs w:val="32"/>
          <w:shd w:val="clear" w:color="auto" w:fill="FFFFFF"/>
        </w:rPr>
      </w:pPr>
      <w:r>
        <w:rPr>
          <w:rFonts w:ascii="Times New Roman" w:hAnsi="Times New Roman" w:eastAsia="仿宋_GB2312"/>
          <w:b/>
          <w:sz w:val="32"/>
          <w:szCs w:val="32"/>
        </w:rPr>
        <w:t>人员情况：</w:t>
      </w:r>
      <w:r>
        <w:rPr>
          <w:rFonts w:ascii="Times New Roman" w:hAnsi="Times New Roman" w:eastAsia="仿宋_GB2312"/>
          <w:sz w:val="32"/>
          <w:szCs w:val="32"/>
        </w:rPr>
        <w:t>宁县政法委</w:t>
      </w:r>
      <w:r>
        <w:rPr>
          <w:rFonts w:ascii="Times New Roman" w:hAnsi="Times New Roman" w:eastAsia="仿宋_GB2312"/>
          <w:color w:val="333333"/>
          <w:sz w:val="32"/>
          <w:szCs w:val="32"/>
        </w:rPr>
        <w:t>行政编制共核定</w:t>
      </w:r>
      <w:r>
        <w:rPr>
          <w:rFonts w:hint="eastAsia" w:ascii="Times New Roman" w:hAnsi="Times New Roman" w:eastAsia="仿宋_GB2312"/>
          <w:color w:val="333333"/>
          <w:sz w:val="32"/>
          <w:szCs w:val="32"/>
        </w:rPr>
        <w:t>11</w:t>
      </w:r>
      <w:r>
        <w:rPr>
          <w:rFonts w:ascii="Times New Roman" w:hAnsi="Times New Roman" w:eastAsia="仿宋_GB2312"/>
          <w:color w:val="333333"/>
          <w:sz w:val="32"/>
          <w:szCs w:val="32"/>
        </w:rPr>
        <w:t>名，其中政法委行政编制</w:t>
      </w:r>
      <w:r>
        <w:rPr>
          <w:rFonts w:hint="eastAsia" w:ascii="Times New Roman" w:hAnsi="Times New Roman" w:eastAsia="仿宋_GB2312"/>
          <w:color w:val="333333"/>
          <w:sz w:val="32"/>
          <w:szCs w:val="32"/>
        </w:rPr>
        <w:t>10</w:t>
      </w:r>
      <w:r>
        <w:rPr>
          <w:rFonts w:ascii="Times New Roman" w:hAnsi="Times New Roman" w:eastAsia="仿宋_GB2312"/>
          <w:color w:val="333333"/>
          <w:sz w:val="32"/>
          <w:szCs w:val="32"/>
        </w:rPr>
        <w:t>人，机关后勤1名，</w:t>
      </w:r>
      <w:r>
        <w:rPr>
          <w:rFonts w:hint="eastAsia" w:ascii="Times New Roman" w:hAnsi="Times New Roman" w:eastAsia="仿宋_GB2312"/>
          <w:color w:val="333333"/>
          <w:sz w:val="32"/>
          <w:szCs w:val="32"/>
        </w:rPr>
        <w:t>事业编制3名，</w:t>
      </w:r>
      <w:r>
        <w:rPr>
          <w:rFonts w:ascii="Times New Roman" w:hAnsi="Times New Roman" w:eastAsia="仿宋_GB2312"/>
          <w:color w:val="333333"/>
          <w:sz w:val="32"/>
          <w:szCs w:val="32"/>
        </w:rPr>
        <w:t>单位实有在职人员</w:t>
      </w:r>
      <w:r>
        <w:rPr>
          <w:rFonts w:hint="eastAsia" w:ascii="Times New Roman" w:hAnsi="Times New Roman" w:eastAsia="仿宋_GB2312"/>
          <w:color w:val="333333"/>
          <w:sz w:val="32"/>
          <w:szCs w:val="32"/>
          <w:lang w:val="en-US" w:eastAsia="zh-CN"/>
        </w:rPr>
        <w:t>16</w:t>
      </w:r>
      <w:r>
        <w:rPr>
          <w:rFonts w:ascii="Times New Roman" w:hAnsi="Times New Roman" w:eastAsia="仿宋_GB2312"/>
          <w:color w:val="333333"/>
          <w:sz w:val="32"/>
          <w:szCs w:val="32"/>
        </w:rPr>
        <w:t>人，缺编</w:t>
      </w:r>
      <w:r>
        <w:rPr>
          <w:rFonts w:hint="eastAsia" w:ascii="Times New Roman" w:hAnsi="Times New Roman" w:eastAsia="仿宋_GB2312"/>
          <w:color w:val="333333"/>
          <w:sz w:val="32"/>
          <w:szCs w:val="32"/>
          <w:lang w:val="en-US" w:eastAsia="zh-CN"/>
        </w:rPr>
        <w:t>3</w:t>
      </w:r>
      <w:r>
        <w:rPr>
          <w:rFonts w:ascii="Times New Roman" w:hAnsi="Times New Roman"/>
          <w:color w:val="333333"/>
          <w:sz w:val="32"/>
          <w:szCs w:val="32"/>
        </w:rPr>
        <w:t>人</w:t>
      </w:r>
      <w:r>
        <w:rPr>
          <w:rFonts w:ascii="Times New Roman" w:hAnsi="Times New Roman" w:eastAsia="仿宋_GB2312"/>
          <w:color w:val="333333"/>
          <w:sz w:val="32"/>
          <w:szCs w:val="32"/>
        </w:rPr>
        <w:t>。遗属供养2人。</w:t>
      </w:r>
    </w:p>
    <w:p>
      <w:pPr>
        <w:pStyle w:val="5"/>
        <w:spacing w:line="64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color w:val="313131"/>
          <w:sz w:val="32"/>
          <w:szCs w:val="32"/>
          <w:shd w:val="clear" w:color="auto" w:fill="FFFFFF"/>
        </w:rPr>
        <w:t>主要职能：</w:t>
      </w:r>
      <w:r>
        <w:rPr>
          <w:rFonts w:ascii="Times New Roman" w:hAnsi="Times New Roman" w:eastAsia="仿宋_GB2312" w:cs="Times New Roman"/>
          <w:color w:val="2B2B2B"/>
          <w:sz w:val="32"/>
          <w:szCs w:val="32"/>
        </w:rPr>
        <w:t>县委政法委</w:t>
      </w:r>
      <w:r>
        <w:rPr>
          <w:rFonts w:ascii="Times New Roman" w:hAnsi="Times New Roman" w:eastAsia="仿宋_GB2312" w:cs="Times New Roman"/>
          <w:color w:val="313131"/>
          <w:sz w:val="32"/>
          <w:szCs w:val="32"/>
          <w:shd w:val="clear" w:color="auto" w:fill="FFFFFF"/>
        </w:rPr>
        <w:t>为县委职能部门，认真贯彻落实中央、省、市县委的安排部署，</w:t>
      </w:r>
      <w:r>
        <w:rPr>
          <w:rFonts w:ascii="Times New Roman" w:hAnsi="Times New Roman" w:eastAsia="仿宋_GB2312" w:cs="Times New Roman"/>
          <w:sz w:val="32"/>
          <w:szCs w:val="32"/>
        </w:rPr>
        <w:t>对全县政法工作作出部署要求，并对落实情况加强监督检查；组织、协调和指导维护全县社会、政治稳定工作；监督全县政法各部门执行法律法规和党的方针政策的情况，协助有关部门查处政法干部的违法犯罪案件，研究制定严肃执法、落实党的方针政策的具体措施。研究制定加强政法队伍建设和领导班子建设的措施，协助考察、管理政法部门的领导干部。依据上级关于社会治安治理领导责任制，实施目标管理，把综合治理的各项任务落实到基层。定期分析研判本地区的治安形势和综合治理情况，提出相应的工作措施。开展调查研究，不断总结经验，指导各单位、各部门综合治理工作，实行齐抓共管，充分发挥整体作用。加强对综合治理工作的检查，考核和监督，决定奖惩事项，提出奖惩建议和实行“一票否决”的建议。</w:t>
      </w:r>
    </w:p>
    <w:p>
      <w:pPr>
        <w:widowControl w:val="0"/>
        <w:shd w:val="clear" w:color="auto" w:fill="FFFFFF"/>
        <w:spacing w:line="600" w:lineRule="atLeast"/>
        <w:ind w:firstLine="640"/>
        <w:jc w:val="both"/>
        <w:rPr>
          <w:rFonts w:ascii="Times New Roman" w:hAnsi="Times New Roman" w:eastAsia="仿宋_GB2312" w:cs="Times New Roman"/>
          <w:sz w:val="32"/>
          <w:szCs w:val="32"/>
          <w:lang w:val="en-US" w:eastAsia="zh-CN" w:bidi="ar-SA"/>
        </w:rPr>
      </w:pPr>
      <w:r>
        <w:rPr>
          <w:rFonts w:ascii="Times New Roman" w:hAnsi="Times New Roman" w:eastAsia="仿宋_GB2312" w:cs="Times New Roman"/>
          <w:sz w:val="32"/>
          <w:szCs w:val="32"/>
          <w:lang w:val="en-US" w:eastAsia="zh-CN" w:bidi="ar-SA"/>
        </w:rPr>
        <w:t>资产情况：2016年10月公务用车改革后，原有2辆车辆已全部移交实际机关公务用车平台，故实有车辆编制0辆，在编实有车辆0辆。截至 20</w:t>
      </w:r>
      <w:r>
        <w:rPr>
          <w:rFonts w:hint="eastAsia" w:ascii="Times New Roman" w:hAnsi="Times New Roman" w:eastAsia="仿宋_GB2312" w:cs="Times New Roman"/>
          <w:sz w:val="32"/>
          <w:szCs w:val="32"/>
          <w:lang w:val="en-US" w:eastAsia="zh-CN" w:bidi="ar-SA"/>
        </w:rPr>
        <w:t>21</w:t>
      </w:r>
      <w:r>
        <w:rPr>
          <w:rFonts w:ascii="Times New Roman" w:hAnsi="Times New Roman" w:eastAsia="仿宋_GB2312" w:cs="Times New Roman"/>
          <w:sz w:val="32"/>
          <w:szCs w:val="32"/>
          <w:lang w:val="en-US" w:eastAsia="zh-CN" w:bidi="ar-SA"/>
        </w:rPr>
        <w:t>年12月31日，</w:t>
      </w:r>
      <w:r>
        <w:rPr>
          <w:rFonts w:hint="eastAsia" w:ascii="Times New Roman" w:hAnsi="Times New Roman" w:eastAsia="仿宋_GB2312" w:cs="Times New Roman"/>
          <w:sz w:val="32"/>
          <w:szCs w:val="32"/>
          <w:lang w:val="en-US" w:eastAsia="zh-CN" w:bidi="ar-SA"/>
        </w:rPr>
        <w:t>我单位固定资产原值8366528元，累计折旧1901355.44元，净值6465172.56元。</w:t>
      </w:r>
    </w:p>
    <w:p>
      <w:pPr>
        <w:widowControl w:val="0"/>
        <w:shd w:val="clear" w:color="auto" w:fill="FFFFFF"/>
        <w:ind w:firstLine="482" w:firstLineChars="150"/>
        <w:jc w:val="both"/>
        <w:rPr>
          <w:rFonts w:ascii="Times New Roman" w:hAnsi="Times New Roman" w:eastAsia="楷体_GB2312"/>
          <w:b/>
          <w:color w:val="313131"/>
          <w:sz w:val="32"/>
          <w:szCs w:val="32"/>
          <w:shd w:val="clear" w:color="auto" w:fill="FFFFFF"/>
        </w:rPr>
      </w:pPr>
      <w:r>
        <w:rPr>
          <w:rFonts w:ascii="Times New Roman" w:hAnsi="Times New Roman" w:eastAsia="楷体_GB2312"/>
          <w:b/>
          <w:color w:val="313131"/>
          <w:sz w:val="32"/>
          <w:szCs w:val="32"/>
          <w:shd w:val="clear" w:color="auto" w:fill="FFFFFF"/>
        </w:rPr>
        <w:t>（二）部门履职总体目标、工作任务</w:t>
      </w:r>
    </w:p>
    <w:p>
      <w:pPr>
        <w:widowControl w:val="0"/>
        <w:shd w:val="clear" w:color="auto" w:fill="FFFFFF"/>
        <w:ind w:firstLine="640"/>
        <w:jc w:val="both"/>
        <w:rPr>
          <w:rFonts w:ascii="Times New Roman" w:hAnsi="Times New Roman" w:eastAsia="仿宋_GB2312"/>
          <w:color w:val="000000"/>
          <w:sz w:val="32"/>
          <w:szCs w:val="32"/>
        </w:rPr>
      </w:pPr>
      <w:r>
        <w:rPr>
          <w:rFonts w:ascii="Times New Roman" w:hAnsi="Times New Roman" w:eastAsia="仿宋_GB2312"/>
          <w:b/>
          <w:bCs/>
          <w:color w:val="313131"/>
          <w:sz w:val="32"/>
          <w:szCs w:val="32"/>
          <w:shd w:val="clear" w:color="auto" w:fill="FFFFFF"/>
        </w:rPr>
        <w:t>总体目标：</w:t>
      </w:r>
      <w:r>
        <w:rPr>
          <w:rFonts w:ascii="Times New Roman" w:hAnsi="Times New Roman" w:eastAsia="仿宋_GB2312"/>
          <w:color w:val="313131"/>
          <w:sz w:val="32"/>
          <w:szCs w:val="32"/>
          <w:shd w:val="clear" w:color="auto" w:fill="FFFFFF"/>
        </w:rPr>
        <w:t>20</w:t>
      </w:r>
      <w:r>
        <w:rPr>
          <w:rFonts w:hint="eastAsia" w:ascii="Times New Roman" w:hAnsi="Times New Roman" w:eastAsia="仿宋_GB2312"/>
          <w:color w:val="313131"/>
          <w:sz w:val="32"/>
          <w:szCs w:val="32"/>
          <w:shd w:val="clear" w:color="auto" w:fill="FFFFFF"/>
        </w:rPr>
        <w:t>21</w:t>
      </w:r>
      <w:r>
        <w:rPr>
          <w:rFonts w:ascii="Times New Roman" w:hAnsi="Times New Roman" w:eastAsia="仿宋_GB2312"/>
          <w:color w:val="313131"/>
          <w:sz w:val="32"/>
          <w:szCs w:val="32"/>
          <w:shd w:val="clear" w:color="auto" w:fill="FFFFFF"/>
        </w:rPr>
        <w:t>年，</w:t>
      </w:r>
      <w:r>
        <w:rPr>
          <w:rFonts w:ascii="Times New Roman" w:hAnsi="Times New Roman" w:eastAsia="仿宋_GB2312"/>
          <w:sz w:val="32"/>
          <w:szCs w:val="32"/>
        </w:rPr>
        <w:t>我委认真贯彻落实中央省市政法工作会议精神和县委安排部署，以维护社会稳定、促进公平正义、保障人民安居乐业为主责主业，勇于担当，克难创新，圆满完成了扫黑除恶专项斗争、大庆</w:t>
      </w:r>
      <w:r>
        <w:rPr>
          <w:rFonts w:ascii="Times New Roman" w:hAnsi="Times New Roman" w:eastAsia="仿宋_GB2312"/>
          <w:color w:val="000000"/>
          <w:sz w:val="32"/>
          <w:szCs w:val="32"/>
        </w:rPr>
        <w:t>维稳安保、脱贫攻坚、“不忘初心、牢记使命”主题教育等重点工作，为建设幸福美好新宁县创造了安全的政治环境、稳定的社会环境、公正的法治环境、优质的服务环境。</w:t>
      </w:r>
    </w:p>
    <w:p>
      <w:pPr>
        <w:ind w:firstLine="643" w:firstLineChars="200"/>
        <w:rPr>
          <w:rFonts w:ascii="Times New Roman" w:hAnsi="Times New Roman" w:eastAsia="仿宋_GB2312"/>
          <w:sz w:val="32"/>
          <w:szCs w:val="32"/>
        </w:rPr>
      </w:pPr>
      <w:r>
        <w:rPr>
          <w:rFonts w:ascii="Times New Roman" w:hAnsi="Times New Roman" w:eastAsia="仿宋_GB2312"/>
          <w:b/>
          <w:bCs/>
          <w:color w:val="313131"/>
          <w:sz w:val="32"/>
          <w:szCs w:val="32"/>
          <w:shd w:val="clear" w:color="auto" w:fill="FFFFFF"/>
        </w:rPr>
        <w:t>主要工作任务：</w:t>
      </w:r>
      <w:r>
        <w:rPr>
          <w:rFonts w:ascii="Times New Roman" w:hAnsi="Times New Roman" w:eastAsia="仿宋_GB2312"/>
          <w:sz w:val="32"/>
          <w:szCs w:val="32"/>
        </w:rPr>
        <w:t>今年以来，全县政法工作以习近平新时代中国特色社会主义思想为指导，认真贯彻落实中央、省市委政法工作会议精神，按照县委对政法工作的安排部署，以平安建设、扫黑除恶及市域社会治理现代化建设为抓手，扎实开展政法工作三年大提升行动，为建设幸福美好新宁县创造了安全稳定的社会环境。</w:t>
      </w:r>
      <w:r>
        <w:rPr>
          <w:rFonts w:hint="eastAsia" w:ascii="Times New Roman" w:hAnsi="Times New Roman" w:eastAsia="仿宋_GB2312"/>
          <w:sz w:val="32"/>
          <w:szCs w:val="32"/>
        </w:rPr>
        <w:t>一是</w:t>
      </w:r>
      <w:r>
        <w:rPr>
          <w:rFonts w:ascii="Times New Roman" w:hAnsi="Times New Roman" w:eastAsia="仿宋_GB2312"/>
          <w:sz w:val="32"/>
          <w:szCs w:val="32"/>
        </w:rPr>
        <w:t>坚持党管政法，把牢政治方向</w:t>
      </w:r>
      <w:r>
        <w:rPr>
          <w:rFonts w:hint="eastAsia" w:ascii="Times New Roman" w:hAnsi="Times New Roman" w:eastAsia="仿宋_GB2312"/>
          <w:sz w:val="32"/>
          <w:szCs w:val="32"/>
        </w:rPr>
        <w:t>。二是</w:t>
      </w:r>
      <w:r>
        <w:rPr>
          <w:rFonts w:ascii="Times New Roman" w:hAnsi="Times New Roman" w:eastAsia="仿宋_GB2312"/>
          <w:sz w:val="32"/>
          <w:szCs w:val="32"/>
        </w:rPr>
        <w:t>维护全域安全，深化平安建设</w:t>
      </w:r>
      <w:r>
        <w:rPr>
          <w:rFonts w:hint="eastAsia" w:ascii="Times New Roman" w:hAnsi="Times New Roman" w:eastAsia="仿宋_GB2312"/>
          <w:sz w:val="32"/>
          <w:szCs w:val="32"/>
        </w:rPr>
        <w:t>。三是攻坚</w:t>
      </w:r>
      <w:r>
        <w:rPr>
          <w:rFonts w:ascii="Times New Roman" w:hAnsi="Times New Roman" w:eastAsia="仿宋_GB2312"/>
          <w:sz w:val="32"/>
          <w:szCs w:val="32"/>
        </w:rPr>
        <w:t>“六清行动”，</w:t>
      </w:r>
      <w:r>
        <w:rPr>
          <w:rFonts w:hint="eastAsia" w:ascii="Times New Roman" w:hAnsi="Times New Roman" w:eastAsia="仿宋_GB2312"/>
          <w:sz w:val="32"/>
          <w:szCs w:val="32"/>
        </w:rPr>
        <w:t>推进长效常治。四是</w:t>
      </w:r>
      <w:r>
        <w:rPr>
          <w:rFonts w:ascii="Times New Roman" w:hAnsi="Times New Roman" w:eastAsia="仿宋_GB2312"/>
          <w:sz w:val="32"/>
          <w:szCs w:val="32"/>
        </w:rPr>
        <w:t>落实“四化”要求，锻造政法铁军</w:t>
      </w:r>
      <w:r>
        <w:rPr>
          <w:rFonts w:hint="eastAsia" w:ascii="Times New Roman" w:hAnsi="Times New Roman" w:eastAsia="仿宋_GB2312"/>
          <w:sz w:val="32"/>
          <w:szCs w:val="32"/>
        </w:rPr>
        <w:t>。</w:t>
      </w:r>
    </w:p>
    <w:p>
      <w:pPr>
        <w:widowControl w:val="0"/>
        <w:spacing w:line="600" w:lineRule="exact"/>
        <w:ind w:firstLine="643" w:firstLineChars="200"/>
        <w:jc w:val="both"/>
        <w:rPr>
          <w:rFonts w:ascii="Times New Roman" w:hAnsi="Times New Roman" w:eastAsia="楷体_GB2312"/>
          <w:b/>
          <w:sz w:val="32"/>
          <w:szCs w:val="32"/>
        </w:rPr>
      </w:pPr>
      <w:r>
        <w:rPr>
          <w:rFonts w:ascii="Times New Roman" w:hAnsi="Times New Roman" w:eastAsia="楷体_GB2312"/>
          <w:b/>
          <w:color w:val="313131"/>
          <w:sz w:val="32"/>
          <w:szCs w:val="32"/>
          <w:shd w:val="clear" w:color="auto" w:fill="FFFFFF"/>
        </w:rPr>
        <w:t>（三）当年部门年度整体支出绩效目标</w:t>
      </w:r>
    </w:p>
    <w:p>
      <w:pPr>
        <w:ind w:firstLine="643" w:firstLineChars="200"/>
        <w:rPr>
          <w:rFonts w:hint="default" w:ascii="Times New Roman" w:hAnsi="Times New Roman" w:eastAsia="仿宋_GB2312"/>
          <w:sz w:val="32"/>
          <w:szCs w:val="32"/>
          <w:lang w:val="en-US" w:eastAsia="zh-CN"/>
        </w:rPr>
      </w:pPr>
      <w:r>
        <w:rPr>
          <w:rFonts w:ascii="Times New Roman" w:hAnsi="Times New Roman" w:eastAsia="仿宋_GB2312"/>
          <w:b/>
          <w:color w:val="313131"/>
          <w:sz w:val="32"/>
          <w:szCs w:val="32"/>
          <w:shd w:val="clear" w:color="auto" w:fill="FFFFFF"/>
        </w:rPr>
        <w:t>支出情况：</w:t>
      </w:r>
      <w:r>
        <w:rPr>
          <w:rFonts w:ascii="Times New Roman" w:hAnsi="Times New Roman" w:eastAsia="仿宋_GB2312"/>
          <w:sz w:val="32"/>
          <w:szCs w:val="32"/>
        </w:rPr>
        <w:t>20</w:t>
      </w:r>
      <w:r>
        <w:rPr>
          <w:rFonts w:hint="eastAsia" w:ascii="Times New Roman" w:hAnsi="Times New Roman" w:eastAsia="仿宋_GB2312"/>
          <w:sz w:val="32"/>
          <w:szCs w:val="32"/>
        </w:rPr>
        <w:t>21</w:t>
      </w:r>
      <w:r>
        <w:rPr>
          <w:rFonts w:ascii="Times New Roman" w:hAnsi="Times New Roman" w:eastAsia="仿宋_GB2312"/>
          <w:sz w:val="32"/>
          <w:szCs w:val="32"/>
        </w:rPr>
        <w:t>年总支出</w:t>
      </w:r>
      <w:r>
        <w:rPr>
          <w:rFonts w:hint="eastAsia" w:ascii="Times New Roman" w:hAnsi="Times New Roman" w:eastAsia="仿宋_GB2312"/>
          <w:sz w:val="32"/>
          <w:szCs w:val="32"/>
        </w:rPr>
        <w:t>405.6143</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64万</w:t>
      </w:r>
      <w:r>
        <w:rPr>
          <w:rFonts w:ascii="Times New Roman" w:hAnsi="Times New Roman" w:eastAsia="仿宋_GB2312"/>
          <w:sz w:val="32"/>
          <w:szCs w:val="32"/>
        </w:rPr>
        <w:t>元，结余</w:t>
      </w:r>
      <w:r>
        <w:rPr>
          <w:rFonts w:hint="eastAsia" w:ascii="Times New Roman" w:hAnsi="Times New Roman" w:eastAsia="仿宋_GB2312"/>
          <w:sz w:val="32"/>
          <w:szCs w:val="32"/>
        </w:rPr>
        <w:t>0万</w:t>
      </w:r>
      <w:r>
        <w:rPr>
          <w:rFonts w:ascii="Times New Roman" w:hAnsi="Times New Roman" w:eastAsia="仿宋_GB2312"/>
          <w:sz w:val="32"/>
          <w:szCs w:val="32"/>
        </w:rPr>
        <w:t>元。基本支出</w:t>
      </w:r>
      <w:r>
        <w:rPr>
          <w:rFonts w:hint="eastAsia" w:ascii="Times New Roman" w:hAnsi="Times New Roman" w:eastAsia="仿宋_GB2312"/>
          <w:sz w:val="32"/>
          <w:szCs w:val="32"/>
        </w:rPr>
        <w:t>404.772364万</w:t>
      </w:r>
      <w:r>
        <w:rPr>
          <w:rFonts w:ascii="Times New Roman" w:hAnsi="Times New Roman" w:eastAsia="仿宋_GB2312"/>
          <w:sz w:val="32"/>
          <w:szCs w:val="32"/>
        </w:rPr>
        <w:t>元，占总支出</w:t>
      </w:r>
      <w:r>
        <w:rPr>
          <w:rFonts w:hint="eastAsia" w:ascii="Times New Roman" w:hAnsi="Times New Roman" w:eastAsia="仿宋_GB2312"/>
          <w:sz w:val="32"/>
          <w:szCs w:val="32"/>
        </w:rPr>
        <w:t>99.79</w:t>
      </w:r>
      <w:r>
        <w:rPr>
          <w:rFonts w:ascii="Times New Roman" w:hAnsi="Times New Roman" w:eastAsia="仿宋_GB2312"/>
          <w:sz w:val="32"/>
          <w:szCs w:val="32"/>
        </w:rPr>
        <w:t>%（其中：</w:t>
      </w:r>
      <w:r>
        <w:rPr>
          <w:rFonts w:hint="eastAsia" w:ascii="Times New Roman" w:hAnsi="Times New Roman" w:eastAsia="仿宋_GB2312"/>
          <w:sz w:val="32"/>
          <w:szCs w:val="32"/>
        </w:rPr>
        <w:t>一般公共服务支出379.868674万元，社会保障和就业支出14.400048万元，农林水支出0.842万元</w:t>
      </w:r>
      <w:r>
        <w:rPr>
          <w:rFonts w:ascii="Times New Roman" w:hAnsi="Times New Roman" w:eastAsia="仿宋_GB2312"/>
          <w:sz w:val="32"/>
          <w:szCs w:val="32"/>
        </w:rPr>
        <w:t>）;专项支出</w:t>
      </w:r>
      <w:r>
        <w:rPr>
          <w:rFonts w:hint="eastAsia" w:ascii="Times New Roman" w:hAnsi="Times New Roman" w:eastAsia="仿宋_GB2312"/>
          <w:sz w:val="32"/>
          <w:szCs w:val="32"/>
        </w:rPr>
        <w:t>0.842万</w:t>
      </w:r>
      <w:r>
        <w:rPr>
          <w:rFonts w:ascii="Times New Roman" w:hAnsi="Times New Roman" w:eastAsia="仿宋_GB2312"/>
          <w:sz w:val="32"/>
          <w:szCs w:val="32"/>
        </w:rPr>
        <w:t>元，占总支出的</w:t>
      </w:r>
      <w:r>
        <w:rPr>
          <w:rFonts w:hint="eastAsia" w:ascii="Times New Roman" w:hAnsi="Times New Roman" w:eastAsia="仿宋_GB2312"/>
          <w:sz w:val="32"/>
          <w:szCs w:val="32"/>
        </w:rPr>
        <w:t>0.21</w:t>
      </w:r>
      <w:r>
        <w:rPr>
          <w:rFonts w:ascii="Times New Roman" w:hAnsi="Times New Roman" w:eastAsia="仿宋_GB2312"/>
          <w:sz w:val="32"/>
          <w:szCs w:val="32"/>
        </w:rPr>
        <w:t>%。县列项目经费支出</w:t>
      </w:r>
      <w:r>
        <w:rPr>
          <w:rFonts w:hint="eastAsia" w:ascii="Times New Roman" w:hAnsi="Times New Roman" w:eastAsia="仿宋_GB2312"/>
          <w:color w:val="FF0000"/>
          <w:sz w:val="32"/>
          <w:szCs w:val="32"/>
          <w:lang w:val="en-US" w:eastAsia="zh-CN"/>
        </w:rPr>
        <w:t>75.5453</w:t>
      </w:r>
      <w:r>
        <w:rPr>
          <w:rFonts w:hint="eastAsia" w:ascii="Times New Roman" w:hAnsi="Times New Roman" w:eastAsia="仿宋_GB2312"/>
          <w:sz w:val="32"/>
          <w:szCs w:val="32"/>
        </w:rPr>
        <w:t>万元</w:t>
      </w:r>
      <w:r>
        <w:rPr>
          <w:rFonts w:ascii="Times New Roman" w:hAnsi="Times New Roman" w:eastAsia="仿宋_GB2312"/>
          <w:sz w:val="32"/>
          <w:szCs w:val="32"/>
        </w:rPr>
        <w:t>，其中：雪亮工程项目经费</w:t>
      </w:r>
      <w:r>
        <w:rPr>
          <w:rFonts w:hint="eastAsia" w:ascii="Times New Roman" w:hAnsi="Times New Roman" w:eastAsia="仿宋_GB2312"/>
          <w:color w:val="FF0000"/>
          <w:sz w:val="32"/>
          <w:szCs w:val="32"/>
          <w:lang w:val="en-US" w:eastAsia="zh-CN"/>
        </w:rPr>
        <w:t>63.6985</w:t>
      </w:r>
      <w:r>
        <w:rPr>
          <w:rFonts w:hint="eastAsia" w:ascii="Times New Roman" w:hAnsi="Times New Roman" w:eastAsia="仿宋_GB2312"/>
          <w:sz w:val="32"/>
          <w:szCs w:val="32"/>
        </w:rPr>
        <w:t>万</w:t>
      </w:r>
      <w:r>
        <w:rPr>
          <w:rFonts w:ascii="Times New Roman" w:hAnsi="Times New Roman" w:eastAsia="仿宋_GB2312"/>
          <w:sz w:val="32"/>
          <w:szCs w:val="32"/>
        </w:rPr>
        <w:t>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综治中心建设办公设备购置11.8468万元。</w:t>
      </w:r>
    </w:p>
    <w:p>
      <w:pPr>
        <w:widowControl w:val="0"/>
        <w:spacing w:line="600" w:lineRule="exact"/>
        <w:ind w:firstLine="643" w:firstLineChars="200"/>
        <w:jc w:val="both"/>
        <w:rPr>
          <w:rFonts w:ascii="Times New Roman" w:hAnsi="Times New Roman" w:eastAsia="仿宋_GB2312"/>
          <w:b/>
          <w:color w:val="313131"/>
          <w:sz w:val="32"/>
          <w:szCs w:val="32"/>
          <w:shd w:val="clear" w:color="auto" w:fill="FFFFFF"/>
        </w:rPr>
      </w:pPr>
      <w:r>
        <w:rPr>
          <w:rFonts w:ascii="Times New Roman" w:hAnsi="Times New Roman" w:eastAsia="楷体_GB2312"/>
          <w:b/>
          <w:color w:val="313131"/>
          <w:sz w:val="32"/>
          <w:szCs w:val="32"/>
          <w:shd w:val="clear" w:color="auto" w:fill="FFFFFF"/>
        </w:rPr>
        <w:t>（四）部门预算绩效管理开展情况</w:t>
      </w:r>
    </w:p>
    <w:p>
      <w:pPr>
        <w:widowControl w:val="0"/>
        <w:shd w:val="clear" w:color="auto" w:fill="FFFFFF"/>
        <w:spacing w:line="600" w:lineRule="atLeast"/>
        <w:ind w:firstLine="643" w:firstLineChars="200"/>
        <w:jc w:val="both"/>
        <w:rPr>
          <w:rFonts w:ascii="Times New Roman" w:hAnsi="Times New Roman" w:eastAsia="仿宋_GB2312"/>
          <w:color w:val="313131"/>
          <w:sz w:val="32"/>
          <w:szCs w:val="32"/>
          <w:shd w:val="clear" w:color="auto" w:fill="FFFFFF"/>
        </w:rPr>
      </w:pPr>
      <w:r>
        <w:rPr>
          <w:rFonts w:ascii="Times New Roman" w:hAnsi="Times New Roman" w:eastAsia="仿宋_GB2312"/>
          <w:b/>
          <w:color w:val="313131"/>
          <w:sz w:val="32"/>
          <w:szCs w:val="32"/>
          <w:shd w:val="clear" w:color="auto" w:fill="FFFFFF"/>
        </w:rPr>
        <w:t>预算执行有效。</w:t>
      </w:r>
      <w:r>
        <w:rPr>
          <w:rFonts w:ascii="Times New Roman" w:hAnsi="Times New Roman" w:eastAsia="仿宋_GB2312"/>
          <w:color w:val="313131"/>
          <w:sz w:val="32"/>
          <w:szCs w:val="32"/>
          <w:shd w:val="clear" w:color="auto" w:fill="FFFFFF"/>
        </w:rPr>
        <w:t>部门本年度预算完成数与预算数的比率小于100%；结转结余率控制在合理范围；部门对项目支出的组织领导、项目实施过程的监督管理是否建立和落实了相应的管理机制；对项目支出的组织领导、项目实施过程的监督管理都建立和落实了相应的管理机制；部门本年度“三公经费”实际支出数与预算安排数的比率小于100%。</w:t>
      </w:r>
    </w:p>
    <w:p>
      <w:pPr>
        <w:widowControl w:val="0"/>
        <w:shd w:val="clear" w:color="auto" w:fill="FFFFFF"/>
        <w:spacing w:line="600" w:lineRule="atLeast"/>
        <w:ind w:firstLine="643" w:firstLineChars="200"/>
        <w:jc w:val="both"/>
        <w:rPr>
          <w:rFonts w:ascii="Times New Roman" w:hAnsi="Times New Roman" w:eastAsia="仿宋_GB2312"/>
          <w:color w:val="313131"/>
          <w:sz w:val="32"/>
          <w:szCs w:val="32"/>
          <w:shd w:val="clear" w:color="auto" w:fill="FFFFFF"/>
        </w:rPr>
      </w:pPr>
      <w:r>
        <w:rPr>
          <w:rFonts w:ascii="Times New Roman" w:hAnsi="Times New Roman" w:eastAsia="仿宋_GB2312"/>
          <w:b/>
          <w:color w:val="313131"/>
          <w:sz w:val="32"/>
          <w:szCs w:val="32"/>
          <w:shd w:val="clear" w:color="auto" w:fill="FFFFFF"/>
        </w:rPr>
        <w:t>预算管理规范。</w:t>
      </w:r>
      <w:r>
        <w:rPr>
          <w:rFonts w:ascii="Times New Roman" w:hAnsi="Times New Roman" w:eastAsia="仿宋_GB2312"/>
          <w:color w:val="313131"/>
          <w:sz w:val="32"/>
          <w:szCs w:val="32"/>
          <w:shd w:val="clear" w:color="auto" w:fill="FFFFFF"/>
        </w:rPr>
        <w:t>部门为加强预算管理、规范财务行为而制定的管理制度是否健全完整；部门是否按照政府信息公开有关规定公开相关预决算信息；部门使用预算资金是否符合相关的预算财务管理制度的规定。</w:t>
      </w:r>
    </w:p>
    <w:p>
      <w:pPr>
        <w:widowControl w:val="0"/>
        <w:shd w:val="clear" w:color="auto" w:fill="FFFFFF"/>
        <w:ind w:firstLine="640"/>
        <w:jc w:val="both"/>
        <w:rPr>
          <w:rFonts w:ascii="Times New Roman" w:hAnsi="Times New Roman" w:eastAsia="仿宋_GB2312"/>
          <w:color w:val="313131"/>
          <w:sz w:val="32"/>
          <w:szCs w:val="32"/>
          <w:shd w:val="clear" w:color="auto" w:fill="FFFFFF"/>
        </w:rPr>
      </w:pPr>
      <w:r>
        <w:rPr>
          <w:rFonts w:ascii="Times New Roman" w:hAnsi="Times New Roman" w:eastAsia="仿宋_GB2312"/>
          <w:b/>
          <w:color w:val="313131"/>
          <w:sz w:val="32"/>
          <w:szCs w:val="32"/>
          <w:shd w:val="clear" w:color="auto" w:fill="FFFFFF"/>
        </w:rPr>
        <w:t>预算参照规定。</w:t>
      </w:r>
      <w:r>
        <w:rPr>
          <w:rFonts w:ascii="Times New Roman" w:hAnsi="Times New Roman" w:eastAsia="仿宋_GB2312"/>
          <w:color w:val="313131"/>
          <w:sz w:val="32"/>
          <w:szCs w:val="32"/>
          <w:shd w:val="clear" w:color="auto" w:fill="FFFFFF"/>
        </w:rPr>
        <w:t>根据市委政法委工作职责及20</w:t>
      </w:r>
      <w:r>
        <w:rPr>
          <w:rFonts w:hint="eastAsia" w:ascii="Times New Roman" w:hAnsi="Times New Roman" w:eastAsia="仿宋_GB2312"/>
          <w:color w:val="313131"/>
          <w:sz w:val="32"/>
          <w:szCs w:val="32"/>
          <w:shd w:val="clear" w:color="auto" w:fill="FFFFFF"/>
        </w:rPr>
        <w:t>21</w:t>
      </w:r>
      <w:r>
        <w:rPr>
          <w:rFonts w:ascii="Times New Roman" w:hAnsi="Times New Roman" w:eastAsia="仿宋_GB2312"/>
          <w:color w:val="313131"/>
          <w:sz w:val="32"/>
          <w:szCs w:val="32"/>
          <w:shd w:val="clear" w:color="auto" w:fill="FFFFFF"/>
        </w:rPr>
        <w:t>年度重点工作，制定20</w:t>
      </w:r>
      <w:r>
        <w:rPr>
          <w:rFonts w:hint="eastAsia" w:ascii="Times New Roman" w:hAnsi="Times New Roman" w:eastAsia="仿宋_GB2312"/>
          <w:color w:val="313131"/>
          <w:sz w:val="32"/>
          <w:szCs w:val="32"/>
          <w:shd w:val="clear" w:color="auto" w:fill="FFFFFF"/>
        </w:rPr>
        <w:t>21</w:t>
      </w:r>
      <w:r>
        <w:rPr>
          <w:rFonts w:ascii="Times New Roman" w:hAnsi="Times New Roman" w:eastAsia="仿宋_GB2312"/>
          <w:color w:val="313131"/>
          <w:sz w:val="32"/>
          <w:szCs w:val="32"/>
          <w:shd w:val="clear" w:color="auto" w:fill="FFFFFF"/>
        </w:rPr>
        <w:t>年度绩效管理工作的总体目标和政策，明确20</w:t>
      </w:r>
      <w:r>
        <w:rPr>
          <w:rFonts w:hint="eastAsia" w:ascii="Times New Roman" w:hAnsi="Times New Roman" w:eastAsia="仿宋_GB2312"/>
          <w:color w:val="313131"/>
          <w:sz w:val="32"/>
          <w:szCs w:val="32"/>
          <w:shd w:val="clear" w:color="auto" w:fill="FFFFFF"/>
        </w:rPr>
        <w:t>21</w:t>
      </w:r>
      <w:r>
        <w:rPr>
          <w:rFonts w:ascii="Times New Roman" w:hAnsi="Times New Roman" w:eastAsia="仿宋_GB2312"/>
          <w:color w:val="313131"/>
          <w:sz w:val="32"/>
          <w:szCs w:val="32"/>
          <w:shd w:val="clear" w:color="auto" w:fill="FFFFFF"/>
        </w:rPr>
        <w:t>年度绩效管理的工作重心和方向，确定相应的绩效管理策略和目标;根据20</w:t>
      </w:r>
      <w:r>
        <w:rPr>
          <w:rFonts w:hint="eastAsia" w:ascii="Times New Roman" w:hAnsi="Times New Roman" w:eastAsia="仿宋_GB2312"/>
          <w:color w:val="313131"/>
          <w:sz w:val="32"/>
          <w:szCs w:val="32"/>
          <w:shd w:val="clear" w:color="auto" w:fill="FFFFFF"/>
        </w:rPr>
        <w:t>21</w:t>
      </w:r>
      <w:r>
        <w:rPr>
          <w:rFonts w:ascii="Times New Roman" w:hAnsi="Times New Roman" w:eastAsia="仿宋_GB2312"/>
          <w:color w:val="313131"/>
          <w:sz w:val="32"/>
          <w:szCs w:val="32"/>
          <w:shd w:val="clear" w:color="auto" w:fill="FFFFFF"/>
        </w:rPr>
        <w:t>年度预算执行情况适时跟进、反馈和调整跟进工作项目，适当调整和优化，确保年度绩效管理工作计划顺利完成。 根据20</w:t>
      </w:r>
      <w:r>
        <w:rPr>
          <w:rFonts w:hint="eastAsia" w:ascii="Times New Roman" w:hAnsi="Times New Roman" w:eastAsia="仿宋_GB2312"/>
          <w:color w:val="313131"/>
          <w:sz w:val="32"/>
          <w:szCs w:val="32"/>
          <w:shd w:val="clear" w:color="auto" w:fill="FFFFFF"/>
        </w:rPr>
        <w:t>21</w:t>
      </w:r>
      <w:r>
        <w:rPr>
          <w:rFonts w:ascii="Times New Roman" w:hAnsi="Times New Roman" w:eastAsia="仿宋_GB2312"/>
          <w:color w:val="313131"/>
          <w:sz w:val="32"/>
          <w:szCs w:val="32"/>
          <w:shd w:val="clear" w:color="auto" w:fill="FFFFFF"/>
        </w:rPr>
        <w:t>年度绩效管理工作的总体目标、方向、管理策略、工作重点以及组织方式等，开展具体的绩效管理体系规划，包括绩效管理制度、考核办法、考核方案、考核流程及相关表单等。</w:t>
      </w:r>
    </w:p>
    <w:p>
      <w:pPr>
        <w:widowControl w:val="0"/>
        <w:shd w:val="clear" w:color="auto" w:fill="FFFFFF"/>
        <w:ind w:firstLine="640" w:firstLineChars="200"/>
        <w:jc w:val="both"/>
        <w:rPr>
          <w:rFonts w:ascii="Times New Roman" w:hAnsi="Times New Roman" w:eastAsia="黑体"/>
          <w:sz w:val="32"/>
          <w:szCs w:val="32"/>
        </w:rPr>
      </w:pPr>
      <w:r>
        <w:rPr>
          <w:rFonts w:ascii="Times New Roman" w:hAnsi="Times New Roman" w:eastAsia="黑体"/>
          <w:sz w:val="32"/>
          <w:szCs w:val="32"/>
        </w:rPr>
        <w:t>二、部门整体支出绩效实现情况</w:t>
      </w:r>
    </w:p>
    <w:p>
      <w:pPr>
        <w:widowControl w:val="0"/>
        <w:spacing w:line="552" w:lineRule="exact"/>
        <w:ind w:firstLine="482" w:firstLineChars="150"/>
        <w:rPr>
          <w:rFonts w:ascii="Times New Roman" w:hAnsi="Times New Roman" w:eastAsia="楷体_GB2312"/>
          <w:b/>
          <w:sz w:val="32"/>
          <w:szCs w:val="32"/>
        </w:rPr>
      </w:pPr>
      <w:r>
        <w:rPr>
          <w:rFonts w:ascii="Times New Roman" w:hAnsi="Times New Roman" w:eastAsia="楷体_GB2312"/>
          <w:b/>
          <w:sz w:val="32"/>
          <w:szCs w:val="32"/>
        </w:rPr>
        <w:t>（一）履职完成情况</w:t>
      </w:r>
    </w:p>
    <w:p>
      <w:pPr>
        <w:pStyle w:val="6"/>
        <w:widowControl w:val="0"/>
        <w:spacing w:beforeAutospacing="0" w:afterAutospacing="0" w:line="578" w:lineRule="exact"/>
        <w:ind w:firstLine="643" w:firstLineChars="200"/>
        <w:rPr>
          <w:rFonts w:ascii="Times New Roman" w:hAnsi="Times New Roman" w:eastAsia="仿宋_GB2312"/>
          <w:sz w:val="32"/>
          <w:szCs w:val="32"/>
        </w:rPr>
      </w:pPr>
      <w:r>
        <w:rPr>
          <w:rFonts w:ascii="Times New Roman" w:hAnsi="Times New Roman" w:eastAsia="楷体_GB2312"/>
          <w:b/>
          <w:bCs/>
          <w:sz w:val="32"/>
          <w:szCs w:val="32"/>
        </w:rPr>
        <w:t>一是党的绝对领导全面加强。</w:t>
      </w:r>
      <w:r>
        <w:rPr>
          <w:rFonts w:ascii="Times New Roman" w:hAnsi="Times New Roman" w:eastAsia="仿宋_GB2312"/>
          <w:kern w:val="2"/>
          <w:sz w:val="32"/>
          <w:szCs w:val="32"/>
        </w:rPr>
        <w:t>始终坚持把党对政法工作的绝对领导</w:t>
      </w:r>
      <w:r>
        <w:rPr>
          <w:rFonts w:hint="eastAsia" w:ascii="Times New Roman" w:hAnsi="Times New Roman" w:eastAsia="仿宋_GB2312"/>
          <w:kern w:val="2"/>
          <w:sz w:val="32"/>
          <w:szCs w:val="32"/>
        </w:rPr>
        <w:t>贯穿</w:t>
      </w:r>
      <w:r>
        <w:rPr>
          <w:rFonts w:ascii="Times New Roman" w:hAnsi="Times New Roman" w:eastAsia="仿宋_GB2312"/>
          <w:kern w:val="2"/>
          <w:sz w:val="32"/>
          <w:szCs w:val="32"/>
        </w:rPr>
        <w:t>于政法工作各环节、全过程。</w:t>
      </w:r>
      <w:r>
        <w:rPr>
          <w:rFonts w:ascii="Times New Roman" w:hAnsi="Times New Roman" w:eastAsia="仿宋_GB2312"/>
          <w:sz w:val="32"/>
          <w:szCs w:val="32"/>
        </w:rPr>
        <w:t>坚决贯彻落实《中国共产党政法工作条例》和省委实施细则，举办政法领导干部培训班2期</w:t>
      </w:r>
      <w:r>
        <w:rPr>
          <w:rFonts w:hint="eastAsia" w:ascii="Times New Roman" w:hAnsi="Times New Roman" w:eastAsia="仿宋_GB2312"/>
          <w:sz w:val="32"/>
          <w:szCs w:val="32"/>
        </w:rPr>
        <w:t>、</w:t>
      </w:r>
      <w:r>
        <w:rPr>
          <w:rFonts w:ascii="Times New Roman" w:hAnsi="Times New Roman" w:eastAsia="仿宋_GB2312"/>
          <w:sz w:val="32"/>
          <w:szCs w:val="32"/>
        </w:rPr>
        <w:t>政治轮训9期，不断</w:t>
      </w:r>
      <w:r>
        <w:rPr>
          <w:rFonts w:ascii="Times New Roman" w:hAnsi="Times New Roman" w:eastAsia="仿宋_GB2312"/>
          <w:kern w:val="2"/>
          <w:sz w:val="32"/>
          <w:szCs w:val="32"/>
        </w:rPr>
        <w:t>增强“四个意识”、坚定“四个自信”、做到“两个维护”</w:t>
      </w:r>
      <w:r>
        <w:rPr>
          <w:rFonts w:hint="eastAsia" w:ascii="Times New Roman" w:hAnsi="Times New Roman" w:eastAsia="仿宋_GB2312"/>
          <w:kern w:val="2"/>
          <w:sz w:val="32"/>
          <w:szCs w:val="32"/>
          <w:lang w:eastAsia="zh-CN"/>
        </w:rPr>
        <w:t>，</w:t>
      </w:r>
      <w:r>
        <w:rPr>
          <w:rFonts w:ascii="Times New Roman" w:hAnsi="Times New Roman" w:eastAsia="仿宋_GB2312"/>
          <w:sz w:val="32"/>
          <w:szCs w:val="32"/>
        </w:rPr>
        <w:t>保证各项工作始终沿着正确的方向前进。</w:t>
      </w:r>
      <w:r>
        <w:rPr>
          <w:rFonts w:ascii="Times New Roman" w:hAnsi="Times New Roman" w:eastAsia="楷体_GB2312"/>
          <w:b/>
          <w:bCs/>
          <w:sz w:val="32"/>
          <w:szCs w:val="32"/>
        </w:rPr>
        <w:t>二</w:t>
      </w:r>
      <w:r>
        <w:rPr>
          <w:rFonts w:hint="eastAsia" w:ascii="Times New Roman" w:hAnsi="Times New Roman" w:eastAsia="楷体_GB2312"/>
          <w:b/>
          <w:bCs/>
          <w:sz w:val="32"/>
          <w:szCs w:val="32"/>
          <w:lang w:val="en-US" w:eastAsia="zh-CN"/>
        </w:rPr>
        <w:t>是</w:t>
      </w:r>
      <w:r>
        <w:rPr>
          <w:rFonts w:ascii="Times New Roman" w:hAnsi="Times New Roman" w:eastAsia="楷体_GB2312"/>
          <w:b/>
          <w:bCs/>
          <w:sz w:val="32"/>
          <w:szCs w:val="32"/>
        </w:rPr>
        <w:t>司法为民能力不断提升</w:t>
      </w:r>
      <w:r>
        <w:rPr>
          <w:rFonts w:ascii="Times New Roman" w:hAnsi="Times New Roman" w:eastAsia="楷体_GB2312"/>
          <w:b/>
          <w:bCs/>
          <w:kern w:val="2"/>
          <w:sz w:val="32"/>
          <w:szCs w:val="32"/>
        </w:rPr>
        <w:t>。</w:t>
      </w:r>
      <w:r>
        <w:rPr>
          <w:rFonts w:ascii="Times New Roman" w:hAnsi="Times New Roman" w:eastAsia="仿宋_GB2312"/>
          <w:sz w:val="32"/>
          <w:szCs w:val="32"/>
        </w:rPr>
        <w:t>公安机关重点业务指标实现“</w:t>
      </w:r>
      <w:r>
        <w:rPr>
          <w:rFonts w:hint="eastAsia" w:ascii="Times New Roman" w:hAnsi="Times New Roman" w:eastAsia="仿宋_GB2312"/>
          <w:sz w:val="32"/>
          <w:szCs w:val="32"/>
        </w:rPr>
        <w:t>五</w:t>
      </w:r>
      <w:r>
        <w:rPr>
          <w:rFonts w:ascii="Times New Roman" w:hAnsi="Times New Roman" w:eastAsia="仿宋_GB2312"/>
          <w:sz w:val="32"/>
          <w:szCs w:val="32"/>
        </w:rPr>
        <w:t>个下降”，县司法局积极推进民主法治建设活动，年内创建</w:t>
      </w:r>
      <w:r>
        <w:rPr>
          <w:rFonts w:ascii="Times New Roman" w:hAnsi="Times New Roman" w:eastAsia="仿宋_GB2312"/>
          <w:sz w:val="32"/>
          <w:szCs w:val="32"/>
          <w:shd w:val="clear" w:color="auto" w:fill="FFFFFF"/>
        </w:rPr>
        <w:t>省级民主法治示范村9个、示范社区1个，排查调处矛盾纠纷</w:t>
      </w:r>
      <w:r>
        <w:rPr>
          <w:rFonts w:hint="eastAsia" w:ascii="Times New Roman" w:hAnsi="Times New Roman" w:eastAsia="仿宋_GB2312"/>
          <w:sz w:val="32"/>
          <w:szCs w:val="32"/>
          <w:shd w:val="clear" w:color="auto" w:fill="FFFFFF"/>
        </w:rPr>
        <w:t>2591</w:t>
      </w:r>
      <w:r>
        <w:rPr>
          <w:rFonts w:ascii="Times New Roman" w:hAnsi="Times New Roman" w:eastAsia="仿宋_GB2312"/>
          <w:sz w:val="32"/>
          <w:szCs w:val="32"/>
          <w:shd w:val="clear" w:color="auto" w:fill="FFFFFF"/>
        </w:rPr>
        <w:t>起</w:t>
      </w:r>
      <w:r>
        <w:rPr>
          <w:rFonts w:hint="eastAsia" w:ascii="Times New Roman" w:hAnsi="Times New Roman" w:eastAsia="仿宋_GB2312"/>
          <w:sz w:val="32"/>
          <w:szCs w:val="32"/>
          <w:shd w:val="clear" w:color="auto" w:fill="FFFFFF"/>
        </w:rPr>
        <w:t>，调处成功2533起</w:t>
      </w:r>
      <w:r>
        <w:rPr>
          <w:rFonts w:ascii="Times New Roman" w:hAnsi="Times New Roman" w:eastAsia="仿宋_GB2312"/>
          <w:sz w:val="32"/>
          <w:szCs w:val="32"/>
        </w:rPr>
        <w:t>，司法公信力得到进一步提升。</w:t>
      </w:r>
      <w:r>
        <w:rPr>
          <w:rFonts w:ascii="Times New Roman" w:hAnsi="Times New Roman" w:eastAsia="楷体_GB2312"/>
          <w:b/>
          <w:bCs/>
          <w:sz w:val="32"/>
          <w:szCs w:val="32"/>
        </w:rPr>
        <w:t>四是政法教育整顿圆满收官。</w:t>
      </w:r>
      <w:r>
        <w:rPr>
          <w:rFonts w:ascii="Times New Roman" w:hAnsi="Times New Roman" w:eastAsia="仿宋_GB2312"/>
          <w:sz w:val="32"/>
          <w:szCs w:val="32"/>
        </w:rPr>
        <w:t>紧紧围绕政法队伍教育整顿“三个环节”，</w:t>
      </w:r>
      <w:r>
        <w:rPr>
          <w:rFonts w:ascii="Times New Roman" w:hAnsi="Times New Roman" w:eastAsia="仿宋_GB2312"/>
          <w:color w:val="000000"/>
          <w:spacing w:val="-6"/>
          <w:sz w:val="32"/>
          <w:szCs w:val="32"/>
          <w:lang w:val="zh-CN"/>
        </w:rPr>
        <w:t>突出“四项任务”，</w:t>
      </w:r>
      <w:r>
        <w:rPr>
          <w:rFonts w:ascii="Times New Roman" w:hAnsi="Times New Roman" w:eastAsia="仿宋_GB2312"/>
          <w:color w:val="000000"/>
          <w:spacing w:val="-6"/>
          <w:sz w:val="32"/>
          <w:szCs w:val="32"/>
        </w:rPr>
        <w:t>深入推进</w:t>
      </w:r>
      <w:r>
        <w:rPr>
          <w:rFonts w:ascii="Times New Roman" w:hAnsi="Times New Roman" w:eastAsia="仿宋_GB2312"/>
          <w:sz w:val="32"/>
          <w:szCs w:val="32"/>
        </w:rPr>
        <w:t>教育整顿开展。先后制定印发了《政法队伍教育整顿实施方案》等12个文件，明确了目标任务、方法步骤和具体要求。通过广泛发动、持续加压，队伍建设管理实现了“当下治”与“长久立”有效衔接</w:t>
      </w:r>
      <w:r>
        <w:rPr>
          <w:rFonts w:ascii="Times New Roman" w:hAnsi="Times New Roman" w:eastAsia="仿宋_GB2312"/>
          <w:color w:val="000000"/>
          <w:sz w:val="32"/>
          <w:szCs w:val="32"/>
        </w:rPr>
        <w:t>。</w:t>
      </w:r>
      <w:r>
        <w:rPr>
          <w:rFonts w:ascii="Times New Roman" w:hAnsi="Times New Roman" w:eastAsia="楷体_GB2312"/>
          <w:b/>
          <w:bCs/>
          <w:kern w:val="2"/>
          <w:sz w:val="32"/>
          <w:szCs w:val="32"/>
        </w:rPr>
        <w:t>五</w:t>
      </w:r>
      <w:r>
        <w:rPr>
          <w:rFonts w:ascii="Times New Roman" w:hAnsi="Times New Roman" w:eastAsia="楷体_GB2312"/>
          <w:b/>
          <w:bCs/>
          <w:sz w:val="32"/>
          <w:szCs w:val="32"/>
        </w:rPr>
        <w:t>是</w:t>
      </w:r>
      <w:r>
        <w:rPr>
          <w:rFonts w:ascii="Times New Roman" w:hAnsi="Times New Roman" w:eastAsia="楷体_GB2312"/>
          <w:b/>
          <w:bCs/>
          <w:kern w:val="2"/>
          <w:sz w:val="32"/>
          <w:szCs w:val="32"/>
        </w:rPr>
        <w:t>平安宁县创建有序推进</w:t>
      </w:r>
      <w:r>
        <w:rPr>
          <w:rFonts w:ascii="Times New Roman" w:hAnsi="Times New Roman" w:eastAsia="楷体_GB2312"/>
          <w:b/>
          <w:bCs/>
          <w:sz w:val="32"/>
          <w:szCs w:val="32"/>
        </w:rPr>
        <w:t>。</w:t>
      </w:r>
      <w:r>
        <w:rPr>
          <w:rFonts w:ascii="Times New Roman" w:hAnsi="Times New Roman" w:eastAsia="仿宋_GB2312"/>
          <w:sz w:val="32"/>
          <w:szCs w:val="32"/>
        </w:rPr>
        <w:t>全面完成扫黑除恶专项斗争三年攻坚行动任务，进入常态化以来，制定出台</w:t>
      </w:r>
      <w:r>
        <w:rPr>
          <w:rFonts w:hint="eastAsia" w:ascii="Times New Roman" w:hAnsi="Times New Roman" w:eastAsia="仿宋_GB2312"/>
          <w:sz w:val="32"/>
          <w:szCs w:val="32"/>
          <w:lang w:val="en-US" w:eastAsia="zh-CN"/>
        </w:rPr>
        <w:t>扫黑除恶常态化</w:t>
      </w:r>
      <w:r>
        <w:rPr>
          <w:rFonts w:hint="eastAsia" w:ascii="Times New Roman" w:hAnsi="Times New Roman" w:eastAsia="仿宋_GB2312"/>
          <w:sz w:val="32"/>
          <w:szCs w:val="32"/>
        </w:rPr>
        <w:t>相关配套性文件</w:t>
      </w:r>
      <w:r>
        <w:rPr>
          <w:rFonts w:ascii="Times New Roman" w:hAnsi="Times New Roman" w:eastAsia="仿宋_GB2312"/>
          <w:sz w:val="32"/>
          <w:szCs w:val="32"/>
        </w:rPr>
        <w:t>，调整优化了领导机构和办公室，健全完善了工作运行、线索管理、协调联动等制度机制，为常态化开展扫黑除恶提供了有力保障。</w:t>
      </w:r>
    </w:p>
    <w:p>
      <w:pPr>
        <w:widowControl w:val="0"/>
        <w:shd w:val="clear" w:color="auto" w:fill="FFFFFF"/>
        <w:ind w:firstLine="643" w:firstLineChars="200"/>
        <w:jc w:val="both"/>
        <w:rPr>
          <w:rFonts w:ascii="Times New Roman" w:hAnsi="Times New Roman" w:eastAsia="楷体_GB2312"/>
          <w:b/>
          <w:sz w:val="32"/>
          <w:szCs w:val="32"/>
        </w:rPr>
      </w:pPr>
      <w:r>
        <w:rPr>
          <w:rFonts w:ascii="Times New Roman" w:hAnsi="Times New Roman" w:eastAsia="楷体_GB2312"/>
          <w:b/>
          <w:sz w:val="32"/>
          <w:szCs w:val="32"/>
        </w:rPr>
        <w:t>（二）履职效果情况</w:t>
      </w:r>
    </w:p>
    <w:p>
      <w:pPr>
        <w:widowControl w:val="0"/>
        <w:shd w:val="clear" w:color="auto" w:fill="FFFFFF"/>
        <w:spacing w:line="600" w:lineRule="atLeast"/>
        <w:ind w:firstLine="640"/>
        <w:jc w:val="both"/>
        <w:rPr>
          <w:rFonts w:ascii="Times New Roman" w:hAnsi="Times New Roman" w:eastAsia="仿宋_GB2312"/>
          <w:color w:val="2B2B2B"/>
          <w:sz w:val="32"/>
          <w:szCs w:val="32"/>
        </w:rPr>
      </w:pPr>
      <w:r>
        <w:rPr>
          <w:rFonts w:ascii="Times New Roman" w:hAnsi="Times New Roman" w:eastAsia="仿宋_GB2312"/>
          <w:b/>
          <w:color w:val="2B2B2B"/>
          <w:sz w:val="32"/>
          <w:szCs w:val="32"/>
        </w:rPr>
        <w:t>1.经济效益。</w:t>
      </w:r>
      <w:r>
        <w:rPr>
          <w:rFonts w:ascii="Times New Roman" w:hAnsi="Times New Roman" w:eastAsia="仿宋_GB2312"/>
          <w:color w:val="2B2B2B"/>
          <w:sz w:val="32"/>
          <w:szCs w:val="32"/>
        </w:rPr>
        <w:t>维护社会稳定、开展综合治理、创建平安环境、助推脱贫攻坚，服务城乡综合治理，保障经济社会高效快速发展。</w:t>
      </w:r>
    </w:p>
    <w:p>
      <w:pPr>
        <w:widowControl w:val="0"/>
        <w:shd w:val="clear" w:color="auto" w:fill="FFFFFF"/>
        <w:spacing w:line="600" w:lineRule="atLeast"/>
        <w:ind w:firstLine="640"/>
        <w:jc w:val="both"/>
        <w:rPr>
          <w:rFonts w:ascii="Times New Roman" w:hAnsi="Times New Roman" w:eastAsia="仿宋_GB2312"/>
          <w:color w:val="2B2B2B"/>
          <w:sz w:val="32"/>
          <w:szCs w:val="32"/>
        </w:rPr>
      </w:pPr>
      <w:r>
        <w:rPr>
          <w:rFonts w:ascii="Times New Roman" w:hAnsi="Times New Roman" w:eastAsia="仿宋_GB2312"/>
          <w:b/>
          <w:color w:val="2B2B2B"/>
          <w:sz w:val="32"/>
          <w:szCs w:val="32"/>
        </w:rPr>
        <w:t>2.社会效益。</w:t>
      </w:r>
      <w:r>
        <w:rPr>
          <w:rFonts w:ascii="Times New Roman" w:hAnsi="Times New Roman" w:eastAsia="仿宋_GB2312"/>
          <w:color w:val="2B2B2B"/>
          <w:sz w:val="32"/>
          <w:szCs w:val="32"/>
        </w:rPr>
        <w:t>营造平安稳定的生产生活环境，提升群众安全感、获得感和幸福感。</w:t>
      </w:r>
    </w:p>
    <w:p>
      <w:pPr>
        <w:widowControl w:val="0"/>
        <w:spacing w:line="600" w:lineRule="exact"/>
        <w:ind w:firstLine="643" w:firstLineChars="200"/>
        <w:jc w:val="both"/>
        <w:rPr>
          <w:rFonts w:ascii="Times New Roman" w:hAnsi="Times New Roman" w:eastAsia="仿宋_GB2312"/>
          <w:color w:val="313131"/>
          <w:sz w:val="32"/>
          <w:szCs w:val="32"/>
          <w:shd w:val="clear" w:color="auto" w:fill="FFFFFF"/>
        </w:rPr>
      </w:pPr>
      <w:r>
        <w:rPr>
          <w:rFonts w:ascii="Times New Roman" w:hAnsi="Times New Roman" w:eastAsia="仿宋_GB2312"/>
          <w:b/>
          <w:color w:val="2B2B2B"/>
          <w:sz w:val="32"/>
          <w:szCs w:val="32"/>
        </w:rPr>
        <w:t>3.行政效能。</w:t>
      </w:r>
      <w:r>
        <w:rPr>
          <w:rFonts w:ascii="Times New Roman" w:hAnsi="Times New Roman" w:eastAsia="仿宋_GB2312"/>
          <w:color w:val="2B2B2B"/>
          <w:sz w:val="32"/>
          <w:szCs w:val="32"/>
        </w:rPr>
        <w:t>政法部门不断创新工作举措，便民利民服务水平进一步提升，提高了行政效率，降低了行政成本。</w:t>
      </w:r>
    </w:p>
    <w:p>
      <w:pPr>
        <w:widowControl w:val="0"/>
        <w:spacing w:line="600" w:lineRule="exact"/>
        <w:ind w:firstLine="643" w:firstLineChars="200"/>
        <w:jc w:val="both"/>
        <w:rPr>
          <w:rFonts w:ascii="Times New Roman" w:hAnsi="Times New Roman" w:eastAsia="楷体_GB2312"/>
          <w:b/>
          <w:sz w:val="32"/>
          <w:szCs w:val="32"/>
        </w:rPr>
      </w:pPr>
      <w:r>
        <w:rPr>
          <w:rFonts w:ascii="Times New Roman" w:hAnsi="Times New Roman" w:eastAsia="楷体_GB2312"/>
          <w:b/>
          <w:sz w:val="32"/>
          <w:szCs w:val="32"/>
        </w:rPr>
        <w:t>（三）社会满意度及可持续性影响</w:t>
      </w:r>
    </w:p>
    <w:p>
      <w:pPr>
        <w:widowControl w:val="0"/>
        <w:shd w:val="clear" w:color="auto" w:fill="FFFFFF"/>
        <w:spacing w:line="600" w:lineRule="atLeas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县委政法委平安建设、助推脱贫、促进发展的工作举措成效显著，服务发展大局能力和水平进一步提高，社会满意度明显增强。</w:t>
      </w:r>
    </w:p>
    <w:p>
      <w:pPr>
        <w:widowControl w:val="0"/>
        <w:shd w:val="clear" w:color="auto" w:fill="FFFFFF"/>
        <w:spacing w:line="600" w:lineRule="atLeast"/>
        <w:ind w:firstLine="640" w:firstLineChars="200"/>
        <w:jc w:val="both"/>
        <w:rPr>
          <w:rFonts w:ascii="Times New Roman" w:hAnsi="Times New Roman" w:eastAsia="仿宋_GB2312"/>
          <w:color w:val="2B2B2B"/>
          <w:sz w:val="32"/>
          <w:szCs w:val="32"/>
        </w:rPr>
      </w:pPr>
      <w:r>
        <w:rPr>
          <w:rFonts w:ascii="Times New Roman" w:hAnsi="Times New Roman" w:eastAsia="黑体"/>
          <w:color w:val="313131"/>
          <w:sz w:val="32"/>
          <w:szCs w:val="32"/>
          <w:shd w:val="clear" w:color="auto" w:fill="FFFFFF"/>
        </w:rPr>
        <w:t>三、部门整体支出绩效中存在问题及改进措施</w:t>
      </w:r>
    </w:p>
    <w:p>
      <w:pPr>
        <w:widowControl w:val="0"/>
        <w:shd w:val="clear" w:color="auto" w:fill="FFFFFF"/>
        <w:ind w:firstLine="640"/>
        <w:jc w:val="both"/>
        <w:rPr>
          <w:rFonts w:ascii="Times New Roman" w:hAnsi="Times New Roman" w:eastAsia="楷体_GB2312"/>
          <w:b/>
          <w:color w:val="000000"/>
          <w:sz w:val="32"/>
          <w:szCs w:val="32"/>
        </w:rPr>
      </w:pPr>
      <w:r>
        <w:rPr>
          <w:rFonts w:ascii="Times New Roman" w:hAnsi="Times New Roman" w:eastAsia="楷体_GB2312"/>
          <w:b/>
          <w:color w:val="000000"/>
          <w:sz w:val="32"/>
          <w:szCs w:val="32"/>
        </w:rPr>
        <w:t>（一）主要问题及原因分析</w:t>
      </w:r>
    </w:p>
    <w:p>
      <w:pPr>
        <w:widowControl w:val="0"/>
        <w:shd w:val="clear" w:color="auto" w:fill="FFFFFF"/>
        <w:ind w:firstLine="640" w:firstLineChars="200"/>
        <w:jc w:val="both"/>
        <w:rPr>
          <w:rFonts w:ascii="Times New Roman" w:hAnsi="Times New Roman" w:eastAsia="仿宋_GB2312"/>
          <w:color w:val="2B2B2B"/>
          <w:sz w:val="32"/>
          <w:szCs w:val="32"/>
        </w:rPr>
      </w:pPr>
      <w:r>
        <w:rPr>
          <w:rFonts w:ascii="Times New Roman" w:hAnsi="Times New Roman" w:eastAsia="仿宋_GB2312"/>
          <w:color w:val="000000"/>
          <w:sz w:val="32"/>
          <w:szCs w:val="32"/>
        </w:rPr>
        <w:t>部分评价指标较为宽泛，部分资金项目政治效果、社会效果无法量化，评价结果不够准确;</w:t>
      </w:r>
    </w:p>
    <w:p>
      <w:pPr>
        <w:widowControl w:val="0"/>
        <w:shd w:val="clear" w:color="auto" w:fill="FFFFFF"/>
        <w:spacing w:line="600" w:lineRule="atLeast"/>
        <w:ind w:firstLine="482" w:firstLineChars="150"/>
        <w:jc w:val="both"/>
        <w:rPr>
          <w:rFonts w:ascii="Times New Roman" w:hAnsi="Times New Roman" w:eastAsia="楷体_GB2312"/>
          <w:b/>
          <w:color w:val="000000"/>
          <w:sz w:val="32"/>
          <w:szCs w:val="32"/>
        </w:rPr>
      </w:pPr>
      <w:r>
        <w:rPr>
          <w:rFonts w:ascii="Times New Roman" w:hAnsi="Times New Roman" w:eastAsia="楷体_GB2312"/>
          <w:b/>
          <w:color w:val="000000"/>
          <w:sz w:val="32"/>
          <w:szCs w:val="32"/>
        </w:rPr>
        <w:t>（二）改进方向和具体措施</w:t>
      </w:r>
    </w:p>
    <w:p>
      <w:pPr>
        <w:widowControl w:val="0"/>
        <w:shd w:val="clear" w:color="auto" w:fill="FFFFFF"/>
        <w:ind w:firstLine="640"/>
        <w:jc w:val="both"/>
        <w:rPr>
          <w:rFonts w:ascii="Times New Roman" w:hAnsi="Times New Roman" w:eastAsia="仿宋_GB2312"/>
          <w:color w:val="2B2B2B"/>
          <w:sz w:val="32"/>
          <w:szCs w:val="32"/>
        </w:rPr>
      </w:pPr>
      <w:r>
        <w:rPr>
          <w:rFonts w:ascii="Times New Roman" w:hAnsi="Times New Roman" w:eastAsia="仿宋_GB2312"/>
          <w:color w:val="000000"/>
          <w:sz w:val="32"/>
          <w:szCs w:val="32"/>
        </w:rPr>
        <w:t>1.进一步细化平安建设及专项斗争评价指标，将刑事发案率、八大主要刑事犯罪占比公众满意度调查每10万命案发案率等指标纳入绩效管理评价指标;</w:t>
      </w:r>
    </w:p>
    <w:p>
      <w:pPr>
        <w:widowControl w:val="0"/>
        <w:spacing w:line="552" w:lineRule="exact"/>
        <w:ind w:firstLine="640" w:firstLineChars="200"/>
        <w:rPr>
          <w:rFonts w:ascii="Times New Roman" w:hAnsi="Times New Roman" w:eastAsia="仿宋_GB2312"/>
          <w:sz w:val="32"/>
          <w:szCs w:val="32"/>
        </w:rPr>
      </w:pPr>
      <w:r>
        <w:rPr>
          <w:rFonts w:ascii="Times New Roman" w:hAnsi="Times New Roman" w:eastAsia="仿宋_GB2312"/>
          <w:color w:val="000000"/>
          <w:sz w:val="32"/>
          <w:szCs w:val="32"/>
        </w:rPr>
        <w:t>2.将平安建设及专项斗争的政治效果和社会效果及治理效果纳入考核内容，使考核内容更能反映项目资金真实绩效。</w:t>
      </w:r>
    </w:p>
    <w:p>
      <w:pPr>
        <w:widowControl w:val="0"/>
        <w:spacing w:line="600" w:lineRule="exact"/>
        <w:jc w:val="both"/>
        <w:rPr>
          <w:rFonts w:ascii="Times New Roman" w:hAnsi="Times New Roman" w:eastAsia="仿宋_GB2312"/>
          <w:sz w:val="32"/>
          <w:szCs w:val="32"/>
        </w:rPr>
      </w:pPr>
    </w:p>
    <w:p>
      <w:pPr>
        <w:widowControl w:val="0"/>
        <w:spacing w:line="600" w:lineRule="exact"/>
        <w:ind w:firstLine="4160" w:firstLineChars="1300"/>
        <w:jc w:val="both"/>
        <w:rPr>
          <w:rFonts w:ascii="Times New Roman" w:hAnsi="Times New Roman" w:eastAsia="仿宋_GB2312"/>
          <w:sz w:val="32"/>
          <w:szCs w:val="32"/>
        </w:rPr>
      </w:pPr>
    </w:p>
    <w:p>
      <w:pPr>
        <w:widowControl w:val="0"/>
        <w:spacing w:line="600" w:lineRule="exact"/>
        <w:ind w:firstLine="4160" w:firstLineChars="1300"/>
        <w:jc w:val="both"/>
        <w:rPr>
          <w:rFonts w:ascii="Times New Roman" w:hAnsi="Times New Roman" w:eastAsia="仿宋_GB2312"/>
          <w:sz w:val="32"/>
          <w:szCs w:val="32"/>
        </w:rPr>
      </w:pPr>
    </w:p>
    <w:p>
      <w:pPr>
        <w:widowControl w:val="0"/>
        <w:shd w:val="clear" w:color="auto" w:fill="FFFFFF"/>
        <w:jc w:val="both"/>
        <w:rPr>
          <w:rFonts w:ascii="Times New Roman" w:hAnsi="Times New Roman"/>
          <w:sz w:val="34"/>
          <w:szCs w:val="34"/>
        </w:rPr>
      </w:pPr>
    </w:p>
    <w:sectPr>
      <w:footerReference r:id="rId3" w:type="default"/>
      <w:pgSz w:w="11906" w:h="16838"/>
      <w:pgMar w:top="2211" w:right="1474" w:bottom="1871" w:left="1531" w:header="851" w:footer="992" w:gutter="0"/>
      <w:cols w:space="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1025" o:spid="_x0000_s1026" o:spt="202" type="#_x0000_t202" style="position:absolute;left:0pt;margin-top:-0.75pt;height:144pt;width:144pt;mso-position-horizontal:outside;mso-position-horizontal-relative:margin;mso-wrap-style:none;z-index:251659264;mso-width-relative:page;mso-height-relative:page;" filled="f" stroked="f" coordsize="21600,21600" o:gfxdata="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GshAo1QAAAAcBAAAPAAAAAAAAAAEAIAAAACIA&#10;AABkcnMvZG93bnJldi54bWxQSwECFAAUAAAACACHTuJA9Z+4jdMBAAClAwAADgAAAAAAAAABACAA&#10;AAAkAQAAZHJzL2Uyb0RvYy54bWxQSwUGAAAAAAYABgBZAQAAaQUAAAAA&#10;">
          <v:path/>
          <v:fill on="f" focussize="0,0"/>
          <v:stroke on="f" weight="0.5pt" joinstyle="miter"/>
          <v:imagedata o:title=""/>
          <o:lock v:ext="edit"/>
          <v:textbox inset="0mm,0mm,0mm,0mm" style="mso-fit-shape-to-text:t;">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1,3"/>
    </o:shapelayout>
  </w:hdrShapeDefaults>
  <w:compat>
    <w:spaceForUL/>
    <w:balanceSingleByteDoubleByteWidth/>
    <w:doNotLeaveBackslashAlone/>
    <w:doNotExpandShiftReturn/>
    <w:adjustLineHeightInTable/>
    <w:useFELayout/>
    <w:underlineTabInNumList/>
    <w:compatSetting w:name="compatibilityMode" w:uri="http://schemas.microsoft.com/office/word" w:val="12"/>
  </w:compat>
  <w:docVars>
    <w:docVar w:name="commondata" w:val="eyJoZGlkIjoiODAyNmJkZDhlNDEyZjk3YzRmYjhlOTY0ZGNkODBhOTMifQ=="/>
  </w:docVars>
  <w:rsids>
    <w:rsidRoot w:val="00333207"/>
    <w:rsid w:val="00003854"/>
    <w:rsid w:val="000505F5"/>
    <w:rsid w:val="00057104"/>
    <w:rsid w:val="0007209B"/>
    <w:rsid w:val="000C2E00"/>
    <w:rsid w:val="000C6331"/>
    <w:rsid w:val="000D3AD0"/>
    <w:rsid w:val="000F04E7"/>
    <w:rsid w:val="0010118A"/>
    <w:rsid w:val="001021DA"/>
    <w:rsid w:val="0011704D"/>
    <w:rsid w:val="00154A34"/>
    <w:rsid w:val="00155A34"/>
    <w:rsid w:val="00161B33"/>
    <w:rsid w:val="00173134"/>
    <w:rsid w:val="001A66B9"/>
    <w:rsid w:val="001C081A"/>
    <w:rsid w:val="001D3398"/>
    <w:rsid w:val="001D4E82"/>
    <w:rsid w:val="001F0B29"/>
    <w:rsid w:val="00236E4D"/>
    <w:rsid w:val="002657C1"/>
    <w:rsid w:val="002834CF"/>
    <w:rsid w:val="002D1FF9"/>
    <w:rsid w:val="002D5F57"/>
    <w:rsid w:val="00333207"/>
    <w:rsid w:val="00402410"/>
    <w:rsid w:val="00455009"/>
    <w:rsid w:val="004917AC"/>
    <w:rsid w:val="004A2D31"/>
    <w:rsid w:val="004D3F9D"/>
    <w:rsid w:val="004D6460"/>
    <w:rsid w:val="00506689"/>
    <w:rsid w:val="00510C7B"/>
    <w:rsid w:val="005415D1"/>
    <w:rsid w:val="00542F95"/>
    <w:rsid w:val="00546703"/>
    <w:rsid w:val="00563AD6"/>
    <w:rsid w:val="005640C6"/>
    <w:rsid w:val="00565B85"/>
    <w:rsid w:val="005A1541"/>
    <w:rsid w:val="005A5158"/>
    <w:rsid w:val="005B1954"/>
    <w:rsid w:val="005B6C2D"/>
    <w:rsid w:val="005D7374"/>
    <w:rsid w:val="006105CB"/>
    <w:rsid w:val="0062146D"/>
    <w:rsid w:val="0062594A"/>
    <w:rsid w:val="00690C99"/>
    <w:rsid w:val="006A0E74"/>
    <w:rsid w:val="006D53C8"/>
    <w:rsid w:val="006D677E"/>
    <w:rsid w:val="0070399C"/>
    <w:rsid w:val="0070464C"/>
    <w:rsid w:val="00730C6F"/>
    <w:rsid w:val="00734CD6"/>
    <w:rsid w:val="00760F3A"/>
    <w:rsid w:val="00765055"/>
    <w:rsid w:val="00776A98"/>
    <w:rsid w:val="00783941"/>
    <w:rsid w:val="00794D7C"/>
    <w:rsid w:val="007F44CC"/>
    <w:rsid w:val="00815350"/>
    <w:rsid w:val="00836C92"/>
    <w:rsid w:val="0088493A"/>
    <w:rsid w:val="008A4DE8"/>
    <w:rsid w:val="008B4DE5"/>
    <w:rsid w:val="008D7E39"/>
    <w:rsid w:val="00915BA4"/>
    <w:rsid w:val="009172FF"/>
    <w:rsid w:val="009324CC"/>
    <w:rsid w:val="0098151D"/>
    <w:rsid w:val="00982342"/>
    <w:rsid w:val="00983B23"/>
    <w:rsid w:val="00986B6A"/>
    <w:rsid w:val="009E27AA"/>
    <w:rsid w:val="009E5577"/>
    <w:rsid w:val="009E5E29"/>
    <w:rsid w:val="009F157F"/>
    <w:rsid w:val="009F6C04"/>
    <w:rsid w:val="00A57DCC"/>
    <w:rsid w:val="00A92D30"/>
    <w:rsid w:val="00AD4CAB"/>
    <w:rsid w:val="00AD63E2"/>
    <w:rsid w:val="00AE37B3"/>
    <w:rsid w:val="00B03783"/>
    <w:rsid w:val="00B24437"/>
    <w:rsid w:val="00B310FC"/>
    <w:rsid w:val="00B457DA"/>
    <w:rsid w:val="00B634F1"/>
    <w:rsid w:val="00B829B8"/>
    <w:rsid w:val="00B969A7"/>
    <w:rsid w:val="00BA51F5"/>
    <w:rsid w:val="00BC018F"/>
    <w:rsid w:val="00BC7307"/>
    <w:rsid w:val="00BE50FA"/>
    <w:rsid w:val="00BF6732"/>
    <w:rsid w:val="00C05DEC"/>
    <w:rsid w:val="00C26924"/>
    <w:rsid w:val="00C63011"/>
    <w:rsid w:val="00C7391F"/>
    <w:rsid w:val="00C832BB"/>
    <w:rsid w:val="00CC050F"/>
    <w:rsid w:val="00CE17FF"/>
    <w:rsid w:val="00CE1EB2"/>
    <w:rsid w:val="00D0373D"/>
    <w:rsid w:val="00D10354"/>
    <w:rsid w:val="00D1791B"/>
    <w:rsid w:val="00D40627"/>
    <w:rsid w:val="00D62508"/>
    <w:rsid w:val="00D82E2A"/>
    <w:rsid w:val="00DA4711"/>
    <w:rsid w:val="00DB5FF2"/>
    <w:rsid w:val="00E01839"/>
    <w:rsid w:val="00E1579E"/>
    <w:rsid w:val="00E70F61"/>
    <w:rsid w:val="00F0450D"/>
    <w:rsid w:val="00F2230C"/>
    <w:rsid w:val="00F3444D"/>
    <w:rsid w:val="00F610C6"/>
    <w:rsid w:val="00FE744A"/>
    <w:rsid w:val="0354336F"/>
    <w:rsid w:val="03EA08A3"/>
    <w:rsid w:val="04B17B39"/>
    <w:rsid w:val="050C225C"/>
    <w:rsid w:val="05CC69C8"/>
    <w:rsid w:val="05F97D85"/>
    <w:rsid w:val="07514AA0"/>
    <w:rsid w:val="09757024"/>
    <w:rsid w:val="0AD31B5E"/>
    <w:rsid w:val="0B170FFF"/>
    <w:rsid w:val="0D5D2EB7"/>
    <w:rsid w:val="0FFF09B9"/>
    <w:rsid w:val="1059436E"/>
    <w:rsid w:val="11836325"/>
    <w:rsid w:val="121E505D"/>
    <w:rsid w:val="13CE4233"/>
    <w:rsid w:val="15511631"/>
    <w:rsid w:val="16467298"/>
    <w:rsid w:val="1B311BE1"/>
    <w:rsid w:val="1B6272C6"/>
    <w:rsid w:val="1CBE21F2"/>
    <w:rsid w:val="1D330144"/>
    <w:rsid w:val="1FF21BA2"/>
    <w:rsid w:val="220A4F67"/>
    <w:rsid w:val="22517FB3"/>
    <w:rsid w:val="22750AAB"/>
    <w:rsid w:val="25371B47"/>
    <w:rsid w:val="2793439E"/>
    <w:rsid w:val="293B4BA9"/>
    <w:rsid w:val="29C27860"/>
    <w:rsid w:val="2A564962"/>
    <w:rsid w:val="2BE363D4"/>
    <w:rsid w:val="2CBC1668"/>
    <w:rsid w:val="2E4825C4"/>
    <w:rsid w:val="2E4B7E1C"/>
    <w:rsid w:val="2F032250"/>
    <w:rsid w:val="32533AB8"/>
    <w:rsid w:val="352E34F8"/>
    <w:rsid w:val="370D5224"/>
    <w:rsid w:val="375A169D"/>
    <w:rsid w:val="37DB3A1E"/>
    <w:rsid w:val="39B55798"/>
    <w:rsid w:val="3A50101B"/>
    <w:rsid w:val="3B95256E"/>
    <w:rsid w:val="3BFF4A6C"/>
    <w:rsid w:val="3DFC6110"/>
    <w:rsid w:val="3E3F5A32"/>
    <w:rsid w:val="3E5C653B"/>
    <w:rsid w:val="3EE425D2"/>
    <w:rsid w:val="3F1E6D9A"/>
    <w:rsid w:val="40A90D86"/>
    <w:rsid w:val="41007DC1"/>
    <w:rsid w:val="418F37A8"/>
    <w:rsid w:val="41C75094"/>
    <w:rsid w:val="42220588"/>
    <w:rsid w:val="423939A8"/>
    <w:rsid w:val="43552FC2"/>
    <w:rsid w:val="44137F02"/>
    <w:rsid w:val="44CB7AE5"/>
    <w:rsid w:val="45B45C96"/>
    <w:rsid w:val="45EE5CF5"/>
    <w:rsid w:val="464B5F3B"/>
    <w:rsid w:val="46890BFA"/>
    <w:rsid w:val="46962FB1"/>
    <w:rsid w:val="477023FE"/>
    <w:rsid w:val="4C8A57FF"/>
    <w:rsid w:val="4DD72C86"/>
    <w:rsid w:val="4E1C3511"/>
    <w:rsid w:val="4E627998"/>
    <w:rsid w:val="4EF10499"/>
    <w:rsid w:val="50232ED2"/>
    <w:rsid w:val="50B47BD0"/>
    <w:rsid w:val="52132D54"/>
    <w:rsid w:val="5226546A"/>
    <w:rsid w:val="52496263"/>
    <w:rsid w:val="545460CB"/>
    <w:rsid w:val="54B22EE4"/>
    <w:rsid w:val="55053352"/>
    <w:rsid w:val="55561EE3"/>
    <w:rsid w:val="572501F7"/>
    <w:rsid w:val="58001755"/>
    <w:rsid w:val="589053D2"/>
    <w:rsid w:val="58EB43E3"/>
    <w:rsid w:val="592D5074"/>
    <w:rsid w:val="5C934549"/>
    <w:rsid w:val="5CA41DAF"/>
    <w:rsid w:val="5CAB53ED"/>
    <w:rsid w:val="5D226117"/>
    <w:rsid w:val="5D5E5CA4"/>
    <w:rsid w:val="60284117"/>
    <w:rsid w:val="60B45254"/>
    <w:rsid w:val="645D32B5"/>
    <w:rsid w:val="685339B7"/>
    <w:rsid w:val="690C728E"/>
    <w:rsid w:val="6928448B"/>
    <w:rsid w:val="6A8D7502"/>
    <w:rsid w:val="6DE06BE0"/>
    <w:rsid w:val="707808F5"/>
    <w:rsid w:val="71A33657"/>
    <w:rsid w:val="71E868E7"/>
    <w:rsid w:val="72DE3A59"/>
    <w:rsid w:val="73AC40F5"/>
    <w:rsid w:val="756E087F"/>
    <w:rsid w:val="768146D3"/>
    <w:rsid w:val="76FE291E"/>
    <w:rsid w:val="7B4E152D"/>
    <w:rsid w:val="7E2842DA"/>
    <w:rsid w:val="7E2B5C83"/>
    <w:rsid w:val="7FAA6E0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0"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宋体" w:cs="Times New Roman"/>
      <w:sz w:val="24"/>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locked/>
    <w:uiPriority w:val="0"/>
    <w:pPr>
      <w:spacing w:after="120"/>
    </w:pPr>
    <w:rPr>
      <w:szCs w:val="20"/>
    </w:rPr>
  </w:style>
  <w:style w:type="paragraph" w:styleId="3">
    <w:name w:val="footer"/>
    <w:basedOn w:val="1"/>
    <w:link w:val="10"/>
    <w:qFormat/>
    <w:uiPriority w:val="99"/>
    <w:pPr>
      <w:tabs>
        <w:tab w:val="center" w:pos="4153"/>
        <w:tab w:val="right" w:pos="8306"/>
      </w:tabs>
      <w:snapToGrid w:val="0"/>
    </w:pPr>
    <w:rPr>
      <w:sz w:val="18"/>
    </w:rPr>
  </w:style>
  <w:style w:type="paragraph" w:styleId="4">
    <w:name w:val="header"/>
    <w:basedOn w:val="1"/>
    <w:link w:val="1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5">
    <w:name w:val="HTML Preformatted"/>
    <w:basedOn w:val="1"/>
    <w:qFormat/>
    <w:locked/>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rPr>
  </w:style>
  <w:style w:type="paragraph" w:styleId="6">
    <w:name w:val="Normal (Web)"/>
    <w:basedOn w:val="1"/>
    <w:qFormat/>
    <w:uiPriority w:val="0"/>
    <w:pPr>
      <w:spacing w:beforeAutospacing="1" w:afterAutospacing="1"/>
    </w:pPr>
  </w:style>
  <w:style w:type="character" w:styleId="9">
    <w:name w:val="Strong"/>
    <w:basedOn w:val="8"/>
    <w:qFormat/>
    <w:uiPriority w:val="99"/>
    <w:rPr>
      <w:rFonts w:cs="Times New Roman"/>
      <w:b/>
      <w:bCs/>
    </w:rPr>
  </w:style>
  <w:style w:type="character" w:customStyle="1" w:styleId="10">
    <w:name w:val="页脚 Char"/>
    <w:basedOn w:val="8"/>
    <w:link w:val="3"/>
    <w:semiHidden/>
    <w:qFormat/>
    <w:locked/>
    <w:uiPriority w:val="99"/>
    <w:rPr>
      <w:rFonts w:ascii="Calibri" w:hAnsi="Calibri" w:cs="Times New Roman"/>
      <w:kern w:val="0"/>
      <w:sz w:val="18"/>
      <w:szCs w:val="18"/>
    </w:rPr>
  </w:style>
  <w:style w:type="character" w:customStyle="1" w:styleId="11">
    <w:name w:val="页眉 Char"/>
    <w:basedOn w:val="8"/>
    <w:link w:val="4"/>
    <w:semiHidden/>
    <w:qFormat/>
    <w:locked/>
    <w:uiPriority w:val="99"/>
    <w:rPr>
      <w:rFonts w:ascii="Calibri" w:hAnsi="Calibri" w:cs="Times New Roman"/>
      <w:kern w:val="0"/>
      <w:sz w:val="18"/>
      <w:szCs w:val="18"/>
    </w:rPr>
  </w:style>
  <w:style w:type="paragraph" w:customStyle="1" w:styleId="12">
    <w:name w:val="msolistparagraph"/>
    <w:basedOn w:val="1"/>
    <w:qFormat/>
    <w:uiPriority w:val="99"/>
    <w:pPr>
      <w:spacing w:before="100" w:beforeAutospacing="1" w:after="100" w:afterAutospacing="1"/>
    </w:pPr>
    <w:rPr>
      <w:rFonts w:ascii="宋体" w:hAnsi="宋体" w:cs="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2589</Words>
  <Characters>2745</Characters>
  <Lines>2</Lines>
  <Paragraphs>8</Paragraphs>
  <TotalTime>77</TotalTime>
  <ScaleCrop>false</ScaleCrop>
  <LinksUpToDate>false</LinksUpToDate>
  <CharactersWithSpaces>2748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忠艾一生</cp:lastModifiedBy>
  <cp:lastPrinted>2022-10-11T07:54:24Z</cp:lastPrinted>
  <dcterms:modified xsi:type="dcterms:W3CDTF">2022-10-11T07:54:28Z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KSORubyTemplateID" linkTarget="0">
    <vt:lpwstr>6</vt:lpwstr>
  </property>
  <property fmtid="{D5CDD505-2E9C-101B-9397-08002B2CF9AE}" pid="4" name="ICV">
    <vt:lpwstr>08D1BE336BA244D48450BFFFF5BE85B2</vt:lpwstr>
  </property>
</Properties>
</file>