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imes New Roman" w:hAnsi="Times New Roman" w:eastAsia="仿宋_GB2312" w:cs="Times New Roman"/>
          <w:b w:val="0"/>
          <w:color w:val="auto"/>
          <w:kern w:val="2"/>
          <w:sz w:val="28"/>
          <w:szCs w:val="28"/>
          <w:lang w:val="zh-CN"/>
        </w:rPr>
        <w:id w:val="-100720932"/>
        <w:docPartObj>
          <w:docPartGallery w:val="Table of Contents"/>
          <w:docPartUnique/>
        </w:docPartObj>
      </w:sdtPr>
      <w:sdtEndPr>
        <w:rPr>
          <w:rFonts w:ascii="Times New Roman" w:hAnsi="Times New Roman" w:cs="Times New Roman" w:eastAsiaTheme="minorEastAsia"/>
          <w:b w:val="0"/>
          <w:color w:val="auto"/>
          <w:kern w:val="0"/>
          <w:sz w:val="22"/>
          <w:szCs w:val="22"/>
          <w:lang w:val="zh-CN"/>
        </w:rPr>
      </w:sdtEndPr>
      <w:sdtContent>
        <w:p>
          <w:pPr>
            <w:pStyle w:val="27"/>
            <w:spacing w:line="360" w:lineRule="auto"/>
            <w:jc w:val="both"/>
            <w:rPr>
              <w:rFonts w:ascii="Times New Roman" w:hAnsi="Times New Roman" w:eastAsia="仿宋_GB2312" w:cs="Times New Roman"/>
              <w:b w:val="0"/>
              <w:color w:val="auto"/>
              <w:kern w:val="2"/>
              <w:sz w:val="28"/>
              <w:szCs w:val="28"/>
              <w:lang w:val="zh-CN"/>
            </w:rPr>
          </w:pPr>
        </w:p>
        <w:p>
          <w:pPr>
            <w:pStyle w:val="27"/>
            <w:spacing w:line="360" w:lineRule="auto"/>
            <w:jc w:val="center"/>
            <w:rPr>
              <w:rFonts w:ascii="Times New Roman" w:hAnsi="Times New Roman" w:eastAsia="仿宋_GB2312" w:cs="Times New Roman"/>
              <w:b w:val="0"/>
              <w:color w:val="auto"/>
              <w:kern w:val="2"/>
              <w:sz w:val="28"/>
              <w:szCs w:val="28"/>
              <w:lang w:val="zh-CN"/>
            </w:rPr>
          </w:pPr>
          <w:r>
            <w:rPr>
              <w:rFonts w:hint="eastAsia" w:ascii="方正小标宋简体" w:eastAsia="方正小标宋简体" w:cs="Times New Roman"/>
              <w:b w:val="0"/>
              <w:bCs w:val="0"/>
              <w:color w:val="000000"/>
              <w:spacing w:val="6"/>
              <w:sz w:val="44"/>
              <w:szCs w:val="44"/>
              <w:lang w:val="en-US" w:eastAsia="zh-CN"/>
            </w:rPr>
            <w:t>宁县</w:t>
          </w:r>
          <w:r>
            <w:rPr>
              <w:rFonts w:hint="eastAsia" w:ascii="方正小标宋简体" w:hAnsi="Times New Roman" w:eastAsia="方正小标宋简体" w:cs="Times New Roman"/>
              <w:b w:val="0"/>
              <w:bCs w:val="0"/>
              <w:color w:val="000000"/>
              <w:spacing w:val="6"/>
              <w:sz w:val="44"/>
              <w:szCs w:val="44"/>
              <w:lang w:val="en-US" w:eastAsia="zh-CN"/>
            </w:rPr>
            <w:t>国家生态文明建设示范县规划（2021-2025）</w:t>
          </w:r>
        </w:p>
        <w:p>
          <w:pPr>
            <w:spacing w:before="312" w:beforeLines="100" w:after="312" w:afterLines="100" w:line="360" w:lineRule="auto"/>
            <w:ind w:firstLine="0" w:firstLineChars="0"/>
            <w:jc w:val="center"/>
            <w:rPr>
              <w:rFonts w:hint="default" w:ascii="Times New Roman" w:hAnsi="Times New Roman" w:eastAsia="方正小标宋简体" w:cs="Times New Roman"/>
              <w:b w:val="0"/>
              <w:bCs/>
              <w:sz w:val="36"/>
              <w:szCs w:val="36"/>
            </w:rPr>
          </w:pPr>
          <w:r>
            <w:rPr>
              <w:rFonts w:hint="eastAsia" w:ascii="Times New Roman" w:hAnsi="Times New Roman" w:eastAsia="方正小标宋简体" w:cs="Times New Roman"/>
              <w:b w:val="0"/>
              <w:bCs/>
              <w:sz w:val="36"/>
              <w:szCs w:val="36"/>
              <w:lang w:val="en-US" w:eastAsia="zh-CN"/>
            </w:rPr>
            <w:t xml:space="preserve"> </w:t>
          </w:r>
          <w:r>
            <w:rPr>
              <w:rFonts w:hint="default" w:ascii="Times New Roman" w:hAnsi="Times New Roman" w:eastAsia="方正小标宋简体" w:cs="Times New Roman"/>
              <w:b w:val="0"/>
              <w:bCs/>
              <w:sz w:val="36"/>
              <w:szCs w:val="36"/>
              <w:lang w:val="zh-CN"/>
            </w:rPr>
            <w:t>目  录</w:t>
          </w:r>
        </w:p>
        <w:p>
          <w:pPr>
            <w:pStyle w:val="12"/>
            <w:spacing w:line="360" w:lineRule="auto"/>
            <w:rPr>
              <w:rFonts w:ascii="Times New Roman" w:hAnsi="Times New Roman" w:eastAsia="仿宋_GB2312"/>
              <w:kern w:val="2"/>
              <w:sz w:val="28"/>
              <w:szCs w:val="28"/>
            </w:rPr>
          </w:pP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TOC \o "1-3" \h \z \u </w:instrText>
          </w:r>
          <w:r>
            <w:rPr>
              <w:rFonts w:ascii="Times New Roman" w:hAnsi="Times New Roman" w:eastAsia="仿宋_GB2312"/>
              <w:sz w:val="28"/>
              <w:szCs w:val="28"/>
            </w:rPr>
            <w:fldChar w:fldCharType="separate"/>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"_Toc92390514" </w:instrText>
          </w:r>
          <w:r>
            <w:rPr>
              <w:rFonts w:hint="eastAsia" w:ascii="黑体" w:hAnsi="黑体" w:eastAsia="黑体" w:cs="黑体"/>
              <w:sz w:val="32"/>
              <w:szCs w:val="32"/>
            </w:rPr>
            <w:fldChar w:fldCharType="separate"/>
          </w:r>
          <w:r>
            <w:rPr>
              <w:rStyle w:val="17"/>
              <w:rFonts w:hint="eastAsia" w:ascii="黑体" w:hAnsi="黑体" w:eastAsia="黑体" w:cs="黑体"/>
              <w:sz w:val="32"/>
              <w:szCs w:val="32"/>
            </w:rPr>
            <w:t>前  言</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_Toc92390514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I</w:t>
          </w:r>
          <w:r>
            <w:rPr>
              <w:rFonts w:hint="eastAsia" w:ascii="Times New Roman" w:hAnsi="Times New Roman" w:eastAsia="仿宋_GB2312" w:cs="Times New Roman"/>
              <w:kern w:val="0"/>
              <w:sz w:val="28"/>
              <w:szCs w:val="28"/>
              <w:lang w:val="en-US" w:eastAsia="zh-CN" w:bidi="ar-SA"/>
            </w:rPr>
            <w:fldChar w:fldCharType="end"/>
          </w:r>
          <w:r>
            <w:rPr>
              <w:rFonts w:hint="eastAsia" w:ascii="黑体" w:hAnsi="黑体" w:eastAsia="黑体" w:cs="黑体"/>
              <w:sz w:val="32"/>
              <w:szCs w:val="32"/>
            </w:rPr>
            <w:fldChar w:fldCharType="end"/>
          </w:r>
        </w:p>
        <w:p>
          <w:pPr>
            <w:pStyle w:val="12"/>
            <w:spacing w:line="360" w:lineRule="auto"/>
            <w:rPr>
              <w:rFonts w:ascii="Times New Roman" w:hAnsi="Times New Roman" w:eastAsia="仿宋_GB2312"/>
              <w:kern w:val="2"/>
              <w:sz w:val="28"/>
              <w:szCs w:val="28"/>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"_Toc92390515" </w:instrText>
          </w:r>
          <w:r>
            <w:rPr>
              <w:rFonts w:hint="eastAsia" w:ascii="黑体" w:hAnsi="黑体" w:eastAsia="黑体" w:cs="黑体"/>
              <w:sz w:val="32"/>
              <w:szCs w:val="32"/>
            </w:rPr>
            <w:fldChar w:fldCharType="separate"/>
          </w:r>
          <w:r>
            <w:rPr>
              <w:rStyle w:val="17"/>
              <w:rFonts w:hint="eastAsia" w:ascii="黑体" w:hAnsi="黑体" w:eastAsia="黑体" w:cs="黑体"/>
              <w:sz w:val="28"/>
              <w:szCs w:val="28"/>
            </w:rPr>
            <w:t>一、工作基础与形势分析</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_Toc92390515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1</w:t>
          </w:r>
          <w:r>
            <w:rPr>
              <w:rFonts w:hint="eastAsia" w:ascii="Times New Roman" w:hAnsi="Times New Roman" w:eastAsia="仿宋_GB2312" w:cs="Times New Roman"/>
              <w:kern w:val="0"/>
              <w:sz w:val="28"/>
              <w:szCs w:val="28"/>
              <w:lang w:val="en-US" w:eastAsia="zh-CN" w:bidi="ar-SA"/>
            </w:rPr>
            <w:fldChar w:fldCharType="end"/>
          </w:r>
          <w:r>
            <w:rPr>
              <w:rFonts w:hint="eastAsia" w:ascii="黑体" w:hAnsi="黑体" w:eastAsia="黑体" w:cs="黑体"/>
              <w:sz w:val="32"/>
              <w:szCs w:val="32"/>
            </w:rPr>
            <w:fldChar w:fldCharType="end"/>
          </w:r>
        </w:p>
        <w:p>
          <w:pPr>
            <w:pStyle w:val="14"/>
            <w:tabs>
              <w:tab w:val="right" w:leader="dot" w:pos="8296"/>
            </w:tabs>
            <w:spacing w:line="360" w:lineRule="auto"/>
            <w:ind w:left="0" w:leftChars="0" w:firstLine="0" w:firstLineChars="0"/>
            <w:rPr>
              <w:rFonts w:hint="eastAsia" w:ascii="仿宋_GB2312" w:hAnsi="仿宋_GB2312" w:eastAsia="仿宋_GB2312" w:cs="仿宋_GB2312"/>
              <w:kern w:val="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"_Toc92390516" </w:instrText>
          </w:r>
          <w:r>
            <w:rPr>
              <w:rFonts w:hint="eastAsia" w:ascii="楷体_GB2312" w:hAnsi="楷体_GB2312" w:eastAsia="楷体_GB2312" w:cs="楷体_GB2312"/>
              <w:sz w:val="28"/>
              <w:szCs w:val="28"/>
            </w:rPr>
            <w:fldChar w:fldCharType="separate"/>
          </w:r>
          <w:r>
            <w:rPr>
              <w:rStyle w:val="17"/>
              <w:rFonts w:hint="eastAsia" w:ascii="楷体_GB2312" w:hAnsi="楷体_GB2312" w:eastAsia="楷体_GB2312" w:cs="楷体_GB2312"/>
              <w:sz w:val="28"/>
              <w:szCs w:val="28"/>
            </w:rPr>
            <w:t>（一）建设基础</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_Toc92390516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1</w:t>
          </w:r>
          <w:r>
            <w:rPr>
              <w:rFonts w:hint="eastAsia" w:ascii="Times New Roman" w:hAnsi="Times New Roman" w:eastAsia="仿宋_GB2312" w:cs="Times New Roman"/>
              <w:kern w:val="0"/>
              <w:sz w:val="28"/>
              <w:szCs w:val="28"/>
              <w:lang w:val="en-US" w:eastAsia="zh-CN" w:bidi="ar-SA"/>
            </w:rPr>
            <w:fldChar w:fldCharType="end"/>
          </w:r>
          <w:r>
            <w:rPr>
              <w:rFonts w:hint="eastAsia" w:ascii="楷体_GB2312" w:hAnsi="楷体_GB2312" w:eastAsia="楷体_GB2312" w:cs="楷体_GB2312"/>
              <w:sz w:val="28"/>
              <w:szCs w:val="28"/>
            </w:rPr>
            <w:fldChar w:fldCharType="end"/>
          </w:r>
        </w:p>
        <w:p>
          <w:pPr>
            <w:pStyle w:val="9"/>
            <w:spacing w:line="360" w:lineRule="auto"/>
            <w:ind w:left="0" w:leftChars="0" w:firstLine="0" w:firstLineChars="0"/>
            <w:rPr>
              <w:rFonts w:hint="eastAsia" w:ascii="仿宋_GB2312" w:hAnsi="仿宋_GB2312" w:eastAsia="仿宋_GB2312" w:cs="仿宋_GB2312"/>
              <w:kern w:val="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"_Toc92390517" </w:instrText>
          </w:r>
          <w:r>
            <w:rPr>
              <w:rFonts w:hint="eastAsia" w:ascii="仿宋_GB2312" w:hAnsi="仿宋_GB2312" w:eastAsia="仿宋_GB2312" w:cs="仿宋_GB2312"/>
              <w:sz w:val="28"/>
              <w:szCs w:val="28"/>
            </w:rPr>
            <w:fldChar w:fldCharType="separate"/>
          </w:r>
          <w:r>
            <w:rPr>
              <w:rStyle w:val="17"/>
              <w:rFonts w:hint="eastAsia" w:ascii="仿宋_GB2312" w:hAnsi="仿宋_GB2312" w:eastAsia="仿宋_GB2312" w:cs="仿宋_GB2312"/>
              <w:sz w:val="28"/>
              <w:szCs w:val="28"/>
            </w:rPr>
            <w:t>1.区域特征</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_Toc92390517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1</w:t>
          </w:r>
          <w:r>
            <w:rPr>
              <w:rFonts w:hint="eastAsia" w:ascii="Times New Roman" w:hAnsi="Times New Roman" w:eastAsia="仿宋_GB2312" w:cs="Times New Roman"/>
              <w:kern w:val="0"/>
              <w:sz w:val="28"/>
              <w:szCs w:val="28"/>
              <w:lang w:val="en-US" w:eastAsia="zh-CN" w:bidi="ar-SA"/>
            </w:rPr>
            <w:fldChar w:fldCharType="end"/>
          </w:r>
          <w:r>
            <w:rPr>
              <w:rFonts w:hint="eastAsia" w:ascii="仿宋_GB2312" w:hAnsi="仿宋_GB2312" w:eastAsia="仿宋_GB2312" w:cs="仿宋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"_Toc92390518" </w:instrText>
          </w:r>
          <w:r>
            <w:rPr>
              <w:rFonts w:hint="eastAsia" w:ascii="仿宋_GB2312" w:hAnsi="仿宋_GB2312" w:eastAsia="仿宋_GB2312" w:cs="仿宋_GB2312"/>
              <w:sz w:val="28"/>
              <w:szCs w:val="28"/>
            </w:rPr>
            <w:fldChar w:fldCharType="separate"/>
          </w:r>
          <w:r>
            <w:rPr>
              <w:rStyle w:val="17"/>
              <w:rFonts w:hint="eastAsia" w:ascii="仿宋_GB2312" w:hAnsi="仿宋_GB2312" w:eastAsia="仿宋_GB2312" w:cs="仿宋_GB2312"/>
              <w:sz w:val="28"/>
              <w:szCs w:val="28"/>
            </w:rPr>
            <w:t>2.工作基础</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_Toc92390518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2</w:t>
          </w:r>
          <w:r>
            <w:rPr>
              <w:rFonts w:hint="eastAsia" w:ascii="Times New Roman" w:hAnsi="Times New Roman" w:eastAsia="仿宋_GB2312" w:cs="Times New Roman"/>
              <w:kern w:val="0"/>
              <w:sz w:val="28"/>
              <w:szCs w:val="28"/>
              <w:lang w:val="en-US" w:eastAsia="zh-CN" w:bidi="ar-SA"/>
            </w:rPr>
            <w:fldChar w:fldCharType="end"/>
          </w:r>
          <w:r>
            <w:rPr>
              <w:rFonts w:hint="eastAsia" w:ascii="仿宋_GB2312" w:hAnsi="仿宋_GB2312" w:eastAsia="仿宋_GB2312" w:cs="仿宋_GB2312"/>
              <w:sz w:val="28"/>
              <w:szCs w:val="28"/>
            </w:rPr>
            <w:fldChar w:fldCharType="end"/>
          </w:r>
        </w:p>
        <w:p>
          <w:pPr>
            <w:pStyle w:val="14"/>
            <w:tabs>
              <w:tab w:val="right" w:leader="dot" w:pos="8296"/>
            </w:tabs>
            <w:spacing w:line="360" w:lineRule="auto"/>
            <w:ind w:left="0" w:leftChars="0" w:firstLine="0" w:firstLineChars="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"_Toc92390519"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（二）存在问题与机遇挑战</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_Toc92390519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14</w:t>
          </w:r>
          <w:r>
            <w:rPr>
              <w:rFonts w:hint="eastAsia" w:ascii="Times New Roman" w:hAnsi="Times New Roman" w:eastAsia="仿宋_GB2312" w:cs="Times New Roman"/>
              <w:kern w:val="0"/>
              <w:sz w:val="28"/>
              <w:szCs w:val="28"/>
              <w:lang w:val="en-US" w:eastAsia="zh-CN" w:bidi="ar-SA"/>
            </w:rPr>
            <w:fldChar w:fldCharType="end"/>
          </w:r>
          <w:r>
            <w:rPr>
              <w:rFonts w:hint="eastAsia" w:ascii="楷体_GB2312" w:hAnsi="楷体_GB2312" w:eastAsia="楷体_GB2312" w:cs="楷体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"_Toc92390520" </w:instrText>
          </w:r>
          <w:r>
            <w:fldChar w:fldCharType="separate"/>
          </w:r>
          <w:r>
            <w:rPr>
              <w:rStyle w:val="17"/>
              <w:rFonts w:ascii="Times New Roman" w:hAnsi="Times New Roman" w:eastAsia="仿宋_GB2312"/>
              <w:sz w:val="28"/>
              <w:szCs w:val="28"/>
            </w:rPr>
            <w:t>1.存在问题</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_Toc92390520 \h </w:instrText>
          </w:r>
          <w:r>
            <w:rPr>
              <w:rFonts w:ascii="Times New Roman" w:hAnsi="Times New Roman" w:eastAsia="仿宋_GB2312"/>
              <w:sz w:val="28"/>
              <w:szCs w:val="28"/>
            </w:rPr>
            <w:fldChar w:fldCharType="separate"/>
          </w:r>
          <w:r>
            <w:rPr>
              <w:rFonts w:ascii="Times New Roman" w:hAnsi="Times New Roman" w:eastAsia="仿宋_GB2312"/>
              <w:sz w:val="28"/>
              <w:szCs w:val="28"/>
            </w:rPr>
            <w:t>14</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"_Toc92390521" </w:instrText>
          </w:r>
          <w:r>
            <w:fldChar w:fldCharType="separate"/>
          </w:r>
          <w:r>
            <w:rPr>
              <w:rStyle w:val="17"/>
              <w:rFonts w:ascii="Times New Roman" w:hAnsi="Times New Roman" w:eastAsia="仿宋_GB2312"/>
              <w:sz w:val="28"/>
              <w:szCs w:val="28"/>
            </w:rPr>
            <w:t>2.机遇与挑战</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_Toc92390521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16</w:t>
          </w:r>
          <w:r>
            <w:rPr>
              <w:rFonts w:hint="eastAsia" w:ascii="Times New Roman" w:hAnsi="Times New Roman" w:eastAsia="仿宋_GB2312" w:cs="Times New Roman"/>
              <w:kern w:val="0"/>
              <w:sz w:val="28"/>
              <w:szCs w:val="28"/>
              <w:lang w:val="en-US" w:eastAsia="zh-CN" w:bidi="ar-SA"/>
            </w:rPr>
            <w:fldChar w:fldCharType="end"/>
          </w:r>
          <w:r>
            <w:rPr>
              <w:rFonts w:ascii="Times New Roman" w:hAnsi="Times New Roman" w:eastAsia="仿宋_GB2312"/>
              <w:sz w:val="28"/>
              <w:szCs w:val="28"/>
            </w:rPr>
            <w:fldChar w:fldCharType="end"/>
          </w:r>
        </w:p>
        <w:p>
          <w:pPr>
            <w:pStyle w:val="12"/>
            <w:spacing w:line="360" w:lineRule="auto"/>
            <w:rPr>
              <w:rFonts w:ascii="Times New Roman" w:hAnsi="Times New Roman" w:eastAsia="仿宋_GB2312"/>
              <w:kern w:val="2"/>
              <w:sz w:val="28"/>
              <w:szCs w:val="28"/>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"_Toc92390522" </w:instrText>
          </w:r>
          <w:r>
            <w:rPr>
              <w:rFonts w:hint="eastAsia" w:ascii="黑体" w:hAnsi="黑体" w:eastAsia="黑体" w:cs="黑体"/>
              <w:sz w:val="32"/>
              <w:szCs w:val="32"/>
            </w:rPr>
            <w:fldChar w:fldCharType="separate"/>
          </w:r>
          <w:r>
            <w:rPr>
              <w:rStyle w:val="17"/>
              <w:rFonts w:hint="eastAsia" w:ascii="黑体" w:hAnsi="黑体" w:eastAsia="黑体" w:cs="黑体"/>
              <w:sz w:val="28"/>
              <w:szCs w:val="28"/>
            </w:rPr>
            <w:t>二、规划总则</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_Toc92390522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20</w:t>
          </w:r>
          <w:r>
            <w:rPr>
              <w:rFonts w:hint="eastAsia" w:ascii="Times New Roman" w:hAnsi="Times New Roman" w:eastAsia="仿宋_GB2312" w:cs="Times New Roman"/>
              <w:kern w:val="0"/>
              <w:sz w:val="28"/>
              <w:szCs w:val="28"/>
              <w:lang w:val="en-US" w:eastAsia="zh-CN" w:bidi="ar-SA"/>
            </w:rPr>
            <w:fldChar w:fldCharType="end"/>
          </w:r>
          <w:r>
            <w:rPr>
              <w:rFonts w:hint="eastAsia" w:ascii="黑体" w:hAnsi="黑体" w:eastAsia="黑体" w:cs="黑体"/>
              <w:sz w:val="32"/>
              <w:szCs w:val="32"/>
            </w:rPr>
            <w:fldChar w:fldCharType="end"/>
          </w:r>
        </w:p>
        <w:p>
          <w:pPr>
            <w:pStyle w:val="14"/>
            <w:tabs>
              <w:tab w:val="right" w:leader="dot" w:pos="8296"/>
            </w:tabs>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"_Toc92390523" </w:instrText>
          </w:r>
          <w:r>
            <w:fldChar w:fldCharType="separate"/>
          </w:r>
          <w:r>
            <w:rPr>
              <w:rStyle w:val="17"/>
              <w:rFonts w:ascii="Times New Roman" w:hAnsi="Times New Roman" w:eastAsia="仿宋_GB2312"/>
              <w:sz w:val="28"/>
              <w:szCs w:val="28"/>
            </w:rPr>
            <w:t>（一）指导思想</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_Toc92390523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20</w:t>
          </w:r>
          <w:r>
            <w:rPr>
              <w:rFonts w:hint="eastAsia" w:ascii="Times New Roman" w:hAnsi="Times New Roman" w:eastAsia="仿宋_GB2312" w:cs="Times New Roman"/>
              <w:kern w:val="0"/>
              <w:sz w:val="28"/>
              <w:szCs w:val="28"/>
              <w:lang w:val="en-US" w:eastAsia="zh-CN" w:bidi="ar-SA"/>
            </w:rPr>
            <w:fldChar w:fldCharType="end"/>
          </w:r>
          <w:r>
            <w:rPr>
              <w:rFonts w:ascii="Times New Roman" w:hAnsi="Times New Roman" w:eastAsia="仿宋_GB2312"/>
              <w:sz w:val="28"/>
              <w:szCs w:val="28"/>
            </w:rPr>
            <w:fldChar w:fldCharType="end"/>
          </w:r>
        </w:p>
        <w:p>
          <w:pPr>
            <w:pStyle w:val="14"/>
            <w:tabs>
              <w:tab w:val="right" w:leader="dot" w:pos="8296"/>
            </w:tabs>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"_Toc92390524" </w:instrText>
          </w:r>
          <w:r>
            <w:fldChar w:fldCharType="separate"/>
          </w:r>
          <w:r>
            <w:rPr>
              <w:rStyle w:val="17"/>
              <w:rFonts w:ascii="Times New Roman" w:hAnsi="Times New Roman" w:eastAsia="仿宋_GB2312"/>
              <w:sz w:val="28"/>
              <w:szCs w:val="28"/>
            </w:rPr>
            <w:t>（二）规划原则</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_Toc92390524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20</w:t>
          </w:r>
          <w:r>
            <w:rPr>
              <w:rFonts w:hint="eastAsia" w:ascii="Times New Roman" w:hAnsi="Times New Roman" w:eastAsia="仿宋_GB2312" w:cs="Times New Roman"/>
              <w:kern w:val="0"/>
              <w:sz w:val="28"/>
              <w:szCs w:val="28"/>
              <w:lang w:val="en-US" w:eastAsia="zh-CN" w:bidi="ar-SA"/>
            </w:rPr>
            <w:fldChar w:fldCharType="end"/>
          </w:r>
          <w:r>
            <w:rPr>
              <w:rFonts w:ascii="Times New Roman" w:hAnsi="Times New Roman" w:eastAsia="仿宋_GB2312"/>
              <w:sz w:val="28"/>
              <w:szCs w:val="28"/>
            </w:rPr>
            <w:fldChar w:fldCharType="end"/>
          </w:r>
        </w:p>
        <w:p>
          <w:pPr>
            <w:pStyle w:val="14"/>
            <w:tabs>
              <w:tab w:val="right" w:leader="dot" w:pos="8296"/>
            </w:tabs>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"_Toc92390525" </w:instrText>
          </w:r>
          <w:r>
            <w:fldChar w:fldCharType="separate"/>
          </w:r>
          <w:r>
            <w:rPr>
              <w:rStyle w:val="17"/>
              <w:rFonts w:ascii="Times New Roman" w:hAnsi="Times New Roman" w:eastAsia="仿宋_GB2312"/>
              <w:sz w:val="28"/>
              <w:szCs w:val="28"/>
            </w:rPr>
            <w:t>（三）规划范围</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_Toc92390525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21</w:t>
          </w:r>
          <w:r>
            <w:rPr>
              <w:rFonts w:hint="eastAsia" w:ascii="Times New Roman" w:hAnsi="Times New Roman" w:eastAsia="仿宋_GB2312" w:cs="Times New Roman"/>
              <w:kern w:val="0"/>
              <w:sz w:val="28"/>
              <w:szCs w:val="28"/>
              <w:lang w:val="en-US" w:eastAsia="zh-CN" w:bidi="ar-SA"/>
            </w:rPr>
            <w:fldChar w:fldCharType="end"/>
          </w:r>
          <w:r>
            <w:rPr>
              <w:rFonts w:ascii="Times New Roman" w:hAnsi="Times New Roman" w:eastAsia="仿宋_GB2312"/>
              <w:sz w:val="28"/>
              <w:szCs w:val="28"/>
            </w:rPr>
            <w:fldChar w:fldCharType="end"/>
          </w:r>
        </w:p>
        <w:p>
          <w:pPr>
            <w:pStyle w:val="14"/>
            <w:tabs>
              <w:tab w:val="right" w:leader="dot" w:pos="8296"/>
            </w:tabs>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"_Toc92390526" </w:instrText>
          </w:r>
          <w:r>
            <w:fldChar w:fldCharType="separate"/>
          </w:r>
          <w:r>
            <w:rPr>
              <w:rStyle w:val="17"/>
              <w:rFonts w:ascii="Times New Roman" w:hAnsi="Times New Roman" w:eastAsia="仿宋_GB2312"/>
              <w:sz w:val="28"/>
              <w:szCs w:val="28"/>
            </w:rPr>
            <w:t>（四）规划期限</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_Toc92390526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21</w:t>
          </w:r>
          <w:r>
            <w:rPr>
              <w:rFonts w:hint="eastAsia" w:ascii="Times New Roman" w:hAnsi="Times New Roman" w:eastAsia="仿宋_GB2312" w:cs="Times New Roman"/>
              <w:kern w:val="0"/>
              <w:sz w:val="28"/>
              <w:szCs w:val="28"/>
              <w:lang w:val="en-US" w:eastAsia="zh-CN" w:bidi="ar-SA"/>
            </w:rPr>
            <w:fldChar w:fldCharType="end"/>
          </w:r>
          <w:r>
            <w:rPr>
              <w:rFonts w:ascii="Times New Roman" w:hAnsi="Times New Roman" w:eastAsia="仿宋_GB2312"/>
              <w:sz w:val="28"/>
              <w:szCs w:val="28"/>
            </w:rPr>
            <w:fldChar w:fldCharType="end"/>
          </w:r>
        </w:p>
        <w:p>
          <w:pPr>
            <w:pStyle w:val="14"/>
            <w:tabs>
              <w:tab w:val="right" w:leader="dot" w:pos="8296"/>
            </w:tabs>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"_Toc92390527" </w:instrText>
          </w:r>
          <w:r>
            <w:fldChar w:fldCharType="separate"/>
          </w:r>
          <w:r>
            <w:rPr>
              <w:rStyle w:val="17"/>
              <w:rFonts w:ascii="Times New Roman" w:hAnsi="Times New Roman" w:eastAsia="仿宋_GB2312"/>
              <w:sz w:val="28"/>
              <w:szCs w:val="28"/>
            </w:rPr>
            <w:t>（五）规划目标</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_Toc92390527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21</w:t>
          </w:r>
          <w:r>
            <w:rPr>
              <w:rFonts w:hint="eastAsia" w:ascii="Times New Roman" w:hAnsi="Times New Roman" w:eastAsia="仿宋_GB2312" w:cs="Times New Roman"/>
              <w:kern w:val="0"/>
              <w:sz w:val="28"/>
              <w:szCs w:val="28"/>
              <w:lang w:val="en-US" w:eastAsia="zh-CN" w:bidi="ar-SA"/>
            </w:rPr>
            <w:fldChar w:fldCharType="end"/>
          </w:r>
          <w:r>
            <w:rPr>
              <w:rFonts w:ascii="Times New Roman" w:hAnsi="Times New Roman" w:eastAsia="仿宋_GB2312"/>
              <w:sz w:val="28"/>
              <w:szCs w:val="28"/>
            </w:rPr>
            <w:fldChar w:fldCharType="end"/>
          </w:r>
        </w:p>
        <w:p>
          <w:pPr>
            <w:pStyle w:val="14"/>
            <w:tabs>
              <w:tab w:val="right" w:leader="dot" w:pos="8296"/>
            </w:tabs>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"_Toc92390528" </w:instrText>
          </w:r>
          <w:r>
            <w:fldChar w:fldCharType="separate"/>
          </w:r>
          <w:r>
            <w:rPr>
              <w:rStyle w:val="17"/>
              <w:rFonts w:ascii="Times New Roman" w:hAnsi="Times New Roman" w:eastAsia="仿宋_GB2312"/>
              <w:sz w:val="28"/>
              <w:szCs w:val="28"/>
            </w:rPr>
            <w:t>（六）建设指标</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_Toc92390528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22</w:t>
          </w:r>
          <w:r>
            <w:rPr>
              <w:rFonts w:hint="eastAsia" w:ascii="Times New Roman" w:hAnsi="Times New Roman" w:eastAsia="仿宋_GB2312" w:cs="Times New Roman"/>
              <w:kern w:val="0"/>
              <w:sz w:val="28"/>
              <w:szCs w:val="28"/>
              <w:lang w:val="en-US" w:eastAsia="zh-CN" w:bidi="ar-SA"/>
            </w:rPr>
            <w:fldChar w:fldCharType="end"/>
          </w:r>
          <w:r>
            <w:rPr>
              <w:rFonts w:ascii="Times New Roman" w:hAnsi="Times New Roman" w:eastAsia="仿宋_GB2312"/>
              <w:sz w:val="28"/>
              <w:szCs w:val="28"/>
            </w:rPr>
            <w:fldChar w:fldCharType="end"/>
          </w:r>
        </w:p>
        <w:p>
          <w:pPr>
            <w:pStyle w:val="12"/>
            <w:spacing w:line="360" w:lineRule="auto"/>
            <w:rPr>
              <w:rFonts w:hint="eastAsia" w:ascii="黑体" w:hAnsi="黑体" w:eastAsia="黑体" w:cs="黑体"/>
              <w:kern w:val="2"/>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"_Toc92390529" </w:instrText>
          </w:r>
          <w:r>
            <w:rPr>
              <w:rFonts w:hint="eastAsia" w:ascii="黑体" w:hAnsi="黑体" w:eastAsia="黑体" w:cs="黑体"/>
              <w:sz w:val="32"/>
              <w:szCs w:val="32"/>
            </w:rPr>
            <w:fldChar w:fldCharType="separate"/>
          </w:r>
          <w:r>
            <w:rPr>
              <w:rStyle w:val="17"/>
              <w:rFonts w:hint="eastAsia" w:ascii="黑体" w:hAnsi="黑体" w:eastAsia="黑体" w:cs="黑体"/>
              <w:sz w:val="28"/>
              <w:szCs w:val="28"/>
            </w:rPr>
            <w:t>三、规划任务与措施</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_Toc92390529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28</w:t>
          </w:r>
          <w:r>
            <w:rPr>
              <w:rFonts w:hint="eastAsia" w:ascii="Times New Roman" w:hAnsi="Times New Roman" w:eastAsia="仿宋_GB2312" w:cs="Times New Roman"/>
              <w:kern w:val="0"/>
              <w:sz w:val="28"/>
              <w:szCs w:val="28"/>
              <w:lang w:val="en-US" w:eastAsia="zh-CN" w:bidi="ar-SA"/>
            </w:rPr>
            <w:fldChar w:fldCharType="end"/>
          </w:r>
          <w:r>
            <w:rPr>
              <w:rFonts w:hint="eastAsia" w:ascii="黑体" w:hAnsi="黑体" w:eastAsia="黑体" w:cs="黑体"/>
              <w:sz w:val="32"/>
              <w:szCs w:val="32"/>
            </w:rPr>
            <w:fldChar w:fldCharType="end"/>
          </w:r>
        </w:p>
        <w:p>
          <w:pPr>
            <w:pStyle w:val="14"/>
            <w:tabs>
              <w:tab w:val="right" w:leader="dot" w:pos="8296"/>
            </w:tabs>
            <w:spacing w:line="360" w:lineRule="auto"/>
            <w:ind w:left="0" w:leftChars="0" w:firstLine="0" w:firstLineChars="0"/>
            <w:rPr>
              <w:rFonts w:ascii="Times New Roman" w:hAnsi="Times New Roman" w:eastAsia="仿宋_GB2312"/>
              <w:kern w:val="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"_Toc92390530"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（一）健全生态制度体系</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_Toc92390530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28</w:t>
          </w:r>
          <w:r>
            <w:rPr>
              <w:rFonts w:hint="eastAsia" w:ascii="Times New Roman" w:hAnsi="Times New Roman" w:eastAsia="仿宋_GB2312" w:cs="Times New Roman"/>
              <w:kern w:val="0"/>
              <w:sz w:val="28"/>
              <w:szCs w:val="28"/>
              <w:lang w:val="en-US" w:eastAsia="zh-CN" w:bidi="ar-SA"/>
            </w:rPr>
            <w:fldChar w:fldCharType="end"/>
          </w:r>
          <w:r>
            <w:rPr>
              <w:rFonts w:hint="eastAsia" w:ascii="楷体_GB2312" w:hAnsi="楷体_GB2312" w:eastAsia="楷体_GB2312" w:cs="楷体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"_Toc92390531" </w:instrText>
          </w:r>
          <w:r>
            <w:fldChar w:fldCharType="separate"/>
          </w:r>
          <w:r>
            <w:rPr>
              <w:rStyle w:val="17"/>
              <w:rFonts w:ascii="Times New Roman" w:hAnsi="Times New Roman" w:eastAsia="仿宋_GB2312"/>
              <w:sz w:val="28"/>
              <w:szCs w:val="28"/>
            </w:rPr>
            <w:t>1.健全生态环境保护制度</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_Toc92390531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28</w:t>
          </w:r>
          <w:r>
            <w:rPr>
              <w:rFonts w:hint="eastAsia" w:ascii="Times New Roman" w:hAnsi="Times New Roman" w:eastAsia="仿宋_GB2312" w:cs="Times New Roman"/>
              <w:kern w:val="0"/>
              <w:sz w:val="28"/>
              <w:szCs w:val="28"/>
              <w:lang w:val="en-US" w:eastAsia="zh-CN" w:bidi="ar-SA"/>
            </w:rPr>
            <w:fldChar w:fldCharType="end"/>
          </w:r>
          <w:r>
            <w:rPr>
              <w:rFonts w:ascii="Times New Roman" w:hAnsi="Times New Roman" w:eastAsia="仿宋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"_Toc92390532" </w:instrText>
          </w:r>
          <w:r>
            <w:fldChar w:fldCharType="separate"/>
          </w:r>
          <w:r>
            <w:rPr>
              <w:rStyle w:val="17"/>
              <w:rFonts w:ascii="Times New Roman" w:hAnsi="Times New Roman" w:eastAsia="仿宋_GB2312"/>
              <w:sz w:val="28"/>
              <w:szCs w:val="28"/>
            </w:rPr>
            <w:t>2.完善资源高效利用制度</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_Toc92390532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29</w:t>
          </w:r>
          <w:r>
            <w:rPr>
              <w:rFonts w:hint="eastAsia" w:ascii="Times New Roman" w:hAnsi="Times New Roman" w:eastAsia="仿宋_GB2312" w:cs="Times New Roman"/>
              <w:kern w:val="0"/>
              <w:sz w:val="28"/>
              <w:szCs w:val="28"/>
              <w:lang w:val="en-US" w:eastAsia="zh-CN" w:bidi="ar-SA"/>
            </w:rPr>
            <w:fldChar w:fldCharType="end"/>
          </w:r>
          <w:r>
            <w:rPr>
              <w:rFonts w:ascii="Times New Roman" w:hAnsi="Times New Roman" w:eastAsia="仿宋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"_Toc92390533" </w:instrText>
          </w:r>
          <w:r>
            <w:fldChar w:fldCharType="separate"/>
          </w:r>
          <w:r>
            <w:rPr>
              <w:rStyle w:val="17"/>
              <w:rFonts w:ascii="Times New Roman" w:hAnsi="Times New Roman" w:eastAsia="仿宋_GB2312"/>
              <w:sz w:val="28"/>
              <w:szCs w:val="28"/>
            </w:rPr>
            <w:t>3.推进生态保护和修复制度</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_Toc92390533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30</w:t>
          </w:r>
          <w:r>
            <w:rPr>
              <w:rFonts w:hint="eastAsia" w:ascii="Times New Roman" w:hAnsi="Times New Roman" w:eastAsia="仿宋_GB2312" w:cs="Times New Roman"/>
              <w:kern w:val="0"/>
              <w:sz w:val="28"/>
              <w:szCs w:val="28"/>
              <w:lang w:val="en-US" w:eastAsia="zh-CN" w:bidi="ar-SA"/>
            </w:rPr>
            <w:fldChar w:fldCharType="end"/>
          </w:r>
          <w:r>
            <w:rPr>
              <w:rFonts w:ascii="Times New Roman" w:hAnsi="Times New Roman" w:eastAsia="仿宋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"_Toc92390534" </w:instrText>
          </w:r>
          <w:r>
            <w:fldChar w:fldCharType="separate"/>
          </w:r>
          <w:r>
            <w:rPr>
              <w:rStyle w:val="17"/>
              <w:rFonts w:ascii="Times New Roman" w:hAnsi="Times New Roman" w:eastAsia="仿宋_GB2312"/>
              <w:sz w:val="28"/>
              <w:szCs w:val="28"/>
            </w:rPr>
            <w:t>4.严明生态环境保护责任制度</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_Toc92390534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30</w:t>
          </w:r>
          <w:r>
            <w:rPr>
              <w:rFonts w:hint="eastAsia" w:ascii="Times New Roman" w:hAnsi="Times New Roman" w:eastAsia="仿宋_GB2312" w:cs="Times New Roman"/>
              <w:kern w:val="0"/>
              <w:sz w:val="28"/>
              <w:szCs w:val="28"/>
              <w:lang w:val="en-US" w:eastAsia="zh-CN" w:bidi="ar-SA"/>
            </w:rPr>
            <w:fldChar w:fldCharType="end"/>
          </w:r>
          <w:r>
            <w:rPr>
              <w:rFonts w:ascii="Times New Roman" w:hAnsi="Times New Roman" w:eastAsia="仿宋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"_Toc92390535" </w:instrText>
          </w:r>
          <w:r>
            <w:fldChar w:fldCharType="separate"/>
          </w:r>
          <w:r>
            <w:rPr>
              <w:rStyle w:val="17"/>
              <w:rFonts w:ascii="Times New Roman" w:hAnsi="Times New Roman" w:eastAsia="仿宋_GB2312"/>
              <w:sz w:val="28"/>
              <w:szCs w:val="28"/>
            </w:rPr>
            <w:t>5.积极推动生态文明制度落实</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_Toc92390535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31</w:t>
          </w:r>
          <w:r>
            <w:rPr>
              <w:rFonts w:hint="eastAsia" w:ascii="Times New Roman" w:hAnsi="Times New Roman" w:eastAsia="仿宋_GB2312" w:cs="Times New Roman"/>
              <w:kern w:val="0"/>
              <w:sz w:val="28"/>
              <w:szCs w:val="28"/>
              <w:lang w:val="en-US" w:eastAsia="zh-CN" w:bidi="ar-SA"/>
            </w:rPr>
            <w:fldChar w:fldCharType="end"/>
          </w:r>
          <w:r>
            <w:rPr>
              <w:rFonts w:ascii="Times New Roman" w:hAnsi="Times New Roman" w:eastAsia="仿宋_GB2312"/>
              <w:sz w:val="28"/>
              <w:szCs w:val="28"/>
            </w:rPr>
            <w:fldChar w:fldCharType="end"/>
          </w:r>
        </w:p>
        <w:p>
          <w:pPr>
            <w:pStyle w:val="14"/>
            <w:tabs>
              <w:tab w:val="right" w:leader="dot" w:pos="8296"/>
            </w:tabs>
            <w:spacing w:line="360" w:lineRule="auto"/>
            <w:ind w:left="0" w:leftChars="0" w:firstLine="0" w:firstLineChars="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"_Toc92390536"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（二）建设生态安全体系</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_Toc92390536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31</w:t>
          </w:r>
          <w:r>
            <w:rPr>
              <w:rFonts w:hint="eastAsia" w:ascii="Times New Roman" w:hAnsi="Times New Roman" w:eastAsia="仿宋_GB2312" w:cs="Times New Roman"/>
              <w:kern w:val="0"/>
              <w:sz w:val="28"/>
              <w:szCs w:val="28"/>
              <w:lang w:val="en-US" w:eastAsia="zh-CN" w:bidi="ar-SA"/>
            </w:rPr>
            <w:fldChar w:fldCharType="end"/>
          </w:r>
          <w:r>
            <w:rPr>
              <w:rFonts w:hint="eastAsia" w:ascii="楷体_GB2312" w:hAnsi="楷体_GB2312" w:eastAsia="楷体_GB2312" w:cs="楷体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"_Toc92390537" </w:instrText>
          </w:r>
          <w:r>
            <w:fldChar w:fldCharType="separate"/>
          </w:r>
          <w:r>
            <w:rPr>
              <w:rStyle w:val="17"/>
              <w:rFonts w:ascii="Times New Roman" w:hAnsi="Times New Roman" w:eastAsia="仿宋_GB2312"/>
              <w:sz w:val="28"/>
              <w:szCs w:val="28"/>
            </w:rPr>
            <w:t>1.深化环境污染治理</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_Toc92390537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31</w:t>
          </w:r>
          <w:r>
            <w:rPr>
              <w:rFonts w:hint="eastAsia" w:ascii="Times New Roman" w:hAnsi="Times New Roman" w:eastAsia="仿宋_GB2312" w:cs="Times New Roman"/>
              <w:kern w:val="0"/>
              <w:sz w:val="28"/>
              <w:szCs w:val="28"/>
              <w:lang w:val="en-US" w:eastAsia="zh-CN" w:bidi="ar-SA"/>
            </w:rPr>
            <w:fldChar w:fldCharType="end"/>
          </w:r>
          <w:r>
            <w:rPr>
              <w:rFonts w:hint="eastAsia" w:ascii="Times New Roman" w:hAnsi="Times New Roman" w:eastAsia="仿宋_GB2312" w:cs="Times New Roman"/>
              <w:kern w:val="0"/>
              <w:sz w:val="28"/>
              <w:szCs w:val="28"/>
              <w:lang w:val="en-US" w:eastAsia="zh-CN" w:bidi="ar-SA"/>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"_Toc92390538" </w:instrText>
          </w:r>
          <w:r>
            <w:fldChar w:fldCharType="separate"/>
          </w:r>
          <w:r>
            <w:rPr>
              <w:rStyle w:val="17"/>
              <w:rFonts w:ascii="Times New Roman" w:hAnsi="Times New Roman" w:eastAsia="仿宋_GB2312"/>
              <w:sz w:val="28"/>
              <w:szCs w:val="28"/>
            </w:rPr>
            <w:t>2.强化生态保护修复</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_Toc92390538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33</w:t>
          </w:r>
          <w:r>
            <w:rPr>
              <w:rFonts w:hint="eastAsia" w:ascii="Times New Roman" w:hAnsi="Times New Roman" w:eastAsia="仿宋_GB2312" w:cs="Times New Roman"/>
              <w:kern w:val="0"/>
              <w:sz w:val="28"/>
              <w:szCs w:val="28"/>
              <w:lang w:val="en-US" w:eastAsia="zh-CN" w:bidi="ar-SA"/>
            </w:rPr>
            <w:fldChar w:fldCharType="end"/>
          </w:r>
          <w:r>
            <w:rPr>
              <w:rFonts w:ascii="Times New Roman" w:hAnsi="Times New Roman" w:eastAsia="仿宋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"_Toc92390539" </w:instrText>
          </w:r>
          <w:r>
            <w:fldChar w:fldCharType="separate"/>
          </w:r>
          <w:r>
            <w:rPr>
              <w:rStyle w:val="17"/>
              <w:rFonts w:ascii="Times New Roman" w:hAnsi="Times New Roman" w:eastAsia="仿宋_GB2312"/>
              <w:sz w:val="28"/>
              <w:szCs w:val="28"/>
            </w:rPr>
            <w:t>3.积极应对气候变化</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_Toc92390539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36</w:t>
          </w:r>
          <w:r>
            <w:rPr>
              <w:rFonts w:hint="eastAsia" w:ascii="Times New Roman" w:hAnsi="Times New Roman" w:eastAsia="仿宋_GB2312" w:cs="Times New Roman"/>
              <w:kern w:val="0"/>
              <w:sz w:val="28"/>
              <w:szCs w:val="28"/>
              <w:lang w:val="en-US" w:eastAsia="zh-CN" w:bidi="ar-SA"/>
            </w:rPr>
            <w:fldChar w:fldCharType="end"/>
          </w:r>
          <w:r>
            <w:rPr>
              <w:rFonts w:ascii="Times New Roman" w:hAnsi="Times New Roman" w:eastAsia="仿宋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"_Toc92390540" </w:instrText>
          </w:r>
          <w:r>
            <w:fldChar w:fldCharType="separate"/>
          </w:r>
          <w:r>
            <w:rPr>
              <w:rStyle w:val="17"/>
              <w:rFonts w:ascii="Times New Roman" w:hAnsi="Times New Roman" w:eastAsia="仿宋_GB2312"/>
              <w:sz w:val="28"/>
              <w:szCs w:val="28"/>
            </w:rPr>
            <w:t>4.有效防范生态环境风险</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_Toc92390540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36</w:t>
          </w:r>
          <w:r>
            <w:rPr>
              <w:rFonts w:hint="eastAsia" w:ascii="Times New Roman" w:hAnsi="Times New Roman" w:eastAsia="仿宋_GB2312" w:cs="Times New Roman"/>
              <w:kern w:val="0"/>
              <w:sz w:val="28"/>
              <w:szCs w:val="28"/>
              <w:lang w:val="en-US" w:eastAsia="zh-CN" w:bidi="ar-SA"/>
            </w:rPr>
            <w:fldChar w:fldCharType="end"/>
          </w:r>
          <w:r>
            <w:rPr>
              <w:rFonts w:ascii="Times New Roman" w:hAnsi="Times New Roman" w:eastAsia="仿宋_GB2312"/>
              <w:sz w:val="28"/>
              <w:szCs w:val="28"/>
            </w:rPr>
            <w:fldChar w:fldCharType="end"/>
          </w:r>
        </w:p>
        <w:p>
          <w:pPr>
            <w:pStyle w:val="14"/>
            <w:tabs>
              <w:tab w:val="right" w:leader="dot" w:pos="8296"/>
            </w:tabs>
            <w:spacing w:line="360" w:lineRule="auto"/>
            <w:ind w:left="0" w:leftChars="0" w:firstLine="0" w:firstLineChars="0"/>
            <w:rPr>
              <w:rStyle w:val="17"/>
              <w:rFonts w:hint="eastAsia" w:ascii="楷体_GB2312" w:hAnsi="楷体_GB2312" w:eastAsia="楷体_GB2312" w:cs="楷体_GB2312"/>
              <w:sz w:val="32"/>
              <w:szCs w:val="32"/>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"_Toc92390541"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（三）建设生态空间体系</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_Toc92390541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37</w:t>
          </w:r>
          <w:r>
            <w:rPr>
              <w:rFonts w:hint="eastAsia" w:ascii="Times New Roman" w:hAnsi="Times New Roman" w:eastAsia="仿宋_GB2312" w:cs="Times New Roman"/>
              <w:kern w:val="0"/>
              <w:sz w:val="28"/>
              <w:szCs w:val="28"/>
              <w:lang w:val="en-US" w:eastAsia="zh-CN" w:bidi="ar-SA"/>
            </w:rPr>
            <w:fldChar w:fldCharType="end"/>
          </w:r>
          <w:r>
            <w:rPr>
              <w:rFonts w:hint="eastAsia" w:ascii="楷体_GB2312" w:hAnsi="楷体_GB2312" w:eastAsia="楷体_GB2312" w:cs="楷体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"_Toc92390542" </w:instrText>
          </w:r>
          <w:r>
            <w:fldChar w:fldCharType="separate"/>
          </w:r>
          <w:r>
            <w:rPr>
              <w:rStyle w:val="17"/>
              <w:rFonts w:ascii="Times New Roman" w:hAnsi="Times New Roman" w:eastAsia="仿宋_GB2312"/>
              <w:sz w:val="28"/>
              <w:szCs w:val="28"/>
            </w:rPr>
            <w:t>1.加强生态空间用途管制</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_Toc92390542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37</w:t>
          </w:r>
          <w:r>
            <w:rPr>
              <w:rFonts w:hint="eastAsia" w:ascii="Times New Roman" w:hAnsi="Times New Roman" w:eastAsia="仿宋_GB2312" w:cs="Times New Roman"/>
              <w:kern w:val="0"/>
              <w:sz w:val="28"/>
              <w:szCs w:val="28"/>
              <w:lang w:val="en-US" w:eastAsia="zh-CN" w:bidi="ar-SA"/>
            </w:rPr>
            <w:fldChar w:fldCharType="end"/>
          </w:r>
          <w:r>
            <w:rPr>
              <w:rFonts w:ascii="Times New Roman" w:hAnsi="Times New Roman" w:eastAsia="仿宋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"_Toc92390543" </w:instrText>
          </w:r>
          <w:r>
            <w:fldChar w:fldCharType="separate"/>
          </w:r>
          <w:r>
            <w:rPr>
              <w:rStyle w:val="17"/>
              <w:rFonts w:ascii="Times New Roman" w:hAnsi="Times New Roman" w:eastAsia="仿宋_GB2312"/>
              <w:sz w:val="28"/>
              <w:szCs w:val="28"/>
            </w:rPr>
            <w:t>2.完善自然保护地体系</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_Toc92390543 \h </w:instrText>
          </w:r>
          <w:r>
            <w:rPr>
              <w:rFonts w:ascii="Times New Roman" w:hAnsi="Times New Roman" w:eastAsia="仿宋_GB2312"/>
              <w:sz w:val="28"/>
              <w:szCs w:val="28"/>
            </w:rPr>
            <w:fldChar w:fldCharType="separate"/>
          </w:r>
          <w:r>
            <w:rPr>
              <w:rFonts w:ascii="Times New Roman" w:hAnsi="Times New Roman" w:eastAsia="仿宋_GB2312"/>
              <w:sz w:val="28"/>
              <w:szCs w:val="28"/>
            </w:rPr>
            <w:t>37</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"_Toc92390544" </w:instrText>
          </w:r>
          <w:r>
            <w:fldChar w:fldCharType="separate"/>
          </w:r>
          <w:r>
            <w:rPr>
              <w:rStyle w:val="17"/>
              <w:rFonts w:ascii="Times New Roman" w:hAnsi="Times New Roman" w:eastAsia="仿宋_GB2312"/>
              <w:sz w:val="28"/>
              <w:szCs w:val="28"/>
            </w:rPr>
            <w:t>3.优化国土空间布局</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_Toc92390544 \h </w:instrText>
          </w:r>
          <w:r>
            <w:rPr>
              <w:rFonts w:ascii="Times New Roman" w:hAnsi="Times New Roman" w:eastAsia="仿宋_GB2312"/>
              <w:sz w:val="28"/>
              <w:szCs w:val="28"/>
            </w:rPr>
            <w:fldChar w:fldCharType="separate"/>
          </w:r>
          <w:r>
            <w:rPr>
              <w:rFonts w:ascii="Times New Roman" w:hAnsi="Times New Roman" w:eastAsia="仿宋_GB2312"/>
              <w:sz w:val="28"/>
              <w:szCs w:val="28"/>
            </w:rPr>
            <w:t>38</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4"/>
            <w:tabs>
              <w:tab w:val="right" w:leader="dot" w:pos="8296"/>
            </w:tabs>
            <w:spacing w:line="360" w:lineRule="auto"/>
            <w:ind w:left="0" w:leftChars="0" w:firstLine="0" w:firstLineChars="0"/>
            <w:rPr>
              <w:rFonts w:ascii="Times New Roman" w:hAnsi="Times New Roman" w:eastAsia="仿宋_GB2312"/>
              <w:kern w:val="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"_Toc92390545"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（四）建设生态经济体系</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_Toc92390545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38</w:t>
          </w:r>
          <w:r>
            <w:rPr>
              <w:rFonts w:hint="eastAsia" w:ascii="Times New Roman" w:hAnsi="Times New Roman" w:eastAsia="仿宋_GB2312" w:cs="Times New Roman"/>
              <w:kern w:val="0"/>
              <w:sz w:val="28"/>
              <w:szCs w:val="28"/>
              <w:lang w:val="en-US" w:eastAsia="zh-CN" w:bidi="ar-SA"/>
            </w:rPr>
            <w:fldChar w:fldCharType="end"/>
          </w:r>
          <w:r>
            <w:rPr>
              <w:rFonts w:hint="eastAsia" w:ascii="楷体_GB2312" w:hAnsi="楷体_GB2312" w:eastAsia="楷体_GB2312" w:cs="楷体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"_Toc92390546" </w:instrText>
          </w:r>
          <w:r>
            <w:fldChar w:fldCharType="separate"/>
          </w:r>
          <w:r>
            <w:rPr>
              <w:rStyle w:val="17"/>
              <w:rFonts w:ascii="Times New Roman" w:hAnsi="Times New Roman" w:eastAsia="仿宋_GB2312"/>
              <w:sz w:val="28"/>
              <w:szCs w:val="28"/>
            </w:rPr>
            <w:t>1.优化调整产业结构</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_Toc92390546 \h </w:instrText>
          </w:r>
          <w:r>
            <w:rPr>
              <w:rFonts w:ascii="Times New Roman" w:hAnsi="Times New Roman" w:eastAsia="仿宋_GB2312"/>
              <w:sz w:val="28"/>
              <w:szCs w:val="28"/>
            </w:rPr>
            <w:fldChar w:fldCharType="separate"/>
          </w:r>
          <w:r>
            <w:rPr>
              <w:rFonts w:ascii="Times New Roman" w:hAnsi="Times New Roman" w:eastAsia="仿宋_GB2312"/>
              <w:sz w:val="28"/>
              <w:szCs w:val="28"/>
            </w:rPr>
            <w:t>39</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"_Toc92390547" </w:instrText>
          </w:r>
          <w:r>
            <w:fldChar w:fldCharType="separate"/>
          </w:r>
          <w:r>
            <w:rPr>
              <w:rStyle w:val="17"/>
              <w:rFonts w:ascii="Times New Roman" w:hAnsi="Times New Roman" w:eastAsia="仿宋_GB2312"/>
              <w:sz w:val="28"/>
              <w:szCs w:val="28"/>
            </w:rPr>
            <w:t>2.大力发展生态产业</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_Toc92390547 \h </w:instrText>
          </w:r>
          <w:r>
            <w:rPr>
              <w:rFonts w:ascii="Times New Roman" w:hAnsi="Times New Roman" w:eastAsia="仿宋_GB2312"/>
              <w:sz w:val="28"/>
              <w:szCs w:val="28"/>
            </w:rPr>
            <w:fldChar w:fldCharType="separate"/>
          </w:r>
          <w:r>
            <w:rPr>
              <w:rFonts w:ascii="Times New Roman" w:hAnsi="Times New Roman" w:eastAsia="仿宋_GB2312"/>
              <w:sz w:val="28"/>
              <w:szCs w:val="28"/>
            </w:rPr>
            <w:t>39</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"_Toc92390548" </w:instrText>
          </w:r>
          <w:r>
            <w:fldChar w:fldCharType="separate"/>
          </w:r>
          <w:r>
            <w:rPr>
              <w:rStyle w:val="17"/>
              <w:rFonts w:ascii="Times New Roman" w:hAnsi="Times New Roman" w:eastAsia="仿宋_GB2312"/>
              <w:sz w:val="28"/>
              <w:szCs w:val="28"/>
            </w:rPr>
            <w:t>3.积极调整能源结构</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_Toc92390548 \h </w:instrText>
          </w:r>
          <w:r>
            <w:rPr>
              <w:rFonts w:ascii="Times New Roman" w:hAnsi="Times New Roman" w:eastAsia="仿宋_GB2312"/>
              <w:sz w:val="28"/>
              <w:szCs w:val="28"/>
            </w:rPr>
            <w:fldChar w:fldCharType="separate"/>
          </w:r>
          <w:r>
            <w:rPr>
              <w:rFonts w:ascii="Times New Roman" w:hAnsi="Times New Roman" w:eastAsia="仿宋_GB2312"/>
              <w:sz w:val="28"/>
              <w:szCs w:val="28"/>
            </w:rPr>
            <w:t>39</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"_Toc92390549" </w:instrText>
          </w:r>
          <w:r>
            <w:fldChar w:fldCharType="separate"/>
          </w:r>
          <w:r>
            <w:rPr>
              <w:rStyle w:val="17"/>
              <w:rFonts w:ascii="Times New Roman" w:hAnsi="Times New Roman" w:eastAsia="仿宋_GB2312"/>
              <w:sz w:val="28"/>
              <w:szCs w:val="28"/>
            </w:rPr>
            <w:t>4.推动产业循环发展</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_Toc92390549 \h </w:instrText>
          </w:r>
          <w:r>
            <w:rPr>
              <w:rFonts w:ascii="Times New Roman" w:hAnsi="Times New Roman" w:eastAsia="仿宋_GB2312"/>
              <w:sz w:val="28"/>
              <w:szCs w:val="28"/>
            </w:rPr>
            <w:fldChar w:fldCharType="separate"/>
          </w:r>
          <w:r>
            <w:rPr>
              <w:rFonts w:ascii="Times New Roman" w:hAnsi="Times New Roman" w:eastAsia="仿宋_GB2312"/>
              <w:sz w:val="28"/>
              <w:szCs w:val="28"/>
            </w:rPr>
            <w:t>40</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4"/>
            <w:tabs>
              <w:tab w:val="right" w:leader="dot" w:pos="8296"/>
            </w:tabs>
            <w:spacing w:line="360" w:lineRule="auto"/>
            <w:ind w:left="0" w:leftChars="0" w:firstLine="0" w:firstLineChars="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"_Toc92390550"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（五）建设生态生活体系</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_Toc92390550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40</w:t>
          </w:r>
          <w:r>
            <w:rPr>
              <w:rFonts w:hint="eastAsia" w:ascii="Times New Roman" w:hAnsi="Times New Roman" w:eastAsia="仿宋_GB2312" w:cs="Times New Roman"/>
              <w:kern w:val="0"/>
              <w:sz w:val="28"/>
              <w:szCs w:val="28"/>
              <w:lang w:val="en-US" w:eastAsia="zh-CN" w:bidi="ar-SA"/>
            </w:rPr>
            <w:fldChar w:fldCharType="end"/>
          </w:r>
          <w:r>
            <w:rPr>
              <w:rFonts w:hint="eastAsia" w:ascii="楷体_GB2312" w:hAnsi="楷体_GB2312" w:eastAsia="楷体_GB2312" w:cs="楷体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"_Toc92390551" </w:instrText>
          </w:r>
          <w:r>
            <w:fldChar w:fldCharType="separate"/>
          </w:r>
          <w:r>
            <w:rPr>
              <w:rStyle w:val="17"/>
              <w:rFonts w:ascii="Times New Roman" w:hAnsi="Times New Roman" w:eastAsia="仿宋_GB2312"/>
              <w:sz w:val="28"/>
              <w:szCs w:val="28"/>
            </w:rPr>
            <w:t>1.加强生态环境基础设施建设</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_Toc92390551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40</w:t>
          </w:r>
          <w:r>
            <w:rPr>
              <w:rFonts w:hint="eastAsia" w:ascii="Times New Roman" w:hAnsi="Times New Roman" w:eastAsia="仿宋_GB2312" w:cs="Times New Roman"/>
              <w:kern w:val="0"/>
              <w:sz w:val="28"/>
              <w:szCs w:val="28"/>
              <w:lang w:val="en-US" w:eastAsia="zh-CN" w:bidi="ar-SA"/>
            </w:rPr>
            <w:fldChar w:fldCharType="end"/>
          </w:r>
          <w:r>
            <w:rPr>
              <w:rFonts w:ascii="Times New Roman" w:hAnsi="Times New Roman" w:eastAsia="仿宋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"_Toc92390552" </w:instrText>
          </w:r>
          <w:r>
            <w:fldChar w:fldCharType="separate"/>
          </w:r>
          <w:r>
            <w:rPr>
              <w:rStyle w:val="17"/>
              <w:rFonts w:ascii="Times New Roman" w:hAnsi="Times New Roman" w:eastAsia="仿宋_GB2312"/>
              <w:sz w:val="28"/>
              <w:szCs w:val="28"/>
            </w:rPr>
            <w:t>2.推进生态县城与美丽乡村建设</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_Toc92390552 \h </w:instrText>
          </w:r>
          <w:r>
            <w:rPr>
              <w:rFonts w:ascii="Times New Roman" w:hAnsi="Times New Roman" w:eastAsia="仿宋_GB2312"/>
              <w:sz w:val="28"/>
              <w:szCs w:val="28"/>
            </w:rPr>
            <w:fldChar w:fldCharType="separate"/>
          </w:r>
          <w:r>
            <w:rPr>
              <w:rFonts w:ascii="Times New Roman" w:hAnsi="Times New Roman" w:eastAsia="仿宋_GB2312"/>
              <w:sz w:val="28"/>
              <w:szCs w:val="28"/>
            </w:rPr>
            <w:t>41</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"_Toc92390553" </w:instrText>
          </w:r>
          <w:r>
            <w:fldChar w:fldCharType="separate"/>
          </w:r>
          <w:r>
            <w:rPr>
              <w:rStyle w:val="17"/>
              <w:rFonts w:ascii="Times New Roman" w:hAnsi="Times New Roman" w:eastAsia="仿宋_GB2312"/>
              <w:sz w:val="28"/>
              <w:szCs w:val="28"/>
            </w:rPr>
            <w:t>3.培育生态生活方式</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_Toc92390553 \h </w:instrText>
          </w:r>
          <w:r>
            <w:rPr>
              <w:rFonts w:ascii="Times New Roman" w:hAnsi="Times New Roman" w:eastAsia="仿宋_GB2312"/>
              <w:sz w:val="28"/>
              <w:szCs w:val="28"/>
            </w:rPr>
            <w:fldChar w:fldCharType="separate"/>
          </w:r>
          <w:r>
            <w:rPr>
              <w:rFonts w:ascii="Times New Roman" w:hAnsi="Times New Roman" w:eastAsia="仿宋_GB2312"/>
              <w:sz w:val="28"/>
              <w:szCs w:val="28"/>
            </w:rPr>
            <w:t>42</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4"/>
            <w:tabs>
              <w:tab w:val="right" w:leader="dot" w:pos="8296"/>
            </w:tabs>
            <w:spacing w:line="360" w:lineRule="auto"/>
            <w:ind w:left="0" w:leftChars="0" w:firstLine="0" w:firstLineChars="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"_Toc92390554"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（六）建设生态文化体系</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_Toc92390554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43</w:t>
          </w:r>
          <w:r>
            <w:rPr>
              <w:rFonts w:hint="eastAsia" w:ascii="Times New Roman" w:hAnsi="Times New Roman" w:eastAsia="仿宋_GB2312" w:cs="Times New Roman"/>
              <w:kern w:val="0"/>
              <w:sz w:val="28"/>
              <w:szCs w:val="28"/>
              <w:lang w:val="en-US" w:eastAsia="zh-CN" w:bidi="ar-SA"/>
            </w:rPr>
            <w:fldChar w:fldCharType="end"/>
          </w:r>
          <w:r>
            <w:rPr>
              <w:rFonts w:hint="eastAsia" w:ascii="楷体_GB2312" w:hAnsi="楷体_GB2312" w:eastAsia="楷体_GB2312" w:cs="楷体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"_Toc92390555" </w:instrText>
          </w:r>
          <w:r>
            <w:fldChar w:fldCharType="separate"/>
          </w:r>
          <w:r>
            <w:rPr>
              <w:rStyle w:val="17"/>
              <w:rFonts w:ascii="Times New Roman" w:hAnsi="Times New Roman" w:eastAsia="仿宋_GB2312"/>
              <w:sz w:val="28"/>
              <w:szCs w:val="28"/>
            </w:rPr>
            <w:t>1.建设生态文明载体</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_Toc92390555 \h </w:instrText>
          </w:r>
          <w:r>
            <w:rPr>
              <w:rFonts w:ascii="Times New Roman" w:hAnsi="Times New Roman" w:eastAsia="仿宋_GB2312"/>
              <w:sz w:val="28"/>
              <w:szCs w:val="28"/>
            </w:rPr>
            <w:fldChar w:fldCharType="separate"/>
          </w:r>
          <w:r>
            <w:rPr>
              <w:rFonts w:ascii="Times New Roman" w:hAnsi="Times New Roman" w:eastAsia="仿宋_GB2312"/>
              <w:sz w:val="28"/>
              <w:szCs w:val="28"/>
            </w:rPr>
            <w:t>43</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"_Toc92390556" </w:instrText>
          </w:r>
          <w:r>
            <w:fldChar w:fldCharType="separate"/>
          </w:r>
          <w:r>
            <w:rPr>
              <w:rStyle w:val="17"/>
              <w:rFonts w:ascii="Times New Roman" w:hAnsi="Times New Roman" w:eastAsia="仿宋_GB2312"/>
              <w:sz w:val="28"/>
              <w:szCs w:val="28"/>
            </w:rPr>
            <w:t>2.加强生态文明宣传</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_Toc92390556 \h </w:instrText>
          </w:r>
          <w:r>
            <w:rPr>
              <w:rFonts w:ascii="Times New Roman" w:hAnsi="Times New Roman" w:eastAsia="仿宋_GB2312"/>
              <w:sz w:val="28"/>
              <w:szCs w:val="28"/>
            </w:rPr>
            <w:fldChar w:fldCharType="separate"/>
          </w:r>
          <w:r>
            <w:rPr>
              <w:rFonts w:ascii="Times New Roman" w:hAnsi="Times New Roman" w:eastAsia="仿宋_GB2312"/>
              <w:sz w:val="28"/>
              <w:szCs w:val="28"/>
            </w:rPr>
            <w:t>44</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"_Toc92390557" </w:instrText>
          </w:r>
          <w:r>
            <w:fldChar w:fldCharType="separate"/>
          </w:r>
          <w:r>
            <w:rPr>
              <w:rStyle w:val="17"/>
              <w:rFonts w:ascii="Times New Roman" w:hAnsi="Times New Roman" w:eastAsia="仿宋_GB2312"/>
              <w:sz w:val="28"/>
              <w:szCs w:val="28"/>
            </w:rPr>
            <w:t>3.加强生态文明公建共享</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_Toc92390557 \h </w:instrText>
          </w:r>
          <w:r>
            <w:rPr>
              <w:rFonts w:ascii="Times New Roman" w:hAnsi="Times New Roman" w:eastAsia="仿宋_GB2312"/>
              <w:sz w:val="28"/>
              <w:szCs w:val="28"/>
            </w:rPr>
            <w:fldChar w:fldCharType="separate"/>
          </w:r>
          <w:r>
            <w:rPr>
              <w:rFonts w:ascii="Times New Roman" w:hAnsi="Times New Roman" w:eastAsia="仿宋_GB2312"/>
              <w:sz w:val="28"/>
              <w:szCs w:val="28"/>
            </w:rPr>
            <w:t>45</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"_Toc92390558" </w:instrText>
          </w:r>
          <w:r>
            <w:fldChar w:fldCharType="separate"/>
          </w:r>
          <w:r>
            <w:rPr>
              <w:rStyle w:val="17"/>
              <w:rFonts w:ascii="Times New Roman" w:hAnsi="Times New Roman" w:eastAsia="仿宋_GB2312"/>
              <w:sz w:val="28"/>
              <w:szCs w:val="28"/>
            </w:rPr>
            <w:t>4.打造生态文化品牌</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_Toc92390558 \h </w:instrText>
          </w:r>
          <w:r>
            <w:rPr>
              <w:rFonts w:ascii="Times New Roman" w:hAnsi="Times New Roman" w:eastAsia="仿宋_GB2312"/>
              <w:sz w:val="28"/>
              <w:szCs w:val="28"/>
            </w:rPr>
            <w:fldChar w:fldCharType="separate"/>
          </w:r>
          <w:r>
            <w:rPr>
              <w:rFonts w:ascii="Times New Roman" w:hAnsi="Times New Roman" w:eastAsia="仿宋_GB2312"/>
              <w:sz w:val="28"/>
              <w:szCs w:val="28"/>
            </w:rPr>
            <w:t>45</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2"/>
            <w:spacing w:line="360" w:lineRule="auto"/>
            <w:rPr>
              <w:rFonts w:ascii="Times New Roman" w:hAnsi="Times New Roman" w:eastAsia="仿宋_GB2312"/>
              <w:kern w:val="2"/>
              <w:sz w:val="28"/>
              <w:szCs w:val="28"/>
            </w:rPr>
          </w:pPr>
          <w:r>
            <w:fldChar w:fldCharType="begin"/>
          </w:r>
          <w:r>
            <w:instrText xml:space="preserve"> HYPERLINK \l "_Toc92390559" </w:instrText>
          </w:r>
          <w:r>
            <w:fldChar w:fldCharType="separate"/>
          </w:r>
          <w:r>
            <w:rPr>
              <w:rStyle w:val="17"/>
              <w:rFonts w:hint="eastAsia" w:ascii="黑体" w:hAnsi="黑体" w:eastAsia="黑体" w:cs="黑体"/>
              <w:sz w:val="28"/>
              <w:szCs w:val="28"/>
            </w:rPr>
            <w:t>四、重点工程与效益分析</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_Toc92390559 \h </w:instrText>
          </w:r>
          <w:r>
            <w:rPr>
              <w:rFonts w:ascii="Times New Roman" w:hAnsi="Times New Roman" w:eastAsia="仿宋_GB2312"/>
              <w:sz w:val="28"/>
              <w:szCs w:val="28"/>
            </w:rPr>
            <w:fldChar w:fldCharType="separate"/>
          </w:r>
          <w:r>
            <w:rPr>
              <w:rFonts w:ascii="Times New Roman" w:hAnsi="Times New Roman" w:eastAsia="仿宋_GB2312"/>
              <w:sz w:val="28"/>
              <w:szCs w:val="28"/>
            </w:rPr>
            <w:t>47</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4"/>
            <w:tabs>
              <w:tab w:val="right" w:leader="dot" w:pos="8296"/>
            </w:tabs>
            <w:spacing w:line="360" w:lineRule="auto"/>
            <w:ind w:left="0" w:leftChars="0" w:firstLine="0" w:firstLineChars="0"/>
            <w:rPr>
              <w:rFonts w:ascii="Times New Roman" w:hAnsi="Times New Roman" w:eastAsia="仿宋_GB2312"/>
              <w:kern w:val="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"_Toc92390560"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（一）工程内容与投资估算</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_Toc92390560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47</w:t>
          </w:r>
          <w:r>
            <w:rPr>
              <w:rFonts w:hint="eastAsia" w:ascii="Times New Roman" w:hAnsi="Times New Roman" w:eastAsia="仿宋_GB2312" w:cs="Times New Roman"/>
              <w:kern w:val="0"/>
              <w:sz w:val="28"/>
              <w:szCs w:val="28"/>
              <w:lang w:val="en-US" w:eastAsia="zh-CN" w:bidi="ar-SA"/>
            </w:rPr>
            <w:fldChar w:fldCharType="end"/>
          </w:r>
          <w:r>
            <w:rPr>
              <w:rFonts w:hint="eastAsia" w:ascii="楷体_GB2312" w:hAnsi="楷体_GB2312" w:eastAsia="楷体_GB2312" w:cs="楷体_GB2312"/>
              <w:sz w:val="28"/>
              <w:szCs w:val="28"/>
            </w:rPr>
            <w:fldChar w:fldCharType="end"/>
          </w:r>
        </w:p>
        <w:p>
          <w:pPr>
            <w:pStyle w:val="14"/>
            <w:tabs>
              <w:tab w:val="right" w:leader="dot" w:pos="8296"/>
            </w:tabs>
            <w:spacing w:line="360" w:lineRule="auto"/>
            <w:ind w:left="0" w:leftChars="0" w:firstLine="0" w:firstLineChars="0"/>
            <w:rPr>
              <w:rStyle w:val="17"/>
              <w:rFonts w:hint="eastAsia" w:ascii="楷体_GB2312" w:hAnsi="楷体_GB2312" w:eastAsia="楷体_GB2312" w:cs="楷体_GB2312"/>
              <w:sz w:val="32"/>
              <w:szCs w:val="32"/>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"_Toc92390561"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（二）资金来源</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_Toc92390561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47</w:t>
          </w:r>
          <w:r>
            <w:rPr>
              <w:rFonts w:hint="eastAsia" w:ascii="Times New Roman" w:hAnsi="Times New Roman" w:eastAsia="仿宋_GB2312" w:cs="Times New Roman"/>
              <w:kern w:val="0"/>
              <w:sz w:val="28"/>
              <w:szCs w:val="28"/>
              <w:lang w:val="en-US" w:eastAsia="zh-CN" w:bidi="ar-SA"/>
            </w:rPr>
            <w:fldChar w:fldCharType="end"/>
          </w:r>
          <w:r>
            <w:rPr>
              <w:rFonts w:hint="eastAsia" w:ascii="楷体_GB2312" w:hAnsi="楷体_GB2312" w:eastAsia="楷体_GB2312" w:cs="楷体_GB2312"/>
              <w:sz w:val="28"/>
              <w:szCs w:val="28"/>
            </w:rPr>
            <w:fldChar w:fldCharType="end"/>
          </w:r>
        </w:p>
        <w:p>
          <w:pPr>
            <w:pStyle w:val="14"/>
            <w:tabs>
              <w:tab w:val="right" w:leader="dot" w:pos="8296"/>
            </w:tabs>
            <w:spacing w:line="360" w:lineRule="auto"/>
            <w:ind w:left="0" w:leftChars="0" w:firstLine="0" w:firstLineChars="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HYPERLINK \l "_Toc92390562"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（三）效益分析</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_Toc92390562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48</w:t>
          </w:r>
          <w:r>
            <w:rPr>
              <w:rFonts w:hint="eastAsia" w:ascii="Times New Roman" w:hAnsi="Times New Roman" w:eastAsia="仿宋_GB2312" w:cs="Times New Roman"/>
              <w:kern w:val="0"/>
              <w:sz w:val="28"/>
              <w:szCs w:val="28"/>
              <w:lang w:val="en-US" w:eastAsia="zh-CN" w:bidi="ar-SA"/>
            </w:rPr>
            <w:fldChar w:fldCharType="end"/>
          </w:r>
          <w:r>
            <w:rPr>
              <w:rFonts w:hint="eastAsia" w:ascii="楷体_GB2312" w:hAnsi="楷体_GB2312" w:eastAsia="楷体_GB2312" w:cs="楷体_GB2312"/>
              <w:sz w:val="28"/>
              <w:szCs w:val="28"/>
            </w:rPr>
            <w:fldChar w:fldCharType="end"/>
          </w:r>
        </w:p>
        <w:p>
          <w:pPr>
            <w:pStyle w:val="9"/>
            <w:spacing w:line="360" w:lineRule="auto"/>
            <w:ind w:left="0" w:leftChars="0" w:firstLine="0" w:firstLineChars="0"/>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HYPERLINK \l "_Toc92390563"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1.生态效益</w:t>
          </w:r>
          <w:r>
            <w:rPr>
              <w:rFonts w:hint="eastAsia" w:ascii="Times New Roman" w:hAnsi="Times New Roman" w:eastAsia="仿宋_GB2312" w:cs="Times New Roman"/>
              <w:kern w:val="0"/>
              <w:sz w:val="28"/>
              <w:szCs w:val="28"/>
              <w:lang w:val="en-US" w:eastAsia="zh-CN" w:bidi="ar-SA"/>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_Toc92390563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48</w:t>
          </w:r>
          <w:r>
            <w:rPr>
              <w:rFonts w:hint="eastAsia" w:ascii="Times New Roman" w:hAnsi="Times New Roman" w:eastAsia="仿宋_GB2312" w:cs="Times New Roman"/>
              <w:kern w:val="0"/>
              <w:sz w:val="28"/>
              <w:szCs w:val="28"/>
              <w:lang w:val="en-US" w:eastAsia="zh-CN" w:bidi="ar-SA"/>
            </w:rPr>
            <w:fldChar w:fldCharType="end"/>
          </w:r>
          <w:r>
            <w:rPr>
              <w:rFonts w:hint="eastAsia" w:ascii="Times New Roman" w:hAnsi="Times New Roman" w:eastAsia="仿宋_GB2312" w:cs="Times New Roman"/>
              <w:kern w:val="0"/>
              <w:sz w:val="28"/>
              <w:szCs w:val="28"/>
              <w:lang w:val="en-US" w:eastAsia="zh-CN" w:bidi="ar-SA"/>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"_Toc92390564" </w:instrText>
          </w:r>
          <w:r>
            <w:fldChar w:fldCharType="separate"/>
          </w:r>
          <w:r>
            <w:rPr>
              <w:rStyle w:val="17"/>
              <w:rFonts w:ascii="Times New Roman" w:hAnsi="Times New Roman" w:eastAsia="仿宋_GB2312"/>
              <w:sz w:val="28"/>
              <w:szCs w:val="28"/>
            </w:rPr>
            <w:t>2.经济效益</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_Toc92390564 \h </w:instrText>
          </w:r>
          <w:r>
            <w:rPr>
              <w:rFonts w:ascii="Times New Roman" w:hAnsi="Times New Roman" w:eastAsia="仿宋_GB2312"/>
              <w:sz w:val="28"/>
              <w:szCs w:val="28"/>
            </w:rPr>
            <w:fldChar w:fldCharType="separate"/>
          </w:r>
          <w:r>
            <w:rPr>
              <w:rFonts w:ascii="Times New Roman" w:hAnsi="Times New Roman" w:eastAsia="仿宋_GB2312"/>
              <w:sz w:val="28"/>
              <w:szCs w:val="28"/>
            </w:rPr>
            <w:t>49</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9"/>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"_Toc92390565" </w:instrText>
          </w:r>
          <w:r>
            <w:fldChar w:fldCharType="separate"/>
          </w:r>
          <w:r>
            <w:rPr>
              <w:rStyle w:val="17"/>
              <w:rFonts w:ascii="Times New Roman" w:hAnsi="Times New Roman" w:eastAsia="仿宋_GB2312"/>
              <w:sz w:val="28"/>
              <w:szCs w:val="28"/>
            </w:rPr>
            <w:t>3.社会效益</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_Toc92390565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50</w:t>
          </w:r>
          <w:r>
            <w:rPr>
              <w:rFonts w:hint="eastAsia" w:ascii="Times New Roman" w:hAnsi="Times New Roman" w:eastAsia="仿宋_GB2312" w:cs="Times New Roman"/>
              <w:kern w:val="0"/>
              <w:sz w:val="28"/>
              <w:szCs w:val="28"/>
              <w:lang w:val="en-US" w:eastAsia="zh-CN" w:bidi="ar-SA"/>
            </w:rPr>
            <w:fldChar w:fldCharType="end"/>
          </w:r>
          <w:r>
            <w:rPr>
              <w:rFonts w:ascii="Times New Roman" w:hAnsi="Times New Roman" w:eastAsia="仿宋_GB2312"/>
              <w:sz w:val="28"/>
              <w:szCs w:val="28"/>
            </w:rPr>
            <w:fldChar w:fldCharType="end"/>
          </w:r>
        </w:p>
        <w:p>
          <w:pPr>
            <w:pStyle w:val="12"/>
            <w:spacing w:line="360" w:lineRule="auto"/>
            <w:rPr>
              <w:rFonts w:ascii="Times New Roman" w:hAnsi="Times New Roman" w:eastAsia="仿宋_GB2312"/>
              <w:kern w:val="2"/>
              <w:sz w:val="28"/>
              <w:szCs w:val="28"/>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"_Toc92390566" </w:instrText>
          </w:r>
          <w:r>
            <w:rPr>
              <w:rFonts w:hint="eastAsia" w:ascii="黑体" w:hAnsi="黑体" w:eastAsia="黑体" w:cs="黑体"/>
              <w:sz w:val="32"/>
              <w:szCs w:val="32"/>
            </w:rPr>
            <w:fldChar w:fldCharType="separate"/>
          </w:r>
          <w:r>
            <w:rPr>
              <w:rStyle w:val="17"/>
              <w:rFonts w:hint="eastAsia" w:ascii="黑体" w:hAnsi="黑体" w:eastAsia="黑体" w:cs="黑体"/>
              <w:sz w:val="28"/>
              <w:szCs w:val="28"/>
            </w:rPr>
            <w:t>五、保障措施</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_Toc92390566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52</w:t>
          </w:r>
          <w:r>
            <w:rPr>
              <w:rFonts w:hint="eastAsia" w:ascii="Times New Roman" w:hAnsi="Times New Roman" w:eastAsia="仿宋_GB2312" w:cs="Times New Roman"/>
              <w:kern w:val="0"/>
              <w:sz w:val="28"/>
              <w:szCs w:val="28"/>
              <w:lang w:val="en-US" w:eastAsia="zh-CN" w:bidi="ar-SA"/>
            </w:rPr>
            <w:fldChar w:fldCharType="end"/>
          </w:r>
          <w:r>
            <w:rPr>
              <w:rFonts w:hint="eastAsia" w:ascii="黑体" w:hAnsi="黑体" w:eastAsia="黑体" w:cs="黑体"/>
              <w:sz w:val="32"/>
              <w:szCs w:val="32"/>
            </w:rPr>
            <w:fldChar w:fldCharType="end"/>
          </w:r>
        </w:p>
        <w:p>
          <w:pPr>
            <w:pStyle w:val="14"/>
            <w:tabs>
              <w:tab w:val="right" w:leader="dot" w:pos="8296"/>
            </w:tabs>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"_Toc92390567" </w:instrText>
          </w:r>
          <w:r>
            <w:fldChar w:fldCharType="separate"/>
          </w:r>
          <w:r>
            <w:rPr>
              <w:rStyle w:val="17"/>
              <w:rFonts w:ascii="Times New Roman" w:hAnsi="Times New Roman" w:eastAsia="仿宋_GB2312"/>
              <w:sz w:val="28"/>
              <w:szCs w:val="28"/>
            </w:rPr>
            <w:t>（一）组织领导保障</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_Toc92390567 \h </w:instrText>
          </w:r>
          <w:r>
            <w:rPr>
              <w:rFonts w:ascii="Times New Roman" w:hAnsi="Times New Roman" w:eastAsia="仿宋_GB2312"/>
              <w:sz w:val="28"/>
              <w:szCs w:val="28"/>
            </w:rPr>
            <w:fldChar w:fldCharType="separate"/>
          </w:r>
          <w:r>
            <w:rPr>
              <w:rFonts w:ascii="Times New Roman" w:hAnsi="Times New Roman" w:eastAsia="仿宋_GB2312"/>
              <w:sz w:val="28"/>
              <w:szCs w:val="28"/>
            </w:rPr>
            <w:t>52</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4"/>
            <w:tabs>
              <w:tab w:val="right" w:leader="dot" w:pos="8296"/>
            </w:tabs>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"_Toc92390568" </w:instrText>
          </w:r>
          <w:r>
            <w:fldChar w:fldCharType="separate"/>
          </w:r>
          <w:r>
            <w:rPr>
              <w:rStyle w:val="17"/>
              <w:rFonts w:ascii="Times New Roman" w:hAnsi="Times New Roman" w:eastAsia="仿宋_GB2312"/>
              <w:sz w:val="28"/>
              <w:szCs w:val="28"/>
            </w:rPr>
            <w:t>（二）监督能力保障</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_Toc92390568 \h </w:instrText>
          </w:r>
          <w:r>
            <w:rPr>
              <w:rFonts w:ascii="Times New Roman" w:hAnsi="Times New Roman" w:eastAsia="仿宋_GB2312"/>
              <w:sz w:val="28"/>
              <w:szCs w:val="28"/>
            </w:rPr>
            <w:fldChar w:fldCharType="separate"/>
          </w:r>
          <w:r>
            <w:rPr>
              <w:rFonts w:ascii="Times New Roman" w:hAnsi="Times New Roman" w:eastAsia="仿宋_GB2312"/>
              <w:sz w:val="28"/>
              <w:szCs w:val="28"/>
            </w:rPr>
            <w:t>52</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4"/>
            <w:tabs>
              <w:tab w:val="right" w:leader="dot" w:pos="8296"/>
            </w:tabs>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"_Toc92390569" </w:instrText>
          </w:r>
          <w:r>
            <w:fldChar w:fldCharType="separate"/>
          </w:r>
          <w:r>
            <w:rPr>
              <w:rStyle w:val="17"/>
              <w:rFonts w:ascii="Times New Roman" w:hAnsi="Times New Roman" w:eastAsia="仿宋_GB2312"/>
              <w:sz w:val="28"/>
              <w:szCs w:val="28"/>
            </w:rPr>
            <w:t>（三）资金统筹保障</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_Toc92390569 \h </w:instrText>
          </w:r>
          <w:r>
            <w:rPr>
              <w:rFonts w:ascii="Times New Roman" w:hAnsi="Times New Roman" w:eastAsia="仿宋_GB2312"/>
              <w:sz w:val="28"/>
              <w:szCs w:val="28"/>
            </w:rPr>
            <w:fldChar w:fldCharType="separate"/>
          </w:r>
          <w:r>
            <w:rPr>
              <w:rFonts w:ascii="Times New Roman" w:hAnsi="Times New Roman" w:eastAsia="仿宋_GB2312"/>
              <w:sz w:val="28"/>
              <w:szCs w:val="28"/>
            </w:rPr>
            <w:t>53</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4"/>
            <w:tabs>
              <w:tab w:val="right" w:leader="dot" w:pos="8296"/>
            </w:tabs>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"_Toc92390570" </w:instrText>
          </w:r>
          <w:r>
            <w:fldChar w:fldCharType="separate"/>
          </w:r>
          <w:r>
            <w:rPr>
              <w:rStyle w:val="17"/>
              <w:rFonts w:ascii="Times New Roman" w:hAnsi="Times New Roman" w:eastAsia="仿宋_GB2312"/>
              <w:sz w:val="28"/>
              <w:szCs w:val="28"/>
            </w:rPr>
            <w:t>（四）科技支撑保障</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_Toc92390570 \h </w:instrText>
          </w:r>
          <w:r>
            <w:rPr>
              <w:rFonts w:ascii="Times New Roman" w:hAnsi="Times New Roman" w:eastAsia="仿宋_GB2312"/>
              <w:sz w:val="28"/>
              <w:szCs w:val="28"/>
            </w:rPr>
            <w:fldChar w:fldCharType="separate"/>
          </w:r>
          <w:r>
            <w:rPr>
              <w:rFonts w:ascii="Times New Roman" w:hAnsi="Times New Roman" w:eastAsia="仿宋_GB2312"/>
              <w:sz w:val="28"/>
              <w:szCs w:val="28"/>
            </w:rPr>
            <w:t>54</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4"/>
            <w:tabs>
              <w:tab w:val="right" w:leader="dot" w:pos="8296"/>
            </w:tabs>
            <w:spacing w:line="360" w:lineRule="auto"/>
            <w:ind w:left="0" w:leftChars="0" w:firstLine="0" w:firstLineChars="0"/>
            <w:rPr>
              <w:rFonts w:ascii="Times New Roman" w:hAnsi="Times New Roman" w:eastAsia="仿宋_GB2312"/>
              <w:kern w:val="2"/>
              <w:sz w:val="28"/>
              <w:szCs w:val="28"/>
            </w:rPr>
          </w:pPr>
          <w:r>
            <w:fldChar w:fldCharType="begin"/>
          </w:r>
          <w:r>
            <w:instrText xml:space="preserve"> HYPERLINK \l "_Toc92390571" </w:instrText>
          </w:r>
          <w:r>
            <w:fldChar w:fldCharType="separate"/>
          </w:r>
          <w:r>
            <w:rPr>
              <w:rStyle w:val="17"/>
              <w:rFonts w:ascii="Times New Roman" w:hAnsi="Times New Roman" w:eastAsia="仿宋_GB2312"/>
              <w:sz w:val="28"/>
              <w:szCs w:val="28"/>
            </w:rPr>
            <w:t>（五）公众监督保障</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_Toc92390571 \h </w:instrText>
          </w:r>
          <w:r>
            <w:rPr>
              <w:rFonts w:ascii="Times New Roman" w:hAnsi="Times New Roman" w:eastAsia="仿宋_GB2312"/>
              <w:sz w:val="28"/>
              <w:szCs w:val="28"/>
            </w:rPr>
            <w:fldChar w:fldCharType="separate"/>
          </w:r>
          <w:r>
            <w:rPr>
              <w:rFonts w:ascii="Times New Roman" w:hAnsi="Times New Roman" w:eastAsia="仿宋_GB2312"/>
              <w:sz w:val="28"/>
              <w:szCs w:val="28"/>
            </w:rPr>
            <w:t>55</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12"/>
            <w:spacing w:line="360" w:lineRule="auto"/>
            <w:rPr>
              <w:rFonts w:hint="eastAsia" w:ascii="黑体" w:hAnsi="黑体" w:eastAsia="黑体" w:cs="黑体"/>
              <w:kern w:val="2"/>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"_Toc92390572" </w:instrText>
          </w:r>
          <w:r>
            <w:rPr>
              <w:rFonts w:hint="eastAsia" w:ascii="黑体" w:hAnsi="黑体" w:eastAsia="黑体" w:cs="黑体"/>
              <w:sz w:val="32"/>
              <w:szCs w:val="32"/>
            </w:rPr>
            <w:fldChar w:fldCharType="separate"/>
          </w:r>
          <w:r>
            <w:rPr>
              <w:rStyle w:val="17"/>
              <w:rFonts w:hint="eastAsia" w:ascii="黑体" w:hAnsi="黑体" w:eastAsia="黑体" w:cs="黑体"/>
              <w:sz w:val="28"/>
              <w:szCs w:val="28"/>
            </w:rPr>
            <w:t>附表  重点工程一览表</w:t>
          </w:r>
          <w:r>
            <w:rPr>
              <w:rFonts w:ascii="Times New Roman" w:hAnsi="Times New Roman" w:eastAsia="仿宋_GB2312"/>
              <w:sz w:val="28"/>
              <w:szCs w:val="28"/>
            </w:rPr>
            <w:tab/>
          </w:r>
          <w:r>
            <w:rPr>
              <w:rFonts w:hint="eastAsia" w:ascii="Times New Roman" w:hAnsi="Times New Roman" w:eastAsia="仿宋_GB2312" w:cs="Times New Roman"/>
              <w:kern w:val="0"/>
              <w:sz w:val="28"/>
              <w:szCs w:val="28"/>
              <w:lang w:val="en-US" w:eastAsia="zh-CN" w:bidi="ar-SA"/>
            </w:rPr>
            <w:fldChar w:fldCharType="begin"/>
          </w:r>
          <w:r>
            <w:rPr>
              <w:rFonts w:hint="eastAsia" w:ascii="Times New Roman" w:hAnsi="Times New Roman" w:eastAsia="仿宋_GB2312" w:cs="Times New Roman"/>
              <w:kern w:val="0"/>
              <w:sz w:val="28"/>
              <w:szCs w:val="28"/>
              <w:lang w:val="en-US" w:eastAsia="zh-CN" w:bidi="ar-SA"/>
            </w:rPr>
            <w:instrText xml:space="preserve"> PAGEREF _Toc92390572 \h </w:instrText>
          </w:r>
          <w:r>
            <w:rPr>
              <w:rFonts w:hint="eastAsia" w:ascii="Times New Roman" w:hAnsi="Times New Roman" w:eastAsia="仿宋_GB2312" w:cs="Times New Roman"/>
              <w:kern w:val="0"/>
              <w:sz w:val="28"/>
              <w:szCs w:val="28"/>
              <w:lang w:val="en-US" w:eastAsia="zh-CN" w:bidi="ar-SA"/>
            </w:rPr>
            <w:fldChar w:fldCharType="separate"/>
          </w:r>
          <w:r>
            <w:rPr>
              <w:rFonts w:hint="eastAsia" w:ascii="Times New Roman" w:hAnsi="Times New Roman" w:eastAsia="仿宋_GB2312" w:cs="Times New Roman"/>
              <w:kern w:val="0"/>
              <w:sz w:val="28"/>
              <w:szCs w:val="28"/>
              <w:lang w:val="en-US" w:eastAsia="zh-CN" w:bidi="ar-SA"/>
            </w:rPr>
            <w:t>56</w:t>
          </w:r>
          <w:r>
            <w:rPr>
              <w:rFonts w:hint="eastAsia" w:ascii="Times New Roman" w:hAnsi="Times New Roman" w:eastAsia="仿宋_GB2312" w:cs="Times New Roman"/>
              <w:kern w:val="0"/>
              <w:sz w:val="28"/>
              <w:szCs w:val="28"/>
              <w:lang w:val="en-US" w:eastAsia="zh-CN" w:bidi="ar-SA"/>
            </w:rPr>
            <w:fldChar w:fldCharType="end"/>
          </w:r>
          <w:r>
            <w:rPr>
              <w:rFonts w:hint="eastAsia" w:ascii="黑体" w:hAnsi="黑体" w:eastAsia="黑体" w:cs="黑体"/>
              <w:sz w:val="32"/>
              <w:szCs w:val="32"/>
            </w:rPr>
            <w:fldChar w:fldCharType="end"/>
          </w:r>
        </w:p>
        <w:p>
          <w:pPr>
            <w:pStyle w:val="12"/>
            <w:rPr>
              <w:rFonts w:ascii="Times New Roman" w:hAnsi="Times New Roman"/>
              <w:lang w:val="zh-CN"/>
            </w:rPr>
          </w:pPr>
          <w:r>
            <w:rPr>
              <w:rFonts w:ascii="Times New Roman" w:hAnsi="Times New Roman" w:eastAsia="仿宋_GB2312"/>
              <w:lang w:val="zh-CN"/>
            </w:rPr>
            <w:fldChar w:fldCharType="end"/>
          </w:r>
        </w:p>
      </w:sdtContent>
    </w:sdt>
    <w:p>
      <w:pPr>
        <w:tabs>
          <w:tab w:val="center" w:pos="4433"/>
        </w:tabs>
        <w:ind w:firstLine="560"/>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pgNumType w:fmt="lowerRoman" w:start="1"/>
          <w:cols w:space="425" w:num="1"/>
          <w:docGrid w:linePitch="312" w:charSpace="0"/>
        </w:sectPr>
      </w:pPr>
      <w:r>
        <w:tab/>
      </w:r>
    </w:p>
    <w:p>
      <w:pPr>
        <w:pStyle w:val="3"/>
      </w:pPr>
      <w:bookmarkStart w:id="0" w:name="_Toc92390514"/>
      <w:r>
        <w:t>前  言</w:t>
      </w:r>
      <w:bookmarkEnd w:id="0"/>
    </w:p>
    <w:p>
      <w:pPr>
        <w:ind w:firstLine="560"/>
      </w:pPr>
      <w:r>
        <w:rPr>
          <w:kern w:val="0"/>
        </w:rPr>
        <w:t>2007年10月，党的十七大首次把建设生态文明列为全面建设小康社会目标之一，2012年11月，党的十八大将生态文明建设提升到前所未有的战略高度，纳入国家发展大计、上升为国家意志，并提出建设美丽中国的目标，开启了生态文明建设的新时代。</w:t>
      </w:r>
      <w:r>
        <w:t>2013年5月原环保部发布关于印发《国家生态文明建设试点示范区指标（试行）》的通知。</w:t>
      </w:r>
      <w:r>
        <w:rPr>
          <w:kern w:val="0"/>
        </w:rPr>
        <w:t>2017年，党的十九大报告中指出，建设生态文明是中华民族永续发展的千年大计，必须树立和践行绿水青山就是金山银山的理念，像对待生命一样对待生态环境。</w:t>
      </w:r>
      <w:r>
        <w:t>2018年在全国生态环境保护大会上，习近平总书记着眼党和人民事业的长远发展，深入阐述了保护生态环境、建设生态文明的重大意义，明确提出了新时代推进生态文明建设必须坚持的重要原则。</w:t>
      </w:r>
      <w:r>
        <w:rPr>
          <w:kern w:val="0"/>
        </w:rPr>
        <w:t>2020年，党的十九届五中全会</w:t>
      </w:r>
      <w:r>
        <w:t>提出</w:t>
      </w:r>
      <w:r>
        <w:rPr>
          <w:kern w:val="0"/>
        </w:rPr>
        <w:t>，</w:t>
      </w:r>
      <w:r>
        <w:t>到2025年生态文明建设要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r>
        <w:rPr>
          <w:kern w:val="0"/>
        </w:rPr>
        <w:t>。</w:t>
      </w:r>
    </w:p>
    <w:p>
      <w:pPr>
        <w:ind w:firstLine="560"/>
      </w:pPr>
      <w:r>
        <w:t>2016年，县委、县政府组织编制《庆阳市宁县国家生态文明建设示范县规划（2016-2018年）》，自《规划》实施以来，举全县之力推进国家生态文明建设示范县创建。目前，在国家生态文明建设示范县38项指标中，全县已达标指标12项，达标率31.58%。全县累计创建</w:t>
      </w:r>
      <w:r>
        <w:rPr>
          <w:szCs w:val="28"/>
        </w:rPr>
        <w:t>国家级生态乡镇6个，创建省级生态乡镇18个、省级生态村7个、市级生态村75个，创建省级绿色学校4所、省级绿色社区2个、市级绿色学校34所、绿色机关11个、绿色社区3个、绿色医院1个、绿色饭店1个</w:t>
      </w:r>
      <w:r>
        <w:t>。</w:t>
      </w:r>
    </w:p>
    <w:p>
      <w:pPr>
        <w:ind w:firstLine="560"/>
      </w:pPr>
      <w:r>
        <w:t>为全面贯彻落实国家生态文明战略以及庆阳市生态文明相关政策要求，进一步巩固提升全县生态文明建设成果。现考虑到近年来生态文明的理念和内涵发生了不断的深化和扩展，且国家对于生态文明示范县创建的指标和管理要求也相应进行了较大调整（2018年5月，环保部办公厅发文对国家生态文明建设示范市县创建指标进行了修订（环办生态函〔2018〕328号），2019年9月，生态环境部再次发文对国家生态文明建设示范市县创建指标进行了修订（环生态〔2019〕76号），2021年8月，生态环境部又对国家生态文明建设示范市县创建指标进行了修订（环办生态函〔2021〕353号），同时生态环境部也对生态文明建设示范区规划编制指南进行了修订（环办生态函〔2021〕146号），提出了新的编制大纲。因此，前期编制完成的规划在生态文明创建的深度、广度上亟待更新。</w:t>
      </w:r>
    </w:p>
    <w:p>
      <w:pPr>
        <w:ind w:firstLine="560"/>
      </w:pPr>
      <w:r>
        <w:t>2021年，</w:t>
      </w:r>
      <w:r>
        <w:rPr>
          <w:rFonts w:hint="eastAsia"/>
          <w:lang w:eastAsia="zh-CN"/>
        </w:rPr>
        <w:t>县委、县政府</w:t>
      </w:r>
      <w:r>
        <w:t>高度重视生态文明建设，决定以近年来国家生态文明建设示范县创建成果为基础，结合宁县发展实际和未来发展需求，按照《国家生态文明建设示范区规划编制指南（试行）》（环办生态函〔2021〕146号）要求，确定生态文明建设任务部署，重点阐明我县生态文明建设的指导思想、基本原则与规划目标，提出六大体系建设的主要任务与举措，积极探索“绿水青山就是金山银山”的实现路径。并启动生态文明建设示范县规划编制工作机制，成立规划编制领导小组，委托甘肃地质灾害防治工程勘查设计院有限公司承担《庆阳市宁县国家生态文明建设示范县规划（2021-2025年）》（以下简称《规划》）研究与编制工作。</w:t>
      </w:r>
    </w:p>
    <w:p>
      <w:pPr>
        <w:ind w:firstLine="560"/>
      </w:pPr>
      <w:r>
        <w:t>《规划》是指导全县创建国家生态文明建设示范县、开展生态文明建设的指导性文件，是生态文明建设重点领域制定工作方案的重要依据，旨在把宁县打造成为经济高度发达、生态环境严格保护、生活质量明显提升的舒适安全、绿色低碳的现代化城市。</w:t>
      </w:r>
    </w:p>
    <w:p>
      <w:pPr>
        <w:pStyle w:val="3"/>
        <w:ind w:firstLine="883"/>
        <w:sectPr>
          <w:footerReference r:id="rId10" w:type="default"/>
          <w:pgSz w:w="11906" w:h="16838"/>
          <w:pgMar w:top="1440" w:right="1800" w:bottom="1440" w:left="1800" w:header="851" w:footer="850" w:gutter="0"/>
          <w:pgNumType w:fmt="upperRoman" w:start="1"/>
          <w:cols w:space="425" w:num="1"/>
          <w:docGrid w:linePitch="381" w:charSpace="0"/>
        </w:sectPr>
      </w:pPr>
    </w:p>
    <w:p>
      <w:pPr>
        <w:pStyle w:val="3"/>
        <w:ind w:firstLine="883"/>
        <w:rPr>
          <w:rFonts w:hint="eastAsia" w:ascii="方正小标宋简体" w:hAnsi="方正小标宋简体" w:eastAsia="方正小标宋简体" w:cs="方正小标宋简体"/>
          <w:sz w:val="32"/>
          <w:szCs w:val="32"/>
        </w:rPr>
      </w:pPr>
      <w:bookmarkStart w:id="1" w:name="_Toc92390515"/>
      <w:r>
        <w:rPr>
          <w:rFonts w:hint="eastAsia" w:ascii="方正小标宋简体" w:hAnsi="方正小标宋简体" w:eastAsia="方正小标宋简体" w:cs="方正小标宋简体"/>
          <w:sz w:val="32"/>
          <w:szCs w:val="32"/>
        </w:rPr>
        <w:t>一、工作基础与形势分析</w:t>
      </w:r>
      <w:bookmarkEnd w:id="1"/>
    </w:p>
    <w:p>
      <w:pPr>
        <w:pStyle w:val="4"/>
        <w:ind w:firstLine="643" w:firstLineChars="200"/>
        <w:rPr>
          <w:rFonts w:hint="eastAsia" w:ascii="楷体_GB2312" w:hAnsi="楷体_GB2312" w:eastAsia="楷体_GB2312" w:cs="楷体_GB2312"/>
        </w:rPr>
      </w:pPr>
      <w:bookmarkStart w:id="2" w:name="_Toc92390516"/>
      <w:r>
        <w:rPr>
          <w:rFonts w:hint="eastAsia" w:ascii="楷体_GB2312" w:hAnsi="楷体_GB2312" w:eastAsia="楷体_GB2312" w:cs="楷体_GB2312"/>
        </w:rPr>
        <w:t>（一）建设基础</w:t>
      </w:r>
      <w:bookmarkEnd w:id="2"/>
    </w:p>
    <w:p>
      <w:pPr>
        <w:pStyle w:val="5"/>
        <w:ind w:firstLine="602" w:firstLineChars="200"/>
      </w:pPr>
      <w:bookmarkStart w:id="3" w:name="_Toc92390517"/>
      <w:r>
        <w:t>1.区域特征</w:t>
      </w:r>
      <w:bookmarkEnd w:id="3"/>
    </w:p>
    <w:p>
      <w:pPr>
        <w:ind w:firstLine="562"/>
        <w:rPr>
          <w:szCs w:val="28"/>
        </w:rPr>
      </w:pPr>
      <w:r>
        <w:rPr>
          <w:b/>
          <w:szCs w:val="28"/>
        </w:rPr>
        <w:t>国家现代能源经济示范区。</w:t>
      </w:r>
      <w:r>
        <w:rPr>
          <w:szCs w:val="28"/>
        </w:rPr>
        <w:t>抓住国家推动甘肃陇东能源基地高质量发展的重大机遇，加快煤炭、石油、天然气等化石能源资源规模化、绿色化开发，延伸产业链，提升价值链，推动深加工综合利用和多联产发展；建成电力外送通道，带动煤电和风光电新能源产业发展，促进能源优势进一步转化为经济优势。推动用能权、碳排放权交易，推进国家重要的能源生产基地、西北地区重要的石油炼化基地、传统能源和新能源综合利用示范基地建设，构建清洁低碳、安全高效现代能源体系，服务保障国家能源安全。</w:t>
      </w:r>
    </w:p>
    <w:p>
      <w:pPr>
        <w:ind w:firstLine="562"/>
        <w:rPr>
          <w:szCs w:val="28"/>
        </w:rPr>
      </w:pPr>
      <w:r>
        <w:rPr>
          <w:b/>
          <w:szCs w:val="28"/>
        </w:rPr>
        <w:t>现代丝路寒旱农业先行区。</w:t>
      </w:r>
      <w:r>
        <w:rPr>
          <w:szCs w:val="28"/>
        </w:rPr>
        <w:t>立足陇东雨养农业区资源优势，突出寒旱农业特色，加快构建现代农业产业体系、生产体系和经营体系，打造全产业链、全价值链、全循环链的现代农业产业集群，不断提升农产品附加值和综合效益，打造“一带一路”优质农产品基地，走产出高效、产品安全、资源节约、环境友好的现代丝路寒旱农业新路子，不断夯实乡村振兴基础，加快实现从农业大县向农业强县转变。</w:t>
      </w:r>
    </w:p>
    <w:p>
      <w:pPr>
        <w:ind w:firstLine="562"/>
        <w:rPr>
          <w:szCs w:val="28"/>
        </w:rPr>
      </w:pPr>
      <w:r>
        <w:rPr>
          <w:b/>
          <w:szCs w:val="28"/>
        </w:rPr>
        <w:t>国家红色文化传承生态创新区。</w:t>
      </w:r>
      <w:r>
        <w:rPr>
          <w:szCs w:val="28"/>
        </w:rPr>
        <w:t>依托王孝锡等革命烈士事迹，保护传承红色基因，深入挖掘革命文化的丰富内涵与时代价值，弘扬南梁精神，用以滋养初心、淬炼灵魂，发扬革命优良传统，讲好红色故事，大力发展红色教育、红色研学、红色旅游，以文化旅游为牵引优化发展服务经济，加快消费扩容提质，打造陕甘宁革命老区“绿色”旅游精品，建成全国知名红色文化生态旅游胜地，不断扩大“红色庆阳”的知名度和影响力。</w:t>
      </w:r>
    </w:p>
    <w:p>
      <w:pPr>
        <w:ind w:firstLine="562"/>
        <w:rPr>
          <w:szCs w:val="28"/>
        </w:rPr>
      </w:pPr>
      <w:r>
        <w:rPr>
          <w:b/>
          <w:szCs w:val="28"/>
        </w:rPr>
        <w:t>黄河流域水土保持样板区。</w:t>
      </w:r>
      <w:r>
        <w:rPr>
          <w:szCs w:val="28"/>
        </w:rPr>
        <w:t>优化生产生活生态空间格局，牢固树立绿水青山就是金山银山的理念，全域推进山水林田湖草系统治理，综合运用现代科学技术、工程措施，遏制水土流失、土地沙化，提升涵养水源、繁育生物、释氧固碳、净化环境功能，筑牢黄土高原重要生态安全屏障。建立健全生态产品价值转化机制，积极探索生态优先、绿色发展新路子，为黄河流域同类地区生态治理提供样板。</w:t>
      </w:r>
    </w:p>
    <w:p>
      <w:pPr>
        <w:ind w:firstLine="562"/>
        <w:rPr>
          <w:szCs w:val="28"/>
        </w:rPr>
      </w:pPr>
      <w:r>
        <w:rPr>
          <w:b/>
          <w:szCs w:val="28"/>
        </w:rPr>
        <w:t>陕甘宁区域性中心城市。</w:t>
      </w:r>
      <w:r>
        <w:rPr>
          <w:szCs w:val="28"/>
        </w:rPr>
        <w:t>强化交通区位优势，提升城市品质，完善公共服务功能，稳步提高城镇化水平和质量，营造宜居宜业宜游发展环境，激活消费投资市场潜力，促进区域人流、物流、信息流等要素交流汇聚，深度融入关中平原城市群，全面塑造开放合作优势，打造“一带一路”甘肃重要节点城市和甘肃重要经济增长极，服务带动陕甘宁区域高质量发展。</w:t>
      </w:r>
    </w:p>
    <w:p>
      <w:pPr>
        <w:pStyle w:val="5"/>
        <w:ind w:firstLine="602" w:firstLineChars="200"/>
      </w:pPr>
      <w:bookmarkStart w:id="4" w:name="_Toc92390518"/>
      <w:r>
        <w:t>2.工作基础</w:t>
      </w:r>
      <w:bookmarkEnd w:id="4"/>
    </w:p>
    <w:p>
      <w:pPr>
        <w:ind w:firstLine="562"/>
        <w:rPr>
          <w:b/>
          <w:bCs/>
        </w:rPr>
      </w:pPr>
      <w:r>
        <w:rPr>
          <w:b/>
          <w:bCs/>
        </w:rPr>
        <w:t>（1）探索开展了生态文明建设顶层设计</w:t>
      </w:r>
    </w:p>
    <w:p>
      <w:pPr>
        <w:ind w:firstLine="560"/>
        <w:rPr>
          <w:b/>
          <w:bCs/>
        </w:rPr>
      </w:pPr>
      <w:r>
        <w:t>以创建“国家生态文明建设示范县”为突破口，做好生态文明建设的顶层设计。</w:t>
      </w:r>
      <w:r>
        <w:rPr>
          <w:szCs w:val="28"/>
        </w:rPr>
        <w:t>县党委、政府积极推进国家生态文明建设示范县创建工作，印发《宁县生态县建设领导小组办公室关于成立庆阳市宁县创建国家生态文明建设示范县工作小组的通知》（庆宁环委办发〔2021〕），成立了以县政府主要领导为组长的工作小组，工作小组在庆阳市生态环境局宁县分局下设办公室，负责牵头推进国家生态文明建设示范县创建各项工作，将生态文明建设重大目标和工作部署逐步落实到实处。</w:t>
      </w:r>
    </w:p>
    <w:p>
      <w:pPr>
        <w:ind w:firstLine="560"/>
        <w:rPr>
          <w:b/>
          <w:bCs/>
        </w:rPr>
      </w:pPr>
      <w:r>
        <w:t>持续做好生态文明建设的重大目标任务部署。我</w:t>
      </w:r>
      <w:r>
        <w:rPr>
          <w:szCs w:val="28"/>
        </w:rPr>
        <w:t>县生态文明建设过程中已完成生态制度建设方面、生态安全建设方面、生态空间建设方面、生态经济建设方面、生态生活建设方面、生态文化建设方面等6类工程，包括30个重点建设项目，总投资约15.1847亿元。</w:t>
      </w:r>
    </w:p>
    <w:p>
      <w:pPr>
        <w:ind w:firstLine="560"/>
        <w:rPr>
          <w:b/>
          <w:bCs/>
        </w:rPr>
      </w:pPr>
      <w:r>
        <w:t>将生态文明建设工作纳入领导干部党政实绩考核。</w:t>
      </w:r>
      <w:bookmarkStart w:id="5" w:name="_Hlk82011981"/>
      <w:r>
        <w:rPr>
          <w:szCs w:val="28"/>
        </w:rPr>
        <w:t>县委、县政府严格落实《庆阳市市管领导班子和领导干部平时考核办法》（2019年9月30日四届市委常委会第69次会议审定）的工作要求。与庆阳市委、市政府签订了目标管理责任书，将各项任务指标细化分解，建立了精准的考核目标、考核办法和奖惩机</w:t>
      </w:r>
      <w:r>
        <w:rPr>
          <w:kern w:val="0"/>
          <w:szCs w:val="28"/>
        </w:rPr>
        <w:t>制，将生态环境保护工作纳入各级党委政府、有关部门及领导班子政绩考核评价内容，强化督查考核，实行“一票否决”。</w:t>
      </w:r>
    </w:p>
    <w:bookmarkEnd w:id="5"/>
    <w:p>
      <w:pPr>
        <w:ind w:firstLine="560"/>
        <w:rPr>
          <w:kern w:val="0"/>
          <w:szCs w:val="28"/>
        </w:rPr>
      </w:pPr>
      <w:r>
        <w:rPr>
          <w:kern w:val="0"/>
          <w:szCs w:val="28"/>
        </w:rPr>
        <w:t>2016—2020年，由县委组织部主办的副科级以上党政领导干部主体培训班4类16期，共培训3947人次，全县各级党委（党组）的理论学习中心组学习和党支部学习均安排了生态文明建设学习培训内容，副科级以上党政领导干部参加生态文明培训人数比例达到100%。</w:t>
      </w:r>
    </w:p>
    <w:p>
      <w:pPr>
        <w:ind w:firstLine="560"/>
        <w:rPr>
          <w:b/>
          <w:bCs/>
        </w:rPr>
      </w:pPr>
      <w:r>
        <w:t>全面落实河湖长制。</w:t>
      </w:r>
      <w:r>
        <w:rPr>
          <w:color w:val="000000"/>
          <w:szCs w:val="28"/>
        </w:rPr>
        <w:t>全县认真践行“绿水青山就是金山银山”的发展理念，始终把推行“河湖长制”作为生态文明建设的重要举措，按照中央、省、市的部署要求，扎实推进河湖长制各项工作任务落实落地，梳理确定了县、乡、村三级河长名录（县级河长8名，乡级河长36名，村级河长湖长257名），实现了全县河流河道管护责任全覆盖。</w:t>
      </w:r>
    </w:p>
    <w:p>
      <w:pPr>
        <w:ind w:firstLine="562"/>
        <w:rPr>
          <w:b/>
          <w:bCs/>
        </w:rPr>
      </w:pPr>
      <w:r>
        <w:rPr>
          <w:b/>
          <w:bCs/>
        </w:rPr>
        <w:t>（2）体制机制不断改革创新，生态文明建设迈向新高度</w:t>
      </w:r>
    </w:p>
    <w:p>
      <w:pPr>
        <w:ind w:firstLine="560"/>
        <w:rPr>
          <w:b/>
          <w:bCs/>
        </w:rPr>
      </w:pPr>
      <w:r>
        <w:t>发挥规划引领机制。</w:t>
      </w:r>
      <w:r>
        <w:rPr>
          <w:szCs w:val="28"/>
        </w:rPr>
        <w:t>近年来，县委、县政府深入学习贯彻习近平生态文明思想和习近平总书记关于生态环境保护的重要指示批示精神，</w:t>
      </w:r>
      <w:r>
        <w:rPr>
          <w:kern w:val="0"/>
          <w:szCs w:val="28"/>
        </w:rPr>
        <w:t>切实把生态文明建设放在更加突出的位置。</w:t>
      </w:r>
      <w:r>
        <w:rPr>
          <w:szCs w:val="28"/>
        </w:rPr>
        <w:t>2016年，成立了由县政府主要领导任组长，各乡镇及相关部门主要负责人为成员的宁县创建国家生态文明建设示范县工作领导小组，对创建工作进行统一部署、统筹推进，并编制完成</w:t>
      </w:r>
      <w:bookmarkStart w:id="6" w:name="_Hlk82012139"/>
      <w:r>
        <w:rPr>
          <w:szCs w:val="28"/>
        </w:rPr>
        <w:t>《宁县国家生态文明建设示范县规划（2016-2018）》</w:t>
      </w:r>
      <w:bookmarkEnd w:id="6"/>
      <w:r>
        <w:rPr>
          <w:szCs w:val="28"/>
        </w:rPr>
        <w:t>，充分发挥规划的引领作用。完成国家生态文明建设示范县创建中期评估，目前涉及创建任务的六大领域、十大任务、37项指标中，生态文明建设规划等12项约束性指标、自然资源资产离任审计等13项参考性指标达到考核要求，剩下6项约束性指标力争2022年完成。</w:t>
      </w:r>
    </w:p>
    <w:p>
      <w:pPr>
        <w:ind w:firstLine="560"/>
        <w:rPr>
          <w:b/>
          <w:bCs/>
        </w:rPr>
      </w:pPr>
      <w:r>
        <w:t>全面落实政治责任。</w:t>
      </w:r>
      <w:r>
        <w:rPr>
          <w:kern w:val="0"/>
          <w:szCs w:val="28"/>
        </w:rPr>
        <w:t>近年来，县委、县政府及时召开了全县环境保护工作推进会、问题整改及大气、水污染防治等专题会议35次，先后深入现场检查调研134次，出台生态环保相关规定、规范性文件及制度方案等26项，确保了各项工作任务有效落实，做到了思想上高度统一，行动上步调一致。2021年成立了由县委、县政府主要领导担任组长、分管领导担任副组长、相关部门负责人为成员的“国家生态文明建设示范县领导小组”，在生态环境局宁县分局设“宁县创建国建生态文明建设示范县领导小组办公室”，统筹推进全县生态文明建设和生态环境保护工作；健全应对气候变化及节能减排、污染防治等工作机制，及时研究解决生态环境保护工作中的重大问题；建立重点环境问题县级领导牵头包抓督办机制，有力保障和推动了生态文明建设各项工作。</w:t>
      </w:r>
    </w:p>
    <w:p>
      <w:pPr>
        <w:ind w:firstLine="560"/>
        <w:rPr>
          <w:b/>
          <w:bCs/>
        </w:rPr>
      </w:pPr>
      <w:r>
        <w:t>及时公开环境信息。</w:t>
      </w:r>
      <w:r>
        <w:rPr>
          <w:kern w:val="0"/>
          <w:szCs w:val="28"/>
        </w:rPr>
        <w:t>近年来，我县充分利用互联网信息平台，将全县各类生态环境信息通过县政府网站、庆阳市生态环境局宁县分局网站、报纸等平台及时、主动公开，主要包括环境空气质量月报、饮用水水源安全、建设项目行政审批信息、全县重点监控企事业单位环境信息、环境执法检查信息、生态环境保护督察反馈问题整改信息等，并定期编制政府信息公开年度报告，生态环境信息公开率达到100%。</w:t>
      </w:r>
    </w:p>
    <w:p>
      <w:pPr>
        <w:ind w:firstLine="560"/>
        <w:rPr>
          <w:b/>
          <w:bCs/>
        </w:rPr>
      </w:pPr>
      <w:r>
        <w:t>依法开展规划环评。</w:t>
      </w:r>
      <w:r>
        <w:rPr>
          <w:kern w:val="0"/>
          <w:szCs w:val="28"/>
        </w:rPr>
        <w:t>近年来，我县依法开展各类规划的环境影响评价工作，在决策中综合考虑、统筹兼顾区域产业发展、生产力布局与环境容量和生态功能，科学合理制定经济社会发展规划，从规划源头防止环境污染和生态破坏。严格按照法律规定和程序开展规划环境影响评价工作，认真做好规划环境影响篇章、说明和报告书的审查工作。</w:t>
      </w:r>
    </w:p>
    <w:p>
      <w:pPr>
        <w:ind w:firstLine="562"/>
        <w:rPr>
          <w:b/>
          <w:bCs/>
        </w:rPr>
      </w:pPr>
      <w:r>
        <w:rPr>
          <w:b/>
          <w:bCs/>
        </w:rPr>
        <w:t>（3）产业绿色发展加快，筑牢了生态文明建设基础</w:t>
      </w:r>
    </w:p>
    <w:p>
      <w:pPr>
        <w:ind w:firstLine="560"/>
        <w:rPr>
          <w:b/>
          <w:bCs/>
        </w:rPr>
      </w:pPr>
      <w:r>
        <w:t>综合实力持续提升。</w:t>
      </w:r>
      <w:r>
        <w:rPr>
          <w:szCs w:val="28"/>
        </w:rPr>
        <w:t>2020年，全县完成生产总值59.6亿元，同比增长2.3%。其中，第一产业增加值完成18.85亿元，增长4.5%；第二产业增加值完成9.07亿元，增长0.5%；第三产业增加值完成31.7亿元，增长2.0%。农村居民可支配收入10378.12元，增长7.7%；城镇居民可支配收入33491.64元，增长4.9%。全县全口径财政收入、公共财政预算收入比“十二五”末分布增长61.6%和50.9%；城乡居民人均可支配收入比“十二五”末分布增长44.6%和52.1%；非公经济增加值增速比“十二五”末提高1.2个百分点，为建设美丽幸福新宁县铸就了坚实的基础。</w:t>
      </w:r>
    </w:p>
    <w:p>
      <w:pPr>
        <w:ind w:firstLine="560"/>
        <w:rPr>
          <w:b/>
          <w:bCs/>
        </w:rPr>
      </w:pPr>
      <w:r>
        <w:t>结构调整步伐加快。</w:t>
      </w:r>
      <w:r>
        <w:rPr>
          <w:szCs w:val="28"/>
        </w:rPr>
        <w:t>十大生态产业比重达到17%，三次产业结构调整为31.6:15.2:53.2，三产比重上升12.5个百分点。2019年，宁县固定资产投资完成33.32亿元，比2018年增长14.9%。工业集中区承载能力不断增强，中科微聚、德茂样、中真管业等43户企业入园投建，工业总产值达到44.31亿元；建成印象义渠.莲花池、义渠百花园等一批景区景点，瓦斜水吉村、湘乐莲池村分别入选全国乡村旅游重点村、全省乡村旅游示范村。电商交易额年均增长31%。新庄煤矿建设取得重大进展。原油产量比“十二五”末提高2.13倍。</w:t>
      </w:r>
    </w:p>
    <w:p>
      <w:pPr>
        <w:ind w:firstLine="560"/>
        <w:rPr>
          <w:b/>
          <w:bCs/>
        </w:rPr>
      </w:pPr>
      <w:r>
        <w:t>培育绿色富民产业。</w:t>
      </w:r>
      <w:r>
        <w:rPr>
          <w:szCs w:val="28"/>
        </w:rPr>
        <w:t>坚持创新驱动发展，培育绿色富民新产业。全县建成全国最大的矮化自根砧苹果基地，带动栽植优质苹果45万亩、苗木4000亩，“人类第四个苹果”入选中国农业品牌目录，国家现代农业产业园顺利通过评估验收，现代苹果产业“宁县模式”走向全国。草畜产业快速发展，建成瓦斜信合肉羊、新兴旺早胜牛、东方希望生猪等规模养殖场157个，较“十二五”末增加38个。新建标准化奶牛场1个、生态牧场2处，引进澳大利亚荷斯坦奶牛600头。建成千亩中药材基地3个，种植中药材6.68万亩。</w:t>
      </w:r>
    </w:p>
    <w:p>
      <w:pPr>
        <w:ind w:firstLine="560"/>
        <w:rPr>
          <w:b/>
          <w:bCs/>
        </w:rPr>
      </w:pPr>
      <w:r>
        <w:t>基础设施明显改善。</w:t>
      </w:r>
      <w:r>
        <w:rPr>
          <w:szCs w:val="28"/>
        </w:rPr>
        <w:t>500万元以上基础建设项目实施1526个，完成投资628亿元，其中招商引资155亿元。全县人民翘首以盼的银西高铁通车运营，宁县正式迈进“高铁时代”；重大水资源配置工程小盘河水库基本建成。县城新区开发步伐加快，生态公园等一批重点项目顺利实施，人气商气不断聚集，一座充满生机的现代化新区加速崛起。老城区集中供热、棚户区改造、九龙广场改扩建等工程全面完成，各项公共服务设施配套到位。小城镇建设不断加强，春荣、新庄等11个乡镇完成街区改造，和盛、早胜被认定为全国重点镇，全县城镇化率由“十二五”末的26.75%提高到32.09%。</w:t>
      </w:r>
    </w:p>
    <w:p>
      <w:pPr>
        <w:ind w:firstLine="562"/>
        <w:rPr>
          <w:b/>
          <w:bCs/>
        </w:rPr>
      </w:pPr>
      <w:r>
        <w:rPr>
          <w:b/>
          <w:bCs/>
        </w:rPr>
        <w:t>（4）生态环境质量持续改善，生态文明建设稳步推进</w:t>
      </w:r>
    </w:p>
    <w:p>
      <w:pPr>
        <w:ind w:firstLine="560"/>
        <w:rPr>
          <w:szCs w:val="28"/>
        </w:rPr>
      </w:pPr>
      <w:r>
        <w:rPr>
          <w:szCs w:val="28"/>
        </w:rPr>
        <w:t>在污染防治和生态保护方面，全县统筹“建、治、改、管”，兼顾水、气、土、声四大要素，抓重点、补短板、强弱项、攻难题，扎实推进生态环保重点任务落实，持续改善生态环境质量，稳步推进生态文明建设。</w:t>
      </w:r>
      <w:r>
        <w:t>2020年，空气质量监测天数350天，优良天数334天，优良天气率为95.5%，超额完成了市上下达的84%的考核要求，其中PM</w:t>
      </w:r>
      <w:r>
        <w:rPr>
          <w:vertAlign w:val="subscript"/>
        </w:rPr>
        <w:t>10</w:t>
      </w:r>
      <w:r>
        <w:t>年均值为76微克/立方米，达到了市上下达的80微克/立方米年度目标，PM</w:t>
      </w:r>
      <w:r>
        <w:rPr>
          <w:vertAlign w:val="subscript"/>
        </w:rPr>
        <w:t>2.5</w:t>
      </w:r>
      <w:r>
        <w:t>年均值为34微克/立方米，达到国家二级标准，其余4项</w:t>
      </w:r>
      <w:r>
        <w:rPr>
          <w:szCs w:val="28"/>
        </w:rPr>
        <w:t>（CO、O</w:t>
      </w:r>
      <w:r>
        <w:rPr>
          <w:szCs w:val="28"/>
          <w:vertAlign w:val="subscript"/>
        </w:rPr>
        <w:t>3</w:t>
      </w:r>
      <w:r>
        <w:rPr>
          <w:szCs w:val="28"/>
        </w:rPr>
        <w:t>、PM</w:t>
      </w:r>
      <w:r>
        <w:rPr>
          <w:szCs w:val="28"/>
          <w:vertAlign w:val="subscript"/>
        </w:rPr>
        <w:t>10</w:t>
      </w:r>
      <w:r>
        <w:rPr>
          <w:szCs w:val="28"/>
        </w:rPr>
        <w:t>、PM</w:t>
      </w:r>
      <w:r>
        <w:rPr>
          <w:szCs w:val="28"/>
          <w:vertAlign w:val="subscript"/>
        </w:rPr>
        <w:t>2.5</w:t>
      </w:r>
      <w:r>
        <w:rPr>
          <w:szCs w:val="28"/>
        </w:rPr>
        <w:t>）</w:t>
      </w:r>
      <w:r>
        <w:t>指标浓度均比去年同期均有所下降，1月份位居全省空气质量改善红榜第一名，3、4月份位居全省空气质量改善红榜前列，全年位居全市空气质量改善排名第一，改善幅度明显。</w:t>
      </w:r>
      <w:r>
        <w:rPr>
          <w:szCs w:val="28"/>
        </w:rPr>
        <w:t>地表水一个国考、两个省考断面扣除上游入境来水影响后全部达标，地下水环境质量保持稳定。全县声环境质量保持稳定。全县化学需氧量、氨氮、二氧化硫和氮氧化物等四项主要污染物排放量完成市上下达的减排目标。</w:t>
      </w:r>
    </w:p>
    <w:p>
      <w:pPr>
        <w:ind w:firstLine="560"/>
      </w:pPr>
      <w:r>
        <w:t>大气环境防治持续加强。</w:t>
      </w:r>
      <w:r>
        <w:rPr>
          <w:szCs w:val="28"/>
        </w:rPr>
        <w:t>深入贯彻“大气十条”，严格落实“抑尘、控煤、减污、治源、限行、禁燃、增绿”等七项防治措施。严控城区扬尘；综合整治锅炉；严管煤炭市场；加大了餐饮油烟污染治理力度；开展城乡冬季清洁取暖；强化机动车污染防治；开展禁烧专项整治行动；深入推进县城绿化、美化、净化、亮化工程。</w:t>
      </w:r>
    </w:p>
    <w:p>
      <w:pPr>
        <w:ind w:firstLine="560"/>
        <w:rPr>
          <w:b/>
          <w:bCs/>
        </w:rPr>
      </w:pPr>
      <w:r>
        <w:t>水生态环境保护不断完善。</w:t>
      </w:r>
      <w:r>
        <w:rPr>
          <w:szCs w:val="28"/>
        </w:rPr>
        <w:t>严格按照市委、市政府“前端排查整治，中端强化处理，末端生态净化”的水污染防治工作要求，坚持精准治污、科学治污、依法治污，全面推进水污染防治各项任务落实。17个乡镇累计投资435万元，在污水处理设施末端建成人工湿地628亩，栽植、补植芦苇1380万株、竹柳9350棵。宁县生态修复与环境保护项目（高山堡村等人工湿地）完成建设任务，县城污水处理厂提标改造工程12月底全部建成，项目实施后进一步改善马莲河宁县段地表水环境质量。2017-2020年城镇污水处理率分别为：87.70％、78.59％、85.93％、87.46％。</w:t>
      </w:r>
    </w:p>
    <w:p>
      <w:pPr>
        <w:ind w:firstLine="560"/>
      </w:pPr>
      <w:r>
        <w:t>土壤污染调查更加全面。</w:t>
      </w:r>
      <w:r>
        <w:rPr>
          <w:szCs w:val="28"/>
        </w:rPr>
        <w:t>深入贯彻“土十条”，突出重点区域、重点企业、重点污染物，配合省市相关部门开展了土壤详查点位布设与核实、土壤污染监测点位样品采集等相关工作，共采集农产品样品20份，土样20份。对全县涉及土壤污染的12户重点企业及2户已入库企业进行了全面排查，按照筛选原则，上报土壤污染重点行业企业2户，并对这2个重点企业及企业周边10个点位布设情况进行了现场核查，按期完成土壤详查的各项工作任务。</w:t>
      </w:r>
    </w:p>
    <w:p>
      <w:pPr>
        <w:ind w:firstLine="560"/>
        <w:rPr>
          <w:b/>
          <w:bCs/>
        </w:rPr>
      </w:pPr>
      <w:r>
        <w:t>生态修复治理成效显著。</w:t>
      </w:r>
      <w:r>
        <w:rPr>
          <w:szCs w:val="28"/>
        </w:rPr>
        <w:t>大规模国土绿化和“再造一个子午岭”“固沟保塬”工程深入推进，建成万亩苗林示范点13个，完成造林109万亩，水土治理面积比“十二五”末提高1.16倍，森林覆盖率达到41%。</w:t>
      </w:r>
      <w:r>
        <w:rPr>
          <w:kern w:val="0"/>
          <w:szCs w:val="28"/>
        </w:rPr>
        <w:t>全县着力构建塬面径流调控、沟头沟岸加固防护、坡面植被恢复、沟道水沙集蓄“四道防线”。子午岭自然保护区、县级饮用水源地等环境敏感区内违法开采项目已全部清理退出，协调长庆油田实施了油气泄漏防治、废弃井封堵等老油区污染治理项目。</w:t>
      </w:r>
    </w:p>
    <w:p>
      <w:pPr>
        <w:ind w:firstLine="560"/>
        <w:rPr>
          <w:b/>
          <w:bCs/>
        </w:rPr>
      </w:pPr>
      <w:r>
        <w:t>生态环境风险防范得力。</w:t>
      </w:r>
      <w:r>
        <w:rPr>
          <w:szCs w:val="28"/>
        </w:rPr>
        <w:t>2021年1至8月，全县24家医疗机构，医疗废物产生约9.6吨，由市医废中心拉运处置，处置率100%。</w:t>
      </w:r>
      <w:bookmarkStart w:id="236" w:name="_GoBack"/>
      <w:bookmarkEnd w:id="236"/>
      <w:r>
        <w:rPr>
          <w:rFonts w:hint="eastAsia"/>
          <w:szCs w:val="28"/>
          <w:lang w:eastAsia="zh-CN"/>
        </w:rPr>
        <w:t>截至目前</w:t>
      </w:r>
      <w:r>
        <w:rPr>
          <w:szCs w:val="28"/>
        </w:rPr>
        <w:t>，今年全县共转移处置危险废物339.045吨，全部转移有资质危废处置公司处置，处置率100%。2020年全县从重点油田开发、涉废企业、医疗机构及畜禽养殖等四方面对县域内固体（危险）废物及土壤污染防治进行了全面监管执法。</w:t>
      </w:r>
    </w:p>
    <w:p>
      <w:pPr>
        <w:ind w:firstLine="562"/>
        <w:rPr>
          <w:b/>
          <w:bCs/>
        </w:rPr>
      </w:pPr>
      <w:r>
        <w:rPr>
          <w:b/>
          <w:bCs/>
        </w:rPr>
        <w:t>（5）人居环境持续改善和优化</w:t>
      </w:r>
    </w:p>
    <w:p>
      <w:pPr>
        <w:ind w:firstLine="560"/>
        <w:rPr>
          <w:b/>
          <w:bCs/>
        </w:rPr>
      </w:pPr>
      <w:r>
        <w:t>生态绿色创建成果丰硕。</w:t>
      </w:r>
      <w:r>
        <w:rPr>
          <w:szCs w:val="28"/>
        </w:rPr>
        <w:t>全县累计申报国家级生态乡镇6个，创建省级生态乡镇18个、省级生态村7个、市级生态村75个，创建省级绿色学校4所、省级绿色社区2个、市级绿色学校34所、绿色机关11个、绿色社区3个、绿色医院1个、绿色饭店1个。</w:t>
      </w:r>
    </w:p>
    <w:p>
      <w:pPr>
        <w:ind w:firstLine="560"/>
        <w:rPr>
          <w:b/>
          <w:bCs/>
        </w:rPr>
      </w:pPr>
      <w:r>
        <w:t>农村人居环境持续改善。</w:t>
      </w:r>
      <w:r>
        <w:rPr>
          <w:szCs w:val="28"/>
        </w:rPr>
        <w:t>坚持把农村人居环境整治作为乡村振兴的第一场战役，统筹谋划协调，积极推进农村“垃圾革命”“厕所革命”“风貌革命”三大革命等专项行动，全面推动农村人居环境持续改善。加快推进农村“厕所革命”，改造农村户厕31979户（其中，2019年之前改厕2076户，2019-2021年，分别改厕9412户、8223户、12268户），全县卫生户厕普及率达44.96%，在全县18个乡镇街区及公路沿线新建公共卫生厕所19座。</w:t>
      </w:r>
    </w:p>
    <w:p>
      <w:pPr>
        <w:ind w:firstLine="560"/>
        <w:rPr>
          <w:b/>
          <w:bCs/>
        </w:rPr>
      </w:pPr>
      <w:r>
        <w:t>生活垃圾分类无害处置。</w:t>
      </w:r>
      <w:r>
        <w:rPr>
          <w:szCs w:val="28"/>
        </w:rPr>
        <w:t>2016年以来，全县共争取中、省、市农村环境整治专项资金1048万元，在全县16个乡镇和26个行政村组织实施了农村环境整治项目，累计完成投资826万元。建成垃圾暂存点41处、垃圾中转站1处、公共厕所12座；购置压缩式垃圾清运车2辆、小型垃圾清运车18辆、三轮垃圾清运车8辆、垃圾清运铲车1辆、小型吸粪车2辆、垃圾收集转运箱163个、人力垃圾保洁车204辆、电动保洁车39辆、分类式垃圾箱711个、户用垃圾桶900个。全县厨余垃圾拉运至西峰区建成的厨余垃圾应急处置中心，依托圣元垃圾焚烧发电厂作为终端无害化处理设施，日处理垃圾600吨、发电15万千瓦时。县城生活垃圾由县城管局统一拉运市庆阳圣元环保电力有限公司焚烧处置，乡镇生活垃圾由乡镇府拉运至电力公司焚烧。县城生活垃圾无害化处理率达到98%。</w:t>
      </w:r>
    </w:p>
    <w:p>
      <w:pPr>
        <w:ind w:firstLine="562"/>
        <w:rPr>
          <w:b/>
          <w:bCs/>
        </w:rPr>
      </w:pPr>
      <w:r>
        <w:rPr>
          <w:b/>
          <w:bCs/>
        </w:rPr>
        <w:t>（6）做好生态文明宣传工作，生态文明理念深入人心</w:t>
      </w:r>
    </w:p>
    <w:p>
      <w:pPr>
        <w:ind w:firstLine="560"/>
        <w:rPr>
          <w:b/>
          <w:bCs/>
        </w:rPr>
      </w:pPr>
      <w:r>
        <w:t>加强生态文明宣传角度，提升公众对生态文明理念的认知。</w:t>
      </w:r>
      <w:r>
        <w:rPr>
          <w:snapToGrid w:val="0"/>
          <w:kern w:val="0"/>
          <w:szCs w:val="28"/>
        </w:rPr>
        <w:t>宁县积极探索创新“多措并举，扎实开展主题宣传活动”工作模式，提升了服务群众水平，全民参与的环境管理体系进一步健全。在每年的“3·12植树节”“4·22世界地球日”、“6·5环境日”、“全国低碳日”等节日开展绿色低碳、节能环保、生态发展的宣传教育活动，提高公众对生态文明的认知</w:t>
      </w:r>
      <w:r>
        <w:rPr>
          <w:b/>
          <w:bCs/>
          <w:snapToGrid w:val="0"/>
          <w:kern w:val="0"/>
          <w:szCs w:val="28"/>
        </w:rPr>
        <w:t>。</w:t>
      </w:r>
      <w:r>
        <w:rPr>
          <w:snapToGrid w:val="0"/>
          <w:kern w:val="0"/>
          <w:szCs w:val="28"/>
        </w:rPr>
        <w:t>2020年成功举办宁县1-4月份水、空气环境质量新闻发布会；积极组织环保设施向公众开放周活动；多部门合力举办六五环境日主题宣传活动。</w:t>
      </w:r>
      <w:r>
        <w:rPr>
          <w:szCs w:val="28"/>
        </w:rPr>
        <w:t>2020年，公众对生态文明建设的参与度和满意度分别达到88.37%和89.27%。</w:t>
      </w:r>
    </w:p>
    <w:p>
      <w:pPr>
        <w:ind w:firstLine="560"/>
        <w:rPr>
          <w:b/>
          <w:bCs/>
        </w:rPr>
      </w:pPr>
      <w:r>
        <w:t>开展党政领导干部的生态文明培训，提升政府生态文明建设能力。</w:t>
      </w:r>
      <w:r>
        <w:rPr>
          <w:snapToGrid w:val="0"/>
          <w:kern w:val="0"/>
          <w:szCs w:val="28"/>
        </w:rPr>
        <w:t>自党的十八大以来，我县将习近平生态文明思想的落实作为党委、政府的核心工作来抓，召开专题会议落实生态文明建设，如马莲河、蒲河流域综合整治专题会议、全县大气污染防治工作专题会议、中央环保督察反馈意见整改落实专题会议等，将生态文明建设的任务措施和行动目标具体化，迅速落实，并在相关会议开展对思想认知、业务开展等进行专题培训，提高领导干部的政治觉悟和生态文明认知水平。</w:t>
      </w:r>
    </w:p>
    <w:p>
      <w:pPr>
        <w:ind w:firstLine="562"/>
        <w:rPr>
          <w:b/>
          <w:bCs/>
        </w:rPr>
      </w:pPr>
      <w:r>
        <w:rPr>
          <w:b/>
          <w:bCs/>
        </w:rPr>
        <w:t>（7）阶段性成果</w:t>
      </w:r>
    </w:p>
    <w:p>
      <w:pPr>
        <w:ind w:firstLine="560"/>
        <w:rPr>
          <w:b/>
          <w:bCs/>
        </w:rPr>
      </w:pPr>
      <w:r>
        <w:t>生态空间布局进一步合理优化，守住了生态底线。</w:t>
      </w:r>
      <w:r>
        <w:rPr>
          <w:szCs w:val="28"/>
        </w:rPr>
        <w:t>严守底线，建设发展未突破生态保护红线。我县委托资质单位开展了县域生态保护红线划定，初步确定全县生态保护红线面积为37889.46 hm</w:t>
      </w:r>
      <w:r>
        <w:rPr>
          <w:szCs w:val="28"/>
          <w:vertAlign w:val="superscript"/>
        </w:rPr>
        <w:t>2</w:t>
      </w:r>
      <w:r>
        <w:rPr>
          <w:szCs w:val="28"/>
        </w:rPr>
        <w:t>，并开展了生态保护红线评估自查。严格保护了辖区内的自然保护地，并进行了规范化管理。我县境内的自然保护地有1块，为子午岭省级自然保护区。</w:t>
      </w:r>
    </w:p>
    <w:p>
      <w:pPr>
        <w:ind w:firstLine="560"/>
        <w:rPr>
          <w:szCs w:val="28"/>
        </w:rPr>
      </w:pPr>
      <w:r>
        <w:rPr>
          <w:szCs w:val="28"/>
        </w:rPr>
        <w:t>2020年完成河湖管理范围划定和河湖岸线保护与利用规划编制工作，埋设界桩3412个，和设立公示牌35个；共划分功能区42个，规划总河长201.38km。其中：岸线保护区2个，岸线保留区17个，岸线控制利用区19个，岸线开发利用区4个；投资65.79万元完成城北河、九龙河、湘乐河、平道川4条河流健康评估工作，评估长度215.41km，4条河流河段健康等级均达到健康指标。</w:t>
      </w:r>
    </w:p>
    <w:p>
      <w:pPr>
        <w:ind w:firstLine="560"/>
        <w:rPr>
          <w:szCs w:val="28"/>
        </w:rPr>
      </w:pPr>
      <w:r>
        <w:rPr>
          <w:szCs w:val="28"/>
        </w:rPr>
        <w:t>启动国土空间分区规划编制，逐步优化了生产、生活、生态空间格局。《庆阳市宁县国土空间规划（2020-2035年）》正在编制中，规划编制范围为宁县管辖范围，行政范围2627km</w:t>
      </w:r>
      <w:r>
        <w:rPr>
          <w:szCs w:val="28"/>
          <w:vertAlign w:val="superscript"/>
        </w:rPr>
        <w:t>2</w:t>
      </w:r>
      <w:r>
        <w:rPr>
          <w:szCs w:val="28"/>
        </w:rPr>
        <w:t>，规划基期为2020年，近期至2025年，远期至2035年，远景展望至2050年；初步确定了宁县的发展定位、发展规模、“三线”划定和空间战略与布局方案，逐步优化了生态文明建设格局。</w:t>
      </w:r>
    </w:p>
    <w:p>
      <w:pPr>
        <w:ind w:firstLine="560"/>
        <w:rPr>
          <w:szCs w:val="28"/>
        </w:rPr>
      </w:pPr>
      <w:r>
        <w:t>生态环境质量持续改善。</w:t>
      </w:r>
      <w:r>
        <w:rPr>
          <w:szCs w:val="28"/>
        </w:rPr>
        <w:t>空气环境质量。2016-2020年，全县SO</w:t>
      </w:r>
      <w:r>
        <w:rPr>
          <w:szCs w:val="28"/>
          <w:vertAlign w:val="subscript"/>
        </w:rPr>
        <w:t>2</w:t>
      </w:r>
      <w:r>
        <w:rPr>
          <w:szCs w:val="28"/>
        </w:rPr>
        <w:t>、NO</w:t>
      </w:r>
      <w:r>
        <w:rPr>
          <w:szCs w:val="28"/>
          <w:vertAlign w:val="subscript"/>
        </w:rPr>
        <w:t>X</w:t>
      </w:r>
      <w:r>
        <w:rPr>
          <w:szCs w:val="28"/>
        </w:rPr>
        <w:t>、PM</w:t>
      </w:r>
      <w:r>
        <w:rPr>
          <w:szCs w:val="28"/>
          <w:vertAlign w:val="subscript"/>
        </w:rPr>
        <w:t>10</w:t>
      </w:r>
      <w:r>
        <w:rPr>
          <w:szCs w:val="28"/>
        </w:rPr>
        <w:t>、PM</w:t>
      </w:r>
      <w:r>
        <w:rPr>
          <w:szCs w:val="28"/>
          <w:vertAlign w:val="subscript"/>
        </w:rPr>
        <w:t>2.5</w:t>
      </w:r>
      <w:r>
        <w:rPr>
          <w:szCs w:val="28"/>
        </w:rPr>
        <w:t>年均浓度呈改善趋势，至2020年环境空气质量已满足《环境空气质量标准》（GB3095-2012）的二级标准要求，PM</w:t>
      </w:r>
      <w:r>
        <w:rPr>
          <w:szCs w:val="28"/>
          <w:vertAlign w:val="subscript"/>
        </w:rPr>
        <w:t>2.5</w:t>
      </w:r>
      <w:r>
        <w:rPr>
          <w:szCs w:val="28"/>
        </w:rPr>
        <w:t>浓度38µg/m</w:t>
      </w:r>
      <w:r>
        <w:rPr>
          <w:szCs w:val="28"/>
          <w:vertAlign w:val="superscript"/>
        </w:rPr>
        <w:t>3</w:t>
      </w:r>
      <w:r>
        <w:rPr>
          <w:szCs w:val="28"/>
        </w:rPr>
        <w:t>，高于年度目标35µg/m</w:t>
      </w:r>
      <w:r>
        <w:rPr>
          <w:szCs w:val="28"/>
          <w:vertAlign w:val="superscript"/>
        </w:rPr>
        <w:t>3</w:t>
      </w:r>
      <w:r>
        <w:rPr>
          <w:szCs w:val="28"/>
        </w:rPr>
        <w:t>，空气质量优良率95.5%，超额完成了市上下达的84%的考核要求。地表水环境。国控断面：马莲河宁县桥头国考断面水质综合评价为《地表水环境质量标准》（GB3838-2002）Ⅳ类水质，达到水质控制断面地表水功能区划要求；其中2020年1、2月份水质达到Ⅱ类、4、9月份水质达到了Ⅲ类标准，出现了优于Ⅲ类水质标准的月份，较2018和2019年同期水质明显改善，水环境质量提升显著。全县建成区无黑臭水体。饮用水水源水质。县城及各乡镇饮用水各年度水质状况良好，呈平稳趋势，水质达标率为100%。地下水质量。全县地下水共设置3个监测点位（城区水源（城乡供水站一水厂1号井）、马坪水厂2号井、水门沟3号井），因区域地质环境背景值影响，水质超标。声环境质量。“十三五”期间，宁县县城城区区域环境噪声平均等效声级均符合《声环境质量标准》（GB3096-2008）1类昼间标准，交通噪声平均等效声级符合《声环境质量标准》（GB3096-2008）4类标准。县域声环境质量总体保持稳定。土壤环境质量。深入贯彻“土十条”，突出重点区域、重点企业、重点污染物，严密防范、综合治理，土壤污染逐渐加重趋势得到遏制。加大土壤污染监管和治理力度，开展土壤染状况详查，建立土壤污染风险源清单和环境管理档案，实施土壤污染分类管控。落实农用地土壤监测采集点位20个，对全县重点粮油生产区、蔬菜种植区、饮用水源地、畜禽养殖场周边土壤开展土壤环境质量现状监测，确保土壤环境安全。</w:t>
      </w:r>
    </w:p>
    <w:p>
      <w:pPr>
        <w:ind w:firstLine="560"/>
        <w:rPr>
          <w:b/>
          <w:bCs/>
        </w:rPr>
      </w:pPr>
      <w:r>
        <w:t>资源能源开发利用与消耗保持在合理范围。</w:t>
      </w:r>
      <w:r>
        <w:rPr>
          <w:szCs w:val="28"/>
        </w:rPr>
        <w:t>能源消耗。2020年，全县能源消费总量为308.24万吨标煤，能耗增幅满足“十三五”期间控制在30万吨标煤以内的工作目标；2016-2020年，宁县单位地区生产总值能耗呈降低趋势。土地资源开发利用。2020年，全县耕地总面积66.6879km</w:t>
      </w:r>
      <w:r>
        <w:rPr>
          <w:szCs w:val="28"/>
          <w:vertAlign w:val="superscript"/>
        </w:rPr>
        <w:t>2</w:t>
      </w:r>
      <w:r>
        <w:rPr>
          <w:szCs w:val="28"/>
        </w:rPr>
        <w:t>。2016年-2020年，我县建设用地面积分别为282.759km</w:t>
      </w:r>
      <w:r>
        <w:rPr>
          <w:szCs w:val="28"/>
          <w:vertAlign w:val="superscript"/>
        </w:rPr>
        <w:t>2</w:t>
      </w:r>
      <w:r>
        <w:rPr>
          <w:szCs w:val="28"/>
        </w:rPr>
        <w:t>、284.9024km</w:t>
      </w:r>
      <w:r>
        <w:rPr>
          <w:szCs w:val="28"/>
          <w:vertAlign w:val="superscript"/>
        </w:rPr>
        <w:t>2</w:t>
      </w:r>
      <w:r>
        <w:rPr>
          <w:szCs w:val="28"/>
        </w:rPr>
        <w:t>、288.7837km</w:t>
      </w:r>
      <w:r>
        <w:rPr>
          <w:szCs w:val="28"/>
          <w:vertAlign w:val="superscript"/>
        </w:rPr>
        <w:t>2</w:t>
      </w:r>
      <w:r>
        <w:rPr>
          <w:szCs w:val="28"/>
        </w:rPr>
        <w:t>、288.7837km</w:t>
      </w:r>
      <w:r>
        <w:rPr>
          <w:szCs w:val="28"/>
          <w:vertAlign w:val="superscript"/>
        </w:rPr>
        <w:t>2</w:t>
      </w:r>
      <w:r>
        <w:rPr>
          <w:szCs w:val="28"/>
        </w:rPr>
        <w:t>、288.7837km</w:t>
      </w:r>
      <w:r>
        <w:rPr>
          <w:szCs w:val="28"/>
          <w:vertAlign w:val="superscript"/>
        </w:rPr>
        <w:t>2</w:t>
      </w:r>
      <w:r>
        <w:rPr>
          <w:szCs w:val="28"/>
        </w:rPr>
        <w:t>，单位地区生产总值建设用地使用面积为0.0455亩/万元、0.0423亩/万元、0.0401亩/万元。2017年-2018年，全县单位国内生产总值建设用地使用面积下降率分别为6.87%、5.16%。水资源开发利用。2016年-2020年，全县用水量分别为6569万m</w:t>
      </w:r>
      <w:r>
        <w:rPr>
          <w:szCs w:val="28"/>
          <w:vertAlign w:val="superscript"/>
        </w:rPr>
        <w:t>3</w:t>
      </w:r>
      <w:r>
        <w:rPr>
          <w:szCs w:val="28"/>
        </w:rPr>
        <w:t>、6569万m</w:t>
      </w:r>
      <w:r>
        <w:rPr>
          <w:szCs w:val="28"/>
          <w:vertAlign w:val="superscript"/>
        </w:rPr>
        <w:t>3</w:t>
      </w:r>
      <w:r>
        <w:rPr>
          <w:szCs w:val="28"/>
        </w:rPr>
        <w:t>、6649万m</w:t>
      </w:r>
      <w:r>
        <w:rPr>
          <w:szCs w:val="28"/>
          <w:vertAlign w:val="superscript"/>
        </w:rPr>
        <w:t>3</w:t>
      </w:r>
      <w:r>
        <w:rPr>
          <w:szCs w:val="28"/>
        </w:rPr>
        <w:t>、6890万m</w:t>
      </w:r>
      <w:r>
        <w:rPr>
          <w:szCs w:val="28"/>
          <w:vertAlign w:val="superscript"/>
        </w:rPr>
        <w:t>3</w:t>
      </w:r>
      <w:r>
        <w:rPr>
          <w:szCs w:val="28"/>
        </w:rPr>
        <w:t>、8608万m</w:t>
      </w:r>
      <w:r>
        <w:rPr>
          <w:szCs w:val="28"/>
          <w:vertAlign w:val="superscript"/>
        </w:rPr>
        <w:t>3</w:t>
      </w:r>
      <w:r>
        <w:rPr>
          <w:szCs w:val="28"/>
        </w:rPr>
        <w:t>，单位地区生产总值用水量分别为7.81m</w:t>
      </w:r>
      <w:r>
        <w:rPr>
          <w:szCs w:val="28"/>
          <w:vertAlign w:val="superscript"/>
        </w:rPr>
        <w:t>3</w:t>
      </w:r>
      <w:r>
        <w:rPr>
          <w:szCs w:val="28"/>
        </w:rPr>
        <w:t>/万元、7.81m</w:t>
      </w:r>
      <w:r>
        <w:rPr>
          <w:szCs w:val="28"/>
          <w:vertAlign w:val="superscript"/>
        </w:rPr>
        <w:t>3</w:t>
      </w:r>
      <w:r>
        <w:rPr>
          <w:szCs w:val="28"/>
        </w:rPr>
        <w:t>/万元、7.18m</w:t>
      </w:r>
      <w:r>
        <w:rPr>
          <w:szCs w:val="28"/>
          <w:vertAlign w:val="superscript"/>
        </w:rPr>
        <w:t>3</w:t>
      </w:r>
      <w:r>
        <w:rPr>
          <w:szCs w:val="28"/>
        </w:rPr>
        <w:t>/万元、7.07m</w:t>
      </w:r>
      <w:r>
        <w:rPr>
          <w:szCs w:val="28"/>
          <w:vertAlign w:val="superscript"/>
        </w:rPr>
        <w:t>3</w:t>
      </w:r>
      <w:r>
        <w:rPr>
          <w:szCs w:val="28"/>
        </w:rPr>
        <w:t>/万元、7.12m</w:t>
      </w:r>
      <w:r>
        <w:rPr>
          <w:szCs w:val="28"/>
          <w:vertAlign w:val="superscript"/>
        </w:rPr>
        <w:t>3</w:t>
      </w:r>
      <w:r>
        <w:rPr>
          <w:szCs w:val="28"/>
        </w:rPr>
        <w:t>/万元，呈下降趋势。</w:t>
      </w:r>
    </w:p>
    <w:p>
      <w:pPr>
        <w:ind w:firstLine="560"/>
        <w:rPr>
          <w:b/>
          <w:bCs/>
        </w:rPr>
      </w:pPr>
      <w:r>
        <w:t>绿色转型已成为全县发展大趋势。</w:t>
      </w:r>
      <w:r>
        <w:rPr>
          <w:szCs w:val="28"/>
        </w:rPr>
        <w:t>建筑节能。全县绿色建筑设计执行率均实现100%。2016年-2020年，全县城镇新建绿色建筑建筑面积192.78万m</w:t>
      </w:r>
      <w:r>
        <w:rPr>
          <w:szCs w:val="28"/>
          <w:vertAlign w:val="superscript"/>
        </w:rPr>
        <w:t>2</w:t>
      </w:r>
      <w:r>
        <w:rPr>
          <w:szCs w:val="28"/>
        </w:rPr>
        <w:t>、278.9万m</w:t>
      </w:r>
      <w:r>
        <w:rPr>
          <w:szCs w:val="28"/>
          <w:vertAlign w:val="superscript"/>
        </w:rPr>
        <w:t>2</w:t>
      </w:r>
      <w:r>
        <w:rPr>
          <w:szCs w:val="28"/>
        </w:rPr>
        <w:t>、297.33万m</w:t>
      </w:r>
      <w:r>
        <w:rPr>
          <w:szCs w:val="28"/>
          <w:vertAlign w:val="superscript"/>
        </w:rPr>
        <w:t>2</w:t>
      </w:r>
      <w:r>
        <w:rPr>
          <w:szCs w:val="28"/>
        </w:rPr>
        <w:t>、297.33万m</w:t>
      </w:r>
      <w:r>
        <w:rPr>
          <w:szCs w:val="28"/>
          <w:vertAlign w:val="superscript"/>
        </w:rPr>
        <w:t>2</w:t>
      </w:r>
      <w:r>
        <w:rPr>
          <w:szCs w:val="28"/>
        </w:rPr>
        <w:t>、297.33万m</w:t>
      </w:r>
      <w:r>
        <w:rPr>
          <w:szCs w:val="28"/>
          <w:vertAlign w:val="superscript"/>
        </w:rPr>
        <w:t>2</w:t>
      </w:r>
      <w:r>
        <w:rPr>
          <w:szCs w:val="28"/>
        </w:rPr>
        <w:t>，城镇新建绿色建筑比例分别为51.41%、51.18%、88.46%、88.46%、88.46%。绿色交通。全县已逐步推行公交、新能源车等绿色出行方式，提高公共交通的覆盖范围，新能源公交车占比达93%；逐步完善新能源车充电桩等基础设施配套，新能源车所占比例呈增长态势。生活废弃物综合利用。全县已建立生活垃圾分类收集体系并在不断完善，城镇生活垃圾分类减量化行动、农村生活垃圾集中收集储运等进展顺利。政府绿色采购。全县政府采购所有货物、工程和服务项目，均在采购文件中要求所投产品为节能环保产品。乡村振兴。近年来，全县通过不断加快调整农村产业结构，升级“农业+旅游”，发展乡村旅游的高端形态，加快对都市驿站、共享农庄、中央厨房、观光公社等新业态的培育，切实把“资源”变成“产业”，把“生态”变成“生产力”。环境整治。实施城乡环卫一体化改革、“河长制”、无害化改厕、小流域治理、增加绿色供给等多项举措，持续提高农村人居环境。设施完善方面，持续推进省市级美丽乡村创建，以解决农村基础设施建设不平衡和公共服务供给不充分问题为导向，大力推进规划建设、产业布局、基础设施、公共服务一体化，实施道路建设、供水改造、治污扩容、供热保障、燃气覆盖等多个基础设施配套工程。</w:t>
      </w:r>
    </w:p>
    <w:p>
      <w:pPr>
        <w:ind w:firstLine="560"/>
        <w:rPr>
          <w:rFonts w:hint="eastAsia"/>
          <w:szCs w:val="28"/>
          <w:lang w:eastAsia="zh-CN"/>
        </w:rPr>
      </w:pPr>
      <w:r>
        <w:rPr>
          <w:szCs w:val="28"/>
        </w:rPr>
        <w:t>2016年-2020年，全县秸秆综合利用率分别为86.7%、88.0%、90.0%、93.18%、95.83%，农膜回收利用率分别为80.0%、80.0%、80.0%、80.0%、80.0%。2016年-2020年，宁县畜禽粪污综合利用率分别为7.8%、72.6%、74.6%、75.8%、82.0%</w:t>
      </w:r>
      <w:r>
        <w:rPr>
          <w:rFonts w:hint="eastAsia"/>
          <w:szCs w:val="28"/>
          <w:lang w:eastAsia="zh-CN"/>
        </w:rPr>
        <w:t>。</w:t>
      </w:r>
      <w:bookmarkStart w:id="7" w:name="_Toc92390519"/>
    </w:p>
    <w:p>
      <w:pPr>
        <w:pStyle w:val="4"/>
        <w:ind w:firstLine="643" w:firstLineChars="200"/>
        <w:rPr>
          <w:rFonts w:hint="eastAsia" w:ascii="楷体_GB2312" w:hAnsi="楷体_GB2312" w:eastAsia="楷体_GB2312" w:cs="楷体_GB2312"/>
        </w:rPr>
      </w:pPr>
      <w:r>
        <w:rPr>
          <w:rFonts w:hint="eastAsia" w:ascii="楷体_GB2312" w:hAnsi="楷体_GB2312" w:eastAsia="楷体_GB2312" w:cs="楷体_GB2312"/>
        </w:rPr>
        <w:t>（二）存在问题与机遇挑战</w:t>
      </w:r>
      <w:bookmarkEnd w:id="7"/>
    </w:p>
    <w:p>
      <w:pPr>
        <w:pStyle w:val="5"/>
        <w:ind w:firstLine="602" w:firstLineChars="200"/>
      </w:pPr>
      <w:bookmarkStart w:id="8" w:name="_Toc92390520"/>
      <w:r>
        <w:t>1.存在问题</w:t>
      </w:r>
      <w:bookmarkEnd w:id="8"/>
    </w:p>
    <w:p>
      <w:pPr>
        <w:ind w:firstLine="562"/>
        <w:rPr>
          <w:b/>
          <w:bCs/>
        </w:rPr>
      </w:pPr>
      <w:r>
        <w:rPr>
          <w:b/>
          <w:bCs/>
        </w:rPr>
        <w:t>治理体系能力亟需加强。</w:t>
      </w:r>
      <w:r>
        <w:rPr>
          <w:szCs w:val="28"/>
        </w:rPr>
        <w:t>我县经济总量小、人均水平低，与全国发展差距较大。财政收支平衡压力大、保障能力不足，欠发达后发展的基本市情仍未根本改变。“十三五”期间，我县积极开展国家生态文明建设示范市创建，深化生态文明体制改革取得积极成效，但在构建现代化环境治理体系方面，仍处于起步阶段，自然资源资产统一确权登记、党政领导干部生态环境损害责任追究制度尚未深入开展或应用，生态环境保护大数据平台建设水平、绿色发展促进机制与国内发达地区存在较大差距。</w:t>
      </w:r>
    </w:p>
    <w:p>
      <w:pPr>
        <w:ind w:firstLine="562"/>
        <w:rPr>
          <w:b/>
          <w:bCs/>
        </w:rPr>
      </w:pPr>
      <w:r>
        <w:rPr>
          <w:b/>
          <w:bCs/>
        </w:rPr>
        <w:t>水污染防治形势依然严峻。</w:t>
      </w:r>
      <w:r>
        <w:rPr>
          <w:szCs w:val="28"/>
        </w:rPr>
        <w:t>马莲河、蒲河等主要河流入境水质超标严重，受地质因素影响，水环境容量不足，水污染治理难度大，任务艰巨。全市集中式饮用水水源地受地质因素导致的水质超标问题突出，1县级及以上集中式饮用水水源地和1省考断面、3个市考断面均因地质因素造成超标。</w:t>
      </w:r>
    </w:p>
    <w:p>
      <w:pPr>
        <w:ind w:firstLine="562"/>
        <w:rPr>
          <w:szCs w:val="28"/>
        </w:rPr>
      </w:pPr>
      <w:r>
        <w:rPr>
          <w:b/>
          <w:bCs/>
        </w:rPr>
        <w:t>农村环保设施建设滞后。</w:t>
      </w:r>
      <w:r>
        <w:rPr>
          <w:szCs w:val="28"/>
        </w:rPr>
        <w:t>农村环境基础设施建设滞后，缺乏长效保障机制。一方面</w:t>
      </w:r>
      <w:r>
        <w:rPr>
          <w:kern w:val="0"/>
          <w:szCs w:val="28"/>
        </w:rPr>
        <w:t>部分乡镇尚未建有集中污水处理设施，已建成的乡镇污水处理设施普遍存在运行不稳定情况；另一方面农村环保设施缺乏运行维护经费，设施设备修缮更新、后续运营及管理经费无法保障，导致部分项目整改、运行存在困难。</w:t>
      </w:r>
    </w:p>
    <w:p>
      <w:pPr>
        <w:ind w:firstLine="562"/>
        <w:rPr>
          <w:szCs w:val="28"/>
        </w:rPr>
      </w:pPr>
      <w:r>
        <w:rPr>
          <w:b/>
          <w:bCs/>
        </w:rPr>
        <w:t>资源集聚能力存在弱势。</w:t>
      </w:r>
      <w:r>
        <w:rPr>
          <w:szCs w:val="28"/>
        </w:rPr>
        <w:t>我县地</w:t>
      </w:r>
      <w:r>
        <w:rPr>
          <w:kern w:val="0"/>
          <w:szCs w:val="28"/>
        </w:rPr>
        <w:t>处西部地区、甘肃东部，与省会兰州距离较远，</w:t>
      </w:r>
      <w:r>
        <w:rPr>
          <w:szCs w:val="28"/>
        </w:rPr>
        <w:t>在吸引人才、汇流资金、集聚产业方面与省内其他市州相比存在弱势。加之关中平原城市群核心区域经济、人口集聚能力持续增强，西安虹吸效应进一步强化，咸阳、宝鸡、天水等周边城市呈竞相发展态势，宁县面临的资金、技术、人才竞争日趋激烈，后发追赶压力大。</w:t>
      </w:r>
    </w:p>
    <w:p>
      <w:pPr>
        <w:ind w:firstLine="562"/>
        <w:rPr>
          <w:b/>
          <w:bCs/>
        </w:rPr>
      </w:pPr>
      <w:r>
        <w:rPr>
          <w:b/>
          <w:bCs/>
        </w:rPr>
        <w:t>产业绿色转型任重道远。</w:t>
      </w:r>
      <w:r>
        <w:rPr>
          <w:kern w:val="0"/>
          <w:szCs w:val="28"/>
        </w:rPr>
        <w:t>我县是典型的资源型城市，</w:t>
      </w:r>
      <w:r>
        <w:rPr>
          <w:szCs w:val="28"/>
        </w:rPr>
        <w:t>能源资源富集，优势产业初具规模，但发展粗放、集聚度低、结构单一，对能源产业依赖度高。</w:t>
      </w:r>
      <w:r>
        <w:rPr>
          <w:kern w:val="0"/>
          <w:szCs w:val="28"/>
        </w:rPr>
        <w:t>面对碳达峰目标，节能和降耗空间非常有限，今后依托油煤气等优势资源，大力推进高碳项目实施，短期来看会拉动GDP高位增长，促进疫情后的经济复苏，但从绿色低碳转型、走可持续发展道路的长远目标来看，将会给全省、甚至全国完成能源革命，最终实现碳达峰碳中和带来不利影响。</w:t>
      </w:r>
      <w:r>
        <w:t>低碳减排，实现“碳中和碳达峰”目标压力大。</w:t>
      </w:r>
      <w:r>
        <w:rPr>
          <w:szCs w:val="28"/>
        </w:rPr>
        <w:t>按照“碳中和碳达峰”目标要求，我县的产业结构及能源结构必将被重构。“碳达峰、碳中和”首先改变的将会是能源结构和格局，在宁县的能源结构中，产生碳排放的化石能源—煤炭、石油、天然气、火电等，占能源消耗总量的90％以上，要实现2030年碳达峰、2060年碳中和的目标，就要大幅发展可再生能源，降低化石能源的比重，因此，能源格局的重构必然是大势所趋。如何利用这一机遇，在新能源领域打开能源产业的发展空间，在能源革命的产业链细分领域，提前布局众多的新兴产业并创造大量的就业机会，是摆在当前的一道难题。</w:t>
      </w:r>
    </w:p>
    <w:p>
      <w:pPr>
        <w:ind w:firstLine="562"/>
        <w:rPr>
          <w:b/>
          <w:bCs/>
        </w:rPr>
      </w:pPr>
      <w:r>
        <w:rPr>
          <w:b/>
          <w:bCs/>
        </w:rPr>
        <w:t>国土空间开发利用有待提高。</w:t>
      </w:r>
      <w:r>
        <w:rPr>
          <w:szCs w:val="28"/>
        </w:rPr>
        <w:t>根据正在修编的宁县国土空间分区规划，全县将明确“三区三线”，并根据城镇空间、农业空间、生态空间，划定城镇开发边界、永久基本农田、生态保护红线。基于此，全县城镇建设用地将被控制在一定规模内，增量有限。因此，我县必须按照生态文明建设要求，提升单位建设用地的经济产值，持续增加土地效益。在农用地方面，须保障城市发展和正常运转所依靠的粮食安全、农副产品供应等，因此，需要提升亩产效益。</w:t>
      </w:r>
    </w:p>
    <w:p>
      <w:pPr>
        <w:ind w:firstLine="562"/>
        <w:rPr>
          <w:b/>
          <w:bCs/>
        </w:rPr>
      </w:pPr>
      <w:r>
        <w:rPr>
          <w:b/>
          <w:bCs/>
        </w:rPr>
        <w:t>资源能源消耗的压力巨大。</w:t>
      </w:r>
      <w:r>
        <w:rPr>
          <w:szCs w:val="28"/>
        </w:rPr>
        <w:t>在能源利用方面，从宏观角度，国家已明确提出了单位GDP能源消耗降低13.5%、单位GDP二氧化碳排放降低18%的目标要求；在土地资源利用方面，开发利用比较粗放，土地集约利用程度不高。在将来，需要从淘汰落后产业来腾退出新的土地资源，这也将从侧面引发产业结构的变革，落后就要被淘汰。在水资源利用方面，</w:t>
      </w:r>
      <w:bookmarkStart w:id="9" w:name="_Hlk82016361"/>
      <w:r>
        <w:rPr>
          <w:szCs w:val="28"/>
        </w:rPr>
        <w:t>宁县实际用水量已突破8600万m</w:t>
      </w:r>
      <w:r>
        <w:rPr>
          <w:szCs w:val="28"/>
          <w:vertAlign w:val="superscript"/>
        </w:rPr>
        <w:t>3</w:t>
      </w:r>
      <w:r>
        <w:rPr>
          <w:szCs w:val="28"/>
        </w:rPr>
        <w:t>（庆阳市“三线一单”阶段性成果文件确定的宁县水资源利用上线总量）</w:t>
      </w:r>
      <w:bookmarkEnd w:id="9"/>
      <w:r>
        <w:rPr>
          <w:szCs w:val="28"/>
        </w:rPr>
        <w:t>，因此，如何探索新的供水途径，降低单位GDP用水量、提高重复用水率、提高中水回用率，也是全县生态文明建设所面临的新压力。</w:t>
      </w:r>
    </w:p>
    <w:p>
      <w:pPr>
        <w:ind w:firstLine="562"/>
        <w:rPr>
          <w:b/>
          <w:bCs/>
        </w:rPr>
      </w:pPr>
      <w:r>
        <w:rPr>
          <w:b/>
          <w:bCs/>
        </w:rPr>
        <w:t>产业结构调整存在短板。</w:t>
      </w:r>
      <w:r>
        <w:rPr>
          <w:szCs w:val="28"/>
        </w:rPr>
        <w:t>宁县的产业发展还存在许多短板和不足。新动能培育力度不够大，产业集聚不够有力，高质量发展成效尚未充分显现；关键核心技术研发能力、成果转化能力不强，产业的转型升级缺乏创新支撑；平台思维、生态思维还需强化，集聚全球优质资源要素的能力有待提升；市场化、法治化意识不强，重点领域有效制度供给不足，营商环境需要进一步优化。</w:t>
      </w:r>
    </w:p>
    <w:p>
      <w:pPr>
        <w:pStyle w:val="5"/>
      </w:pPr>
      <w:bookmarkStart w:id="10" w:name="_Toc92390521"/>
      <w:r>
        <w:t>2.机遇与挑战</w:t>
      </w:r>
      <w:bookmarkEnd w:id="10"/>
    </w:p>
    <w:p>
      <w:pPr>
        <w:ind w:firstLine="562"/>
        <w:rPr>
          <w:b/>
          <w:bCs/>
        </w:rPr>
      </w:pPr>
      <w:r>
        <w:rPr>
          <w:b/>
          <w:bCs/>
        </w:rPr>
        <w:t>1）机遇</w:t>
      </w:r>
    </w:p>
    <w:p>
      <w:pPr>
        <w:ind w:firstLine="562"/>
        <w:rPr>
          <w:b/>
          <w:bCs/>
        </w:rPr>
      </w:pPr>
      <w:r>
        <w:rPr>
          <w:b/>
          <w:bCs/>
        </w:rPr>
        <w:t>生态文明战略机遇。</w:t>
      </w:r>
      <w:r>
        <w:rPr>
          <w:szCs w:val="28"/>
        </w:rPr>
        <w:t>在应对气候变化、生态失衡、环境污染、资源短缺等全球性问题的背景下，绿色转型、低碳发展已经成为全球可持续发展的新趋势。党的十八大以来，以习近平同志为核心的党中央高度重视生态文明建设，作出一系列顶层设计、制度安排和决策部署，为建设“美丽中国”提供了根本遵循。党的十九届五中全会提出，深入实施可持续发展战略，完善生态文明领域统筹协调机制，构建生态文明体系，促进经济社会发展全面绿色转型，建设人与自然和谐共生的现代化。</w:t>
      </w:r>
    </w:p>
    <w:p>
      <w:pPr>
        <w:ind w:firstLine="562"/>
        <w:rPr>
          <w:b/>
          <w:bCs/>
        </w:rPr>
      </w:pPr>
      <w:r>
        <w:rPr>
          <w:b/>
          <w:bCs/>
        </w:rPr>
        <w:t>产业转型发展机遇。</w:t>
      </w:r>
      <w:r>
        <w:rPr>
          <w:szCs w:val="28"/>
        </w:rPr>
        <w:t>新发展格局下国内大循环的逐渐畅通，为进一步培育消费投资新增长点、挖掘国内市场潜力提供了新空间；加快构建完整的内需体系，形成更多新的增长点、增长极，着力打通生产、分配、流通、消费各个环节，畅通国内大循环，有利于国内市场需求持续升级和供给能力不断提升。同时，推动供给需求在更高层次更高水平上实现动态均衡，又为国内循环提供持续发展动力。</w:t>
      </w:r>
    </w:p>
    <w:p>
      <w:pPr>
        <w:ind w:firstLine="562"/>
        <w:rPr>
          <w:b/>
          <w:bCs/>
        </w:rPr>
      </w:pPr>
      <w:r>
        <w:rPr>
          <w:b/>
          <w:bCs/>
        </w:rPr>
        <w:t>区域重大政策机遇。</w:t>
      </w:r>
      <w:r>
        <w:rPr>
          <w:szCs w:val="28"/>
        </w:rPr>
        <w:t>我县地处黄河中下游黄土高原沟壑区，</w:t>
      </w:r>
      <w:r>
        <w:rPr>
          <w:szCs w:val="32"/>
        </w:rPr>
        <w:t>在国家“</w:t>
      </w:r>
      <w:r>
        <w:t>两屏三带</w:t>
      </w:r>
      <w:r>
        <w:rPr>
          <w:szCs w:val="32"/>
        </w:rPr>
        <w:t>”生态战略格局中属于“黄土高原-川滇生态屏障”区，是西北地区重要的生态安全屏障。也</w:t>
      </w:r>
      <w:r>
        <w:rPr>
          <w:szCs w:val="28"/>
        </w:rPr>
        <w:t>是甘肃的革命老区之一，黄河流域生态保护和高质量发展、推动西部大开发形成新格局、新时代支持革命老区振兴发展等战略实施，将为我县在国家发展大局全局中担当新使命、发挥新作用提供了重大政策机遇。</w:t>
      </w:r>
    </w:p>
    <w:p>
      <w:pPr>
        <w:ind w:firstLine="562"/>
      </w:pPr>
      <w:r>
        <w:rPr>
          <w:b/>
          <w:bCs/>
        </w:rPr>
        <w:t>2）挑战</w:t>
      </w:r>
    </w:p>
    <w:p>
      <w:pPr>
        <w:ind w:firstLine="562"/>
        <w:rPr>
          <w:b/>
          <w:bCs/>
        </w:rPr>
      </w:pPr>
      <w:r>
        <w:rPr>
          <w:b/>
          <w:bCs/>
        </w:rPr>
        <w:t>经济社会发展和生态环境保护的矛盾依然突出。</w:t>
      </w:r>
      <w:r>
        <w:rPr>
          <w:szCs w:val="28"/>
        </w:rPr>
        <w:t>长期粗狂式的发展导致污染治理欠账较多，经济增长依靠资源消耗的特征尚未得到根本性转变。“十三五”期间，全县主要污染物减排力度较大，目前重点行业和重点领域的减排空间已经十分有限；企业清洁生产、排污奖惩机制还不完善。“十四五”期间，随着经济的发展和新型城镇化发展战略的快速实施，必然会带来能源资源消耗和污染物排放总量的增加，使污染减排工作面临更为严峻的考验。畜禽养殖污染减排模式单一，缺乏深度治理措施，污染物去除率低。经过长期来的减排和污染治理，宁县环境质量得到有效改善，但随之而来的是社会经济发展与生态环境保护之间的矛盾愈加突出。此外，臭氧控制和固废处置、温室气体控制和低碳发展等新要求对全县社会经济发展提出新要求、新思路。</w:t>
      </w:r>
    </w:p>
    <w:p>
      <w:pPr>
        <w:ind w:firstLine="562"/>
        <w:rPr>
          <w:b/>
          <w:bCs/>
        </w:rPr>
      </w:pPr>
      <w:r>
        <w:rPr>
          <w:b/>
          <w:bCs/>
        </w:rPr>
        <w:t>水环境质量改善需求迫切。</w:t>
      </w:r>
      <w:r>
        <w:rPr>
          <w:szCs w:val="28"/>
        </w:rPr>
        <w:t>目前，宁县境内马莲河流域水质不能稳定达标，个别月份马莲河宁县桥头国考断面水质低于考核标准，超标因子为化学需氧量和氨氮。对年度各月份水质分析，在枯水期的春冬季节水环境质量较差。因此，对境内马莲河流域持续开展严格的污染防治措施，保障流域水环境质量持续改善并稳定达标，是全县近期、乃至贯穿整个“十四五”时期的重点任务。</w:t>
      </w:r>
    </w:p>
    <w:p>
      <w:pPr>
        <w:ind w:firstLine="562"/>
        <w:rPr>
          <w:b/>
          <w:bCs/>
        </w:rPr>
      </w:pPr>
      <w:r>
        <w:rPr>
          <w:b/>
          <w:bCs/>
        </w:rPr>
        <w:t>大气环境质量改善要求紧迫。</w:t>
      </w:r>
      <w:r>
        <w:rPr>
          <w:szCs w:val="28"/>
        </w:rPr>
        <w:t>目前，我县县城空气环境质量不稳定，自2017年7月建成空气环境质量自动检测站后，县城空气环境质量优良天数比例2018年为82.8%，2019年下降至78.3%，未达到市上下达的考核要求，在全市8个县区中排名第七位，超标因子为PM10和PM2.5；而经过实施蓝天保卫战行动，2020年空气环境质量优良天数比例达到95.5%，超额完成了市上下达的84%的考核要求，全年位居全市空气质量改善排名第一。虽然2020年，县城空气环境质量有所改善，但整个“十三五”时期，县城空气环境质量持续改善趋势仍不稳定。</w:t>
      </w:r>
    </w:p>
    <w:p>
      <w:pPr>
        <w:ind w:firstLine="562"/>
        <w:rPr>
          <w:b/>
          <w:bCs/>
        </w:rPr>
      </w:pPr>
      <w:r>
        <w:rPr>
          <w:b/>
          <w:bCs/>
        </w:rPr>
        <w:t>生态环境保护基础设施建设滞后。</w:t>
      </w:r>
      <w:r>
        <w:rPr>
          <w:szCs w:val="28"/>
        </w:rPr>
        <w:t>目前，全县已有乡镇生活污水处理站17个，实现县域乡镇污水处理设施全覆盖。但受资金投入和建设进度限制，各乡镇污水处理站主要收集处理镇区生活污水，对镇区周边村庄辐射不足。此外，根据《宁县农村生活污水治理专项规划（2020-2035）》要求，近期（2020-2025年）农村生活污水处理设施覆盖率达到7%；而目前除城镇建成区村庄生活污水纳入城镇污水收集处理系统外，仅实施了焦村镇高尉村农村生活污水处理试点项目，距离“十四五”农村生活污水处理设施建设要求差距较大。</w:t>
      </w:r>
    </w:p>
    <w:p>
      <w:pPr>
        <w:ind w:firstLine="562"/>
        <w:rPr>
          <w:b/>
          <w:bCs/>
        </w:rPr>
      </w:pPr>
      <w:r>
        <w:rPr>
          <w:b/>
          <w:bCs/>
        </w:rPr>
        <w:t>农村环境治理不够深入彻底。</w:t>
      </w:r>
      <w:r>
        <w:rPr>
          <w:szCs w:val="28"/>
        </w:rPr>
        <w:t>我县目前在生态文明建设方面已取得了丰硕的成果，但是，尚未从根本上解决工业化质量差、效率低的问题，高投入、高消耗、高污染和不平衡、不协调、不可持续的问题仍在困扰着城市的发展，资源短缺、环境污染和生态破坏问题依然是需要重点关注的问题，全县仍处在可持续发展的瓶颈期内，生态文明建设任重而道远。</w:t>
      </w:r>
    </w:p>
    <w:p>
      <w:pPr>
        <w:pStyle w:val="3"/>
        <w:ind w:firstLine="562" w:firstLineChars="200"/>
        <w:jc w:val="left"/>
        <w:rPr>
          <w:rFonts w:ascii="Times New Roman" w:hAnsi="Times New Roman" w:eastAsia="仿宋_GB2312" w:cs="Times New Roman"/>
          <w:bCs w:val="0"/>
          <w:kern w:val="2"/>
          <w:sz w:val="28"/>
          <w:szCs w:val="28"/>
          <w:lang w:val="en-US" w:eastAsia="zh-CN" w:bidi="ar-SA"/>
        </w:rPr>
      </w:pPr>
      <w:r>
        <w:rPr>
          <w:rFonts w:ascii="Times New Roman" w:hAnsi="Times New Roman" w:eastAsia="仿宋_GB2312" w:cs="Times New Roman"/>
          <w:b/>
          <w:bCs/>
          <w:kern w:val="2"/>
          <w:sz w:val="28"/>
          <w:szCs w:val="20"/>
          <w:lang w:val="en-US" w:eastAsia="zh-CN" w:bidi="ar-SA"/>
        </w:rPr>
        <w:t>生态文明建设需持续完善。</w:t>
      </w:r>
      <w:r>
        <w:rPr>
          <w:rFonts w:ascii="Times New Roman" w:hAnsi="Times New Roman" w:eastAsia="仿宋_GB2312" w:cs="Times New Roman"/>
          <w:bCs w:val="0"/>
          <w:kern w:val="2"/>
          <w:sz w:val="28"/>
          <w:szCs w:val="28"/>
          <w:lang w:val="en-US" w:eastAsia="zh-CN" w:bidi="ar-SA"/>
        </w:rPr>
        <w:t>生态文明建设尚未完全融入和贯穿到现代化建设的各方面和全过程。生态文明建设是一个长期的过程，需要全社会参与和全方位的保障。人口对环境的压力、对城市的承载力，</w:t>
      </w:r>
      <w:r>
        <w:rPr>
          <w:rFonts w:hint="eastAsia" w:eastAsia="仿宋_GB2312" w:cs="Times New Roman"/>
          <w:bCs w:val="0"/>
          <w:kern w:val="2"/>
          <w:sz w:val="28"/>
          <w:szCs w:val="28"/>
          <w:lang w:val="en-US" w:eastAsia="zh-CN" w:bidi="ar-SA"/>
        </w:rPr>
        <w:t>仍</w:t>
      </w:r>
      <w:r>
        <w:rPr>
          <w:rFonts w:ascii="Times New Roman" w:hAnsi="Times New Roman" w:eastAsia="仿宋_GB2312" w:cs="Times New Roman"/>
          <w:bCs w:val="0"/>
          <w:kern w:val="2"/>
          <w:sz w:val="28"/>
          <w:szCs w:val="28"/>
          <w:lang w:val="en-US" w:eastAsia="zh-CN" w:bidi="ar-SA"/>
        </w:rPr>
        <w:t>然是不小的挑战。</w:t>
      </w:r>
      <w:bookmarkStart w:id="11" w:name="_Toc92390522"/>
    </w:p>
    <w:p>
      <w:pPr>
        <w:pStyle w:val="3"/>
      </w:pPr>
    </w:p>
    <w:p>
      <w:pPr>
        <w:pStyle w:val="3"/>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二、规划总则</w:t>
      </w:r>
      <w:bookmarkEnd w:id="11"/>
    </w:p>
    <w:p>
      <w:pPr>
        <w:pStyle w:val="4"/>
        <w:ind w:firstLine="643" w:firstLineChars="200"/>
        <w:rPr>
          <w:rFonts w:hint="eastAsia" w:ascii="楷体_GB2312" w:hAnsi="楷体_GB2312" w:eastAsia="楷体_GB2312" w:cs="楷体_GB2312"/>
        </w:rPr>
      </w:pPr>
      <w:bookmarkStart w:id="12" w:name="_Toc92390523"/>
      <w:r>
        <w:rPr>
          <w:rFonts w:hint="eastAsia" w:ascii="楷体_GB2312" w:hAnsi="楷体_GB2312" w:eastAsia="楷体_GB2312" w:cs="楷体_GB2312"/>
        </w:rPr>
        <w:t>（一）指导思想</w:t>
      </w:r>
      <w:bookmarkEnd w:id="12"/>
    </w:p>
    <w:p>
      <w:pPr>
        <w:adjustRightInd w:val="0"/>
        <w:snapToGrid w:val="0"/>
        <w:ind w:firstLine="560"/>
        <w:rPr>
          <w:szCs w:val="28"/>
        </w:rPr>
      </w:pPr>
      <w:r>
        <w:rPr>
          <w:szCs w:val="28"/>
        </w:rPr>
        <w:t>坚持以习近平新时代中国特色社会主义思想为指导，深入贯彻党的十九大及历次全会精神，坚持绿水青山就是金山银山的绿色发展观，遵循自然、经济和社会发展规律，以“碳达峰、碳中和”目标为导向，统筹推进</w:t>
      </w:r>
      <w:r>
        <w:rPr>
          <w:b/>
          <w:bCs/>
          <w:szCs w:val="28"/>
        </w:rPr>
        <w:t>生态制度、生态安全、生态空间、生态经济、生态生活、生态文化</w:t>
      </w:r>
      <w:r>
        <w:rPr>
          <w:szCs w:val="28"/>
        </w:rPr>
        <w:t>建设的总体布局，坚定不移贯彻</w:t>
      </w:r>
      <w:r>
        <w:rPr>
          <w:b/>
          <w:bCs/>
          <w:szCs w:val="28"/>
        </w:rPr>
        <w:t>创新、协调、绿色、开放、共享</w:t>
      </w:r>
      <w:r>
        <w:rPr>
          <w:szCs w:val="28"/>
        </w:rPr>
        <w:t>的新发展理念，以满足人民日益增长的美好生活需要为根本目的，紧紧抓住优化生态安全格局、推进产业绿色转型、改善生态环境质量、创新体制机制等重点任务，探索塬沟统筹、产城融合特色的生态文明建设模式，推动区域生态环境与经济社会协，为全面建设舒适安全、绿色低碳的现代化都市谋好局、起好步。</w:t>
      </w:r>
    </w:p>
    <w:p>
      <w:pPr>
        <w:pStyle w:val="4"/>
        <w:ind w:firstLine="643" w:firstLineChars="200"/>
        <w:rPr>
          <w:rFonts w:hint="eastAsia" w:ascii="楷体_GB2312" w:hAnsi="楷体_GB2312" w:eastAsia="楷体_GB2312" w:cs="楷体_GB2312"/>
        </w:rPr>
      </w:pPr>
      <w:bookmarkStart w:id="13" w:name="_Toc92390524"/>
      <w:r>
        <w:rPr>
          <w:rFonts w:hint="eastAsia" w:ascii="楷体_GB2312" w:hAnsi="楷体_GB2312" w:eastAsia="楷体_GB2312" w:cs="楷体_GB2312"/>
        </w:rPr>
        <w:t>（二）规划原则</w:t>
      </w:r>
      <w:bookmarkEnd w:id="13"/>
    </w:p>
    <w:p>
      <w:pPr>
        <w:adjustRightInd w:val="0"/>
        <w:snapToGrid w:val="0"/>
        <w:ind w:firstLine="562"/>
        <w:rPr>
          <w:szCs w:val="28"/>
        </w:rPr>
      </w:pPr>
      <w:r>
        <w:rPr>
          <w:b/>
          <w:bCs/>
          <w:szCs w:val="28"/>
        </w:rPr>
        <w:t>生态优先，绿色发展。</w:t>
      </w:r>
      <w:r>
        <w:rPr>
          <w:szCs w:val="28"/>
        </w:rPr>
        <w:t>优化国土空间开发格局，严守生态保护红线，加大生态保护与建设力度，对需要严格保护的区域实施强制性保护，不断提升生态环境质量。大力推进绿色发展，将生态文明建设放在突出的战略位置上，促进人与自然和谐共生，全面提升生态文明水平。形成绿色发展方式和生活方式，在保护中促进发展，在发展中落实保护，实现生态与发展双赢。</w:t>
      </w:r>
    </w:p>
    <w:p>
      <w:pPr>
        <w:adjustRightInd w:val="0"/>
        <w:snapToGrid w:val="0"/>
        <w:ind w:firstLine="562"/>
        <w:rPr>
          <w:szCs w:val="28"/>
        </w:rPr>
      </w:pPr>
      <w:r>
        <w:rPr>
          <w:b/>
          <w:bCs/>
          <w:szCs w:val="28"/>
        </w:rPr>
        <w:t>因地制宜，彰显特色。</w:t>
      </w:r>
      <w:r>
        <w:rPr>
          <w:szCs w:val="28"/>
        </w:rPr>
        <w:t>因地制宜，充分发挥辖区各乡镇山、水、林、田、河岸线等生态资源优势，以及发挥宁县独特资源环境优势，明确生态空间的功能定位、目标任务和管控措施，因地制宜协调发展，突出地方特色。有机融入人与自然和谐发展的现代生态文明观，兼容并蓄、不断创新，塑造新发展模式，全面提高综合竞争力。</w:t>
      </w:r>
    </w:p>
    <w:p>
      <w:pPr>
        <w:adjustRightInd w:val="0"/>
        <w:snapToGrid w:val="0"/>
        <w:ind w:firstLine="562"/>
        <w:rPr>
          <w:szCs w:val="28"/>
        </w:rPr>
      </w:pPr>
      <w:r>
        <w:rPr>
          <w:b/>
          <w:bCs/>
          <w:szCs w:val="28"/>
        </w:rPr>
        <w:t>统筹协调，分步实施。</w:t>
      </w:r>
      <w:r>
        <w:rPr>
          <w:szCs w:val="28"/>
        </w:rPr>
        <w:t>坚持全域统筹，系统谋划，坚持“山水林田湖草是一个生命共同体”的理念，按照“五位一体”总体布局要求，统筹推进城乡协调发展和山水林田湖草系统治理，结合不同区域发展特色，切实将生态文明建设融入到经济建设、政治建设、文化建设、社会建设各方面和全过程。坚持系统设计与重点突破相结合，着眼于实现长远发展目标来开展近期工作，科学制定规划发展目标和具体举措，实现可持续发展。</w:t>
      </w:r>
    </w:p>
    <w:p>
      <w:pPr>
        <w:adjustRightInd w:val="0"/>
        <w:snapToGrid w:val="0"/>
        <w:ind w:firstLine="562"/>
        <w:rPr>
          <w:szCs w:val="28"/>
        </w:rPr>
      </w:pPr>
      <w:r>
        <w:rPr>
          <w:b/>
          <w:bCs/>
          <w:szCs w:val="28"/>
        </w:rPr>
        <w:t>政府主导，全民参与。</w:t>
      </w:r>
      <w:r>
        <w:rPr>
          <w:szCs w:val="28"/>
        </w:rPr>
        <w:t>坚持政府推动与社会参与紧密结合的原则，调动各级政府和基层干部群众的积极性、创造性，将生态文明建设放到政府工作的突出位置。整合各部门资源，激发市场活力，加强生态文明宣传教育，在全社会营造人与自然和谐共生的良好风尚，引导全县积极投身于生态文明建设中来。建立党政领导、相关部门齐抓共管、社会各界和公众广泛参与的工作机制，以经济生态化、生态经济化等为主线，全面推动国家生态文明建设示范县创建工作。</w:t>
      </w:r>
    </w:p>
    <w:p>
      <w:pPr>
        <w:pStyle w:val="4"/>
        <w:ind w:firstLine="643" w:firstLineChars="200"/>
        <w:rPr>
          <w:rFonts w:hint="eastAsia" w:ascii="楷体_GB2312" w:hAnsi="楷体_GB2312" w:eastAsia="楷体_GB2312" w:cs="楷体_GB2312"/>
        </w:rPr>
      </w:pPr>
      <w:bookmarkStart w:id="14" w:name="_Toc92390525"/>
      <w:r>
        <w:rPr>
          <w:rFonts w:hint="eastAsia" w:ascii="楷体_GB2312" w:hAnsi="楷体_GB2312" w:eastAsia="楷体_GB2312" w:cs="楷体_GB2312"/>
        </w:rPr>
        <w:t>（三）规划范围</w:t>
      </w:r>
      <w:bookmarkEnd w:id="14"/>
    </w:p>
    <w:p>
      <w:pPr>
        <w:adjustRightInd w:val="0"/>
        <w:snapToGrid w:val="0"/>
        <w:ind w:firstLine="560"/>
        <w:rPr>
          <w:szCs w:val="28"/>
        </w:rPr>
      </w:pPr>
      <w:r>
        <w:rPr>
          <w:szCs w:val="28"/>
        </w:rPr>
        <w:t>本次规划范围我县行政辖区的全部区域，总面积2653.38km</w:t>
      </w:r>
      <w:r>
        <w:rPr>
          <w:szCs w:val="28"/>
          <w:vertAlign w:val="superscript"/>
        </w:rPr>
        <w:t>2</w:t>
      </w:r>
      <w:r>
        <w:rPr>
          <w:szCs w:val="28"/>
        </w:rPr>
        <w:t>，具体包括新宁、焦村、和盛、太昌、新庄、长庆桥、早胜、中村、良平、平子、米桥、春荣、湘乐、盘克14个镇，九岘、金村、南义、瓦斜4个乡。</w:t>
      </w:r>
    </w:p>
    <w:p>
      <w:pPr>
        <w:pStyle w:val="4"/>
        <w:ind w:firstLine="643" w:firstLineChars="200"/>
        <w:rPr>
          <w:rFonts w:hint="eastAsia" w:ascii="楷体_GB2312" w:hAnsi="楷体_GB2312" w:eastAsia="楷体_GB2312" w:cs="楷体_GB2312"/>
        </w:rPr>
      </w:pPr>
      <w:bookmarkStart w:id="15" w:name="_Toc92390526"/>
      <w:r>
        <w:rPr>
          <w:rFonts w:hint="eastAsia" w:ascii="楷体_GB2312" w:hAnsi="楷体_GB2312" w:eastAsia="楷体_GB2312" w:cs="楷体_GB2312"/>
        </w:rPr>
        <w:t>（四）规划期限</w:t>
      </w:r>
      <w:bookmarkEnd w:id="15"/>
    </w:p>
    <w:p>
      <w:pPr>
        <w:ind w:firstLine="560"/>
        <w:rPr>
          <w:szCs w:val="28"/>
        </w:rPr>
      </w:pPr>
      <w:r>
        <w:rPr>
          <w:szCs w:val="28"/>
        </w:rPr>
        <w:t>规划以2020年为规划基准年，规划期限为2021-2025年。</w:t>
      </w:r>
    </w:p>
    <w:p>
      <w:pPr>
        <w:ind w:firstLine="560"/>
        <w:rPr>
          <w:szCs w:val="28"/>
        </w:rPr>
      </w:pPr>
      <w:r>
        <w:rPr>
          <w:szCs w:val="28"/>
        </w:rPr>
        <w:t>规划近期：2021-2022年，为全面建设期；</w:t>
      </w:r>
    </w:p>
    <w:p>
      <w:pPr>
        <w:ind w:firstLine="560"/>
        <w:rPr>
          <w:szCs w:val="28"/>
        </w:rPr>
      </w:pPr>
      <w:r>
        <w:rPr>
          <w:szCs w:val="28"/>
        </w:rPr>
        <w:t>规划远期：2023-2025年，为巩固提升期。</w:t>
      </w:r>
    </w:p>
    <w:p>
      <w:pPr>
        <w:pStyle w:val="4"/>
        <w:ind w:firstLine="643" w:firstLineChars="200"/>
        <w:rPr>
          <w:rFonts w:hint="eastAsia" w:ascii="楷体_GB2312" w:hAnsi="楷体_GB2312" w:eastAsia="楷体_GB2312" w:cs="楷体_GB2312"/>
        </w:rPr>
      </w:pPr>
      <w:bookmarkStart w:id="16" w:name="_Toc92390527"/>
      <w:r>
        <w:rPr>
          <w:rFonts w:hint="eastAsia" w:ascii="楷体_GB2312" w:hAnsi="楷体_GB2312" w:eastAsia="楷体_GB2312" w:cs="楷体_GB2312"/>
        </w:rPr>
        <w:t>（五）规划目标</w:t>
      </w:r>
      <w:bookmarkEnd w:id="16"/>
    </w:p>
    <w:p>
      <w:pPr>
        <w:ind w:firstLine="562"/>
        <w:rPr>
          <w:b/>
          <w:bCs/>
        </w:rPr>
      </w:pPr>
      <w:r>
        <w:rPr>
          <w:b/>
          <w:bCs/>
        </w:rPr>
        <w:t>总体目标。</w:t>
      </w:r>
      <w:r>
        <w:rPr>
          <w:szCs w:val="28"/>
        </w:rPr>
        <w:t>以</w:t>
      </w:r>
      <w:r>
        <w:rPr>
          <w:b/>
          <w:bCs/>
          <w:szCs w:val="28"/>
        </w:rPr>
        <w:t>国家生态文明建设示范县</w:t>
      </w:r>
      <w:r>
        <w:rPr>
          <w:szCs w:val="28"/>
        </w:rPr>
        <w:t>为总体目标，按照“</w:t>
      </w:r>
      <w:r>
        <w:rPr>
          <w:b/>
          <w:bCs/>
          <w:szCs w:val="28"/>
        </w:rPr>
        <w:t>到2035年美丽中国目标基本实现</w:t>
      </w:r>
      <w:r>
        <w:rPr>
          <w:szCs w:val="28"/>
        </w:rPr>
        <w:t>”的总要求，围绕</w:t>
      </w:r>
      <w:r>
        <w:rPr>
          <w:b/>
          <w:bCs/>
          <w:szCs w:val="28"/>
        </w:rPr>
        <w:t>新时期生态文明建设</w:t>
      </w:r>
      <w:r>
        <w:rPr>
          <w:szCs w:val="28"/>
        </w:rPr>
        <w:t>新要求，通过</w:t>
      </w:r>
      <w:r>
        <w:rPr>
          <w:b/>
          <w:bCs/>
          <w:szCs w:val="28"/>
        </w:rPr>
        <w:t>生态制度、生态安全、生态空间、生态经济、生态生活、生态文化</w:t>
      </w:r>
      <w:r>
        <w:rPr>
          <w:szCs w:val="28"/>
        </w:rPr>
        <w:t>等六大体系建设，</w:t>
      </w:r>
      <w:r>
        <w:rPr>
          <w:kern w:val="0"/>
          <w:szCs w:val="28"/>
        </w:rPr>
        <w:t>协同推进生态环境高水平保护和经济高质量发展，加快构建绿色发展新格局。</w:t>
      </w:r>
    </w:p>
    <w:p>
      <w:pPr>
        <w:adjustRightInd w:val="0"/>
        <w:snapToGrid w:val="0"/>
        <w:ind w:firstLine="562"/>
        <w:rPr>
          <w:b/>
          <w:bCs/>
        </w:rPr>
      </w:pPr>
      <w:r>
        <w:rPr>
          <w:b/>
          <w:bCs/>
        </w:rPr>
        <w:t>规划目标：</w:t>
      </w:r>
    </w:p>
    <w:p>
      <w:pPr>
        <w:adjustRightInd w:val="0"/>
        <w:snapToGrid w:val="0"/>
        <w:ind w:firstLine="562"/>
        <w:rPr>
          <w:szCs w:val="28"/>
        </w:rPr>
      </w:pPr>
      <w:r>
        <w:rPr>
          <w:b/>
          <w:bCs/>
        </w:rPr>
        <w:t>近期目标（2021-2022年）。</w:t>
      </w:r>
      <w:r>
        <w:rPr>
          <w:szCs w:val="28"/>
        </w:rPr>
        <w:t>形成科学合理的产业布局和空间开发布局。各项指标全面达到国家生态文明建设示范县创建标准，并形成可复制、可推广的创建工作先进经验。</w:t>
      </w:r>
    </w:p>
    <w:p>
      <w:pPr>
        <w:adjustRightInd w:val="0"/>
        <w:snapToGrid w:val="0"/>
        <w:ind w:firstLine="560"/>
        <w:rPr>
          <w:szCs w:val="28"/>
        </w:rPr>
      </w:pPr>
      <w:r>
        <w:rPr>
          <w:szCs w:val="28"/>
        </w:rPr>
        <w:t>在巩固全面建成小康社会的基础上，开启基本实现社会主义现代化新征程，全县经济社会发展迈上更高水平，综合竞争优势大幅提升，城区现代化品质基本形成，社会治理效能明显提升，人民群众生活水平进一步提高，产业生态化、生活绿色化、城市品质化建设取得显著成效，发展更科学、社会更和谐、文化更繁荣、生态更文明、人民更幸福，建成内联外通的中央活力区。</w:t>
      </w:r>
    </w:p>
    <w:p>
      <w:pPr>
        <w:adjustRightInd w:val="0"/>
        <w:snapToGrid w:val="0"/>
        <w:ind w:firstLine="562"/>
        <w:rPr>
          <w:szCs w:val="28"/>
        </w:rPr>
      </w:pPr>
      <w:r>
        <w:rPr>
          <w:b/>
          <w:bCs/>
        </w:rPr>
        <w:t>远期目标（2023-2025年）。</w:t>
      </w:r>
      <w:r>
        <w:rPr>
          <w:szCs w:val="28"/>
        </w:rPr>
        <w:t>不断巩固提升生态文明建设成果，科学的生态空间体系逐步完善，以低碳循环为核心的生态经济体系基本建立，生态文明体制机制更加健全，生态环境稳定提升、资源利用效率不断提高，城乡人居环境质量明显改善，区域可持续发展能力得到保障，生态文化氛围浓厚、生态文明观念意识全面普及，生态文明建设示范县各项指标全面优于国家考核标准，全域生态文明全面提升。建成为在全国具有影响力的国家生态文明建设示范县典范。</w:t>
      </w:r>
    </w:p>
    <w:p>
      <w:pPr>
        <w:pStyle w:val="4"/>
        <w:ind w:firstLine="643" w:firstLineChars="200"/>
      </w:pPr>
      <w:bookmarkStart w:id="17" w:name="_Toc92390528"/>
      <w:r>
        <w:t>（六）建设指标</w:t>
      </w:r>
      <w:bookmarkEnd w:id="17"/>
    </w:p>
    <w:p>
      <w:pPr>
        <w:adjustRightInd w:val="0"/>
        <w:snapToGrid w:val="0"/>
        <w:ind w:firstLine="560"/>
        <w:rPr>
          <w:szCs w:val="28"/>
        </w:rPr>
      </w:pPr>
      <w:r>
        <w:rPr>
          <w:szCs w:val="28"/>
        </w:rPr>
        <w:t>根据国家生态环境部《关于印发&lt;国家生态文明建设示范市县建设指标&gt;&lt;国家生态文明建设示范市县管理规程&gt;和&lt;“绿水青山就是金山银山”实践创新基地建设管理规程（试行）&gt;的通知》（环生态〔2019〕76号）相关要求，结合庆阳市宁县建设发展实际，从生态制度、生态安全、生态空间、生态经济、生态生活、生态文化6个领域，目标责任体系与制度建设、生态环境质量改善、生态系统保护、生态环境风险防范、空间格局优化、资源节约与利用、产业循环发展、人居环境改善、生活方式绿色化、观念意识普及10大任务，确定宁县建设国家生态文明建设示范县的指标体系，共设置35考核指标，其中约束性指标</w:t>
      </w:r>
      <w:r>
        <w:rPr>
          <w:rFonts w:hint="eastAsia"/>
          <w:szCs w:val="28"/>
          <w:lang w:val="en-US" w:eastAsia="zh-CN"/>
        </w:rPr>
        <w:t>20</w:t>
      </w:r>
      <w:r>
        <w:rPr>
          <w:szCs w:val="28"/>
        </w:rPr>
        <w:t>项，参考性指标</w:t>
      </w:r>
      <w:r>
        <w:rPr>
          <w:rFonts w:hint="eastAsia"/>
          <w:szCs w:val="28"/>
          <w:lang w:val="en-US" w:eastAsia="zh-CN"/>
        </w:rPr>
        <w:t>15</w:t>
      </w:r>
      <w:r>
        <w:rPr>
          <w:szCs w:val="28"/>
        </w:rPr>
        <w:t>项。</w:t>
      </w:r>
    </w:p>
    <w:p>
      <w:pPr>
        <w:ind w:firstLine="560"/>
        <w:rPr>
          <w:szCs w:val="28"/>
        </w:rPr>
        <w:sectPr>
          <w:footerReference r:id="rId11" w:type="default"/>
          <w:pgSz w:w="11906" w:h="16838"/>
          <w:pgMar w:top="1440" w:right="1800" w:bottom="1440" w:left="1800" w:header="851" w:footer="850" w:gutter="0"/>
          <w:pgNumType w:fmt="numberInDash" w:start="1"/>
          <w:cols w:space="425" w:num="1"/>
          <w:docGrid w:linePitch="381" w:charSpace="0"/>
        </w:sectPr>
      </w:pPr>
    </w:p>
    <w:p>
      <w:pPr>
        <w:adjustRightInd w:val="0"/>
        <w:snapToGrid w:val="0"/>
        <w:ind w:firstLine="64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表1 庆阳市宁县国家生态文明建设示范县建设规划目标表</w:t>
      </w:r>
    </w:p>
    <w:tbl>
      <w:tblPr>
        <w:tblStyle w:val="15"/>
        <w:tblW w:w="139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99"/>
        <w:gridCol w:w="812"/>
        <w:gridCol w:w="405"/>
        <w:gridCol w:w="2902"/>
        <w:gridCol w:w="738"/>
        <w:gridCol w:w="1286"/>
        <w:gridCol w:w="886"/>
        <w:gridCol w:w="1325"/>
        <w:gridCol w:w="1034"/>
        <w:gridCol w:w="1104"/>
        <w:gridCol w:w="1101"/>
        <w:gridCol w:w="17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tblHeader/>
          <w:jc w:val="center"/>
        </w:trPr>
        <w:tc>
          <w:tcPr>
            <w:tcW w:w="599" w:type="dxa"/>
            <w:vMerge w:val="restart"/>
            <w:vAlign w:val="center"/>
          </w:tcPr>
          <w:p>
            <w:pPr>
              <w:spacing w:line="240" w:lineRule="auto"/>
              <w:ind w:firstLine="0" w:firstLineChars="0"/>
              <w:jc w:val="center"/>
              <w:rPr>
                <w:rFonts w:eastAsia="华文仿宋"/>
                <w:b/>
                <w:kern w:val="0"/>
                <w:sz w:val="21"/>
                <w:szCs w:val="21"/>
              </w:rPr>
            </w:pPr>
            <w:r>
              <w:rPr>
                <w:rFonts w:eastAsia="华文仿宋"/>
                <w:b/>
                <w:kern w:val="0"/>
                <w:sz w:val="21"/>
                <w:szCs w:val="21"/>
              </w:rPr>
              <w:t>领域</w:t>
            </w:r>
          </w:p>
        </w:tc>
        <w:tc>
          <w:tcPr>
            <w:tcW w:w="812" w:type="dxa"/>
            <w:vMerge w:val="restart"/>
            <w:vAlign w:val="center"/>
          </w:tcPr>
          <w:p>
            <w:pPr>
              <w:spacing w:line="240" w:lineRule="auto"/>
              <w:ind w:firstLine="0" w:firstLineChars="0"/>
              <w:jc w:val="center"/>
              <w:rPr>
                <w:rFonts w:eastAsia="华文仿宋"/>
                <w:b/>
                <w:kern w:val="0"/>
                <w:sz w:val="21"/>
                <w:szCs w:val="21"/>
              </w:rPr>
            </w:pPr>
            <w:r>
              <w:rPr>
                <w:rFonts w:eastAsia="华文仿宋"/>
                <w:b/>
                <w:kern w:val="0"/>
                <w:sz w:val="21"/>
                <w:szCs w:val="21"/>
              </w:rPr>
              <w:t>任务</w:t>
            </w:r>
          </w:p>
        </w:tc>
        <w:tc>
          <w:tcPr>
            <w:tcW w:w="405" w:type="dxa"/>
            <w:vMerge w:val="restart"/>
            <w:vAlign w:val="center"/>
          </w:tcPr>
          <w:p>
            <w:pPr>
              <w:spacing w:line="240" w:lineRule="auto"/>
              <w:ind w:firstLine="0" w:firstLineChars="0"/>
              <w:jc w:val="center"/>
              <w:rPr>
                <w:rFonts w:eastAsia="华文仿宋"/>
                <w:b/>
                <w:kern w:val="0"/>
                <w:sz w:val="21"/>
                <w:szCs w:val="21"/>
              </w:rPr>
            </w:pPr>
            <w:r>
              <w:rPr>
                <w:rFonts w:eastAsia="华文仿宋"/>
                <w:b/>
                <w:kern w:val="0"/>
                <w:sz w:val="21"/>
                <w:szCs w:val="21"/>
              </w:rPr>
              <w:t>序号</w:t>
            </w:r>
          </w:p>
        </w:tc>
        <w:tc>
          <w:tcPr>
            <w:tcW w:w="2902" w:type="dxa"/>
            <w:vMerge w:val="restart"/>
            <w:vAlign w:val="center"/>
          </w:tcPr>
          <w:p>
            <w:pPr>
              <w:spacing w:line="240" w:lineRule="auto"/>
              <w:ind w:firstLine="0" w:firstLineChars="0"/>
              <w:jc w:val="center"/>
              <w:rPr>
                <w:rFonts w:eastAsia="华文仿宋"/>
                <w:b/>
                <w:kern w:val="0"/>
                <w:sz w:val="21"/>
                <w:szCs w:val="21"/>
              </w:rPr>
            </w:pPr>
            <w:r>
              <w:rPr>
                <w:rFonts w:eastAsia="华文仿宋"/>
                <w:b/>
                <w:kern w:val="0"/>
                <w:sz w:val="21"/>
                <w:szCs w:val="21"/>
              </w:rPr>
              <w:t>指标名称</w:t>
            </w:r>
          </w:p>
        </w:tc>
        <w:tc>
          <w:tcPr>
            <w:tcW w:w="738" w:type="dxa"/>
            <w:vMerge w:val="restart"/>
            <w:vAlign w:val="center"/>
          </w:tcPr>
          <w:p>
            <w:pPr>
              <w:spacing w:line="240" w:lineRule="auto"/>
              <w:ind w:firstLine="0" w:firstLineChars="0"/>
              <w:jc w:val="center"/>
              <w:rPr>
                <w:rFonts w:eastAsia="华文仿宋"/>
                <w:b/>
                <w:kern w:val="0"/>
                <w:sz w:val="21"/>
                <w:szCs w:val="21"/>
              </w:rPr>
            </w:pPr>
            <w:r>
              <w:rPr>
                <w:rFonts w:eastAsia="华文仿宋"/>
                <w:b/>
                <w:kern w:val="0"/>
                <w:sz w:val="21"/>
                <w:szCs w:val="21"/>
              </w:rPr>
              <w:t>单位</w:t>
            </w:r>
          </w:p>
        </w:tc>
        <w:tc>
          <w:tcPr>
            <w:tcW w:w="1286" w:type="dxa"/>
            <w:vMerge w:val="restart"/>
            <w:vAlign w:val="center"/>
          </w:tcPr>
          <w:p>
            <w:pPr>
              <w:spacing w:line="240" w:lineRule="auto"/>
              <w:ind w:firstLine="0" w:firstLineChars="0"/>
              <w:jc w:val="center"/>
              <w:rPr>
                <w:rFonts w:eastAsia="华文仿宋"/>
                <w:b/>
                <w:kern w:val="0"/>
                <w:sz w:val="21"/>
                <w:szCs w:val="21"/>
              </w:rPr>
            </w:pPr>
            <w:r>
              <w:rPr>
                <w:rFonts w:eastAsia="华文仿宋"/>
                <w:b/>
                <w:kern w:val="0"/>
                <w:sz w:val="21"/>
                <w:szCs w:val="21"/>
              </w:rPr>
              <w:t>指标值</w:t>
            </w:r>
          </w:p>
        </w:tc>
        <w:tc>
          <w:tcPr>
            <w:tcW w:w="886" w:type="dxa"/>
            <w:vMerge w:val="restart"/>
            <w:vAlign w:val="center"/>
          </w:tcPr>
          <w:p>
            <w:pPr>
              <w:spacing w:line="240" w:lineRule="auto"/>
              <w:ind w:firstLine="0" w:firstLineChars="0"/>
              <w:jc w:val="center"/>
              <w:rPr>
                <w:rFonts w:eastAsia="华文仿宋"/>
                <w:b/>
                <w:kern w:val="0"/>
                <w:sz w:val="21"/>
                <w:szCs w:val="21"/>
              </w:rPr>
            </w:pPr>
            <w:r>
              <w:rPr>
                <w:rFonts w:eastAsia="华文仿宋"/>
                <w:b/>
                <w:kern w:val="0"/>
                <w:sz w:val="21"/>
                <w:szCs w:val="21"/>
              </w:rPr>
              <w:t>指标属性</w:t>
            </w:r>
          </w:p>
        </w:tc>
        <w:tc>
          <w:tcPr>
            <w:tcW w:w="1325" w:type="dxa"/>
            <w:vMerge w:val="restart"/>
            <w:vAlign w:val="center"/>
          </w:tcPr>
          <w:p>
            <w:pPr>
              <w:spacing w:line="240" w:lineRule="auto"/>
              <w:ind w:firstLine="0" w:firstLineChars="0"/>
              <w:jc w:val="center"/>
              <w:rPr>
                <w:rFonts w:eastAsia="华文仿宋"/>
                <w:b/>
                <w:kern w:val="0"/>
                <w:sz w:val="21"/>
                <w:szCs w:val="21"/>
              </w:rPr>
            </w:pPr>
            <w:r>
              <w:rPr>
                <w:rFonts w:eastAsia="华文仿宋"/>
                <w:b/>
                <w:kern w:val="0"/>
                <w:sz w:val="21"/>
                <w:szCs w:val="21"/>
              </w:rPr>
              <w:t>现状值</w:t>
            </w:r>
          </w:p>
          <w:p>
            <w:pPr>
              <w:spacing w:line="240" w:lineRule="auto"/>
              <w:ind w:firstLine="0" w:firstLineChars="0"/>
              <w:jc w:val="center"/>
              <w:rPr>
                <w:rFonts w:eastAsia="华文仿宋"/>
                <w:b/>
                <w:kern w:val="0"/>
                <w:sz w:val="21"/>
                <w:szCs w:val="21"/>
              </w:rPr>
            </w:pPr>
            <w:r>
              <w:rPr>
                <w:rFonts w:eastAsia="华文仿宋"/>
                <w:b/>
                <w:kern w:val="0"/>
                <w:sz w:val="21"/>
                <w:szCs w:val="21"/>
              </w:rPr>
              <w:t>（2020年）</w:t>
            </w:r>
          </w:p>
        </w:tc>
        <w:tc>
          <w:tcPr>
            <w:tcW w:w="1034" w:type="dxa"/>
            <w:vMerge w:val="restart"/>
            <w:vAlign w:val="center"/>
          </w:tcPr>
          <w:p>
            <w:pPr>
              <w:spacing w:line="240" w:lineRule="auto"/>
              <w:ind w:firstLine="0" w:firstLineChars="0"/>
              <w:jc w:val="center"/>
              <w:rPr>
                <w:rFonts w:eastAsia="华文仿宋"/>
                <w:b/>
                <w:kern w:val="0"/>
                <w:sz w:val="21"/>
                <w:szCs w:val="21"/>
              </w:rPr>
            </w:pPr>
            <w:r>
              <w:rPr>
                <w:rFonts w:eastAsia="华文仿宋"/>
                <w:b/>
                <w:kern w:val="0"/>
                <w:sz w:val="21"/>
                <w:szCs w:val="21"/>
              </w:rPr>
              <w:t>达标情况</w:t>
            </w:r>
          </w:p>
        </w:tc>
        <w:tc>
          <w:tcPr>
            <w:tcW w:w="2205" w:type="dxa"/>
            <w:gridSpan w:val="2"/>
            <w:vAlign w:val="center"/>
          </w:tcPr>
          <w:p>
            <w:pPr>
              <w:spacing w:line="240" w:lineRule="auto"/>
              <w:ind w:firstLine="0" w:firstLineChars="0"/>
              <w:jc w:val="center"/>
              <w:rPr>
                <w:rFonts w:eastAsia="华文仿宋"/>
                <w:b/>
                <w:kern w:val="0"/>
                <w:sz w:val="21"/>
                <w:szCs w:val="21"/>
              </w:rPr>
            </w:pPr>
            <w:r>
              <w:rPr>
                <w:rFonts w:eastAsia="华文仿宋"/>
                <w:b/>
                <w:kern w:val="0"/>
                <w:sz w:val="21"/>
                <w:szCs w:val="21"/>
              </w:rPr>
              <w:t>目标值</w:t>
            </w:r>
          </w:p>
        </w:tc>
        <w:tc>
          <w:tcPr>
            <w:tcW w:w="1786" w:type="dxa"/>
            <w:vMerge w:val="restart"/>
            <w:vAlign w:val="center"/>
          </w:tcPr>
          <w:p>
            <w:pPr>
              <w:spacing w:line="240" w:lineRule="auto"/>
              <w:ind w:firstLine="0" w:firstLineChars="0"/>
              <w:jc w:val="center"/>
              <w:rPr>
                <w:rFonts w:eastAsia="华文仿宋"/>
                <w:b/>
                <w:kern w:val="0"/>
                <w:sz w:val="21"/>
                <w:szCs w:val="21"/>
              </w:rPr>
            </w:pPr>
            <w:r>
              <w:rPr>
                <w:rFonts w:eastAsia="华文仿宋"/>
                <w:b/>
                <w:kern w:val="0"/>
                <w:sz w:val="21"/>
                <w:szCs w:val="21"/>
              </w:rPr>
              <w:t>责任单位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tblHeader/>
          <w:jc w:val="center"/>
        </w:trPr>
        <w:tc>
          <w:tcPr>
            <w:tcW w:w="599" w:type="dxa"/>
            <w:vMerge w:val="continue"/>
            <w:vAlign w:val="center"/>
          </w:tcPr>
          <w:p>
            <w:pPr>
              <w:spacing w:line="240" w:lineRule="auto"/>
              <w:ind w:firstLine="0" w:firstLineChars="0"/>
              <w:jc w:val="center"/>
              <w:rPr>
                <w:rFonts w:eastAsia="华文仿宋"/>
                <w:b/>
                <w:kern w:val="0"/>
                <w:sz w:val="21"/>
                <w:szCs w:val="21"/>
              </w:rPr>
            </w:pPr>
          </w:p>
        </w:tc>
        <w:tc>
          <w:tcPr>
            <w:tcW w:w="812" w:type="dxa"/>
            <w:vMerge w:val="continue"/>
            <w:vAlign w:val="center"/>
          </w:tcPr>
          <w:p>
            <w:pPr>
              <w:spacing w:line="240" w:lineRule="auto"/>
              <w:ind w:firstLine="0" w:firstLineChars="0"/>
              <w:jc w:val="center"/>
              <w:rPr>
                <w:rFonts w:eastAsia="华文仿宋"/>
                <w:b/>
                <w:kern w:val="0"/>
                <w:sz w:val="21"/>
                <w:szCs w:val="21"/>
              </w:rPr>
            </w:pPr>
          </w:p>
        </w:tc>
        <w:tc>
          <w:tcPr>
            <w:tcW w:w="405" w:type="dxa"/>
            <w:vMerge w:val="continue"/>
            <w:vAlign w:val="center"/>
          </w:tcPr>
          <w:p>
            <w:pPr>
              <w:spacing w:line="240" w:lineRule="auto"/>
              <w:ind w:firstLine="0" w:firstLineChars="0"/>
              <w:jc w:val="center"/>
              <w:rPr>
                <w:rFonts w:eastAsia="华文仿宋"/>
                <w:b/>
                <w:kern w:val="0"/>
                <w:sz w:val="21"/>
                <w:szCs w:val="21"/>
              </w:rPr>
            </w:pPr>
          </w:p>
        </w:tc>
        <w:tc>
          <w:tcPr>
            <w:tcW w:w="2902" w:type="dxa"/>
            <w:vMerge w:val="continue"/>
            <w:vAlign w:val="center"/>
          </w:tcPr>
          <w:p>
            <w:pPr>
              <w:spacing w:line="240" w:lineRule="auto"/>
              <w:ind w:firstLine="0" w:firstLineChars="0"/>
              <w:jc w:val="center"/>
              <w:rPr>
                <w:rFonts w:eastAsia="华文仿宋"/>
                <w:b/>
                <w:kern w:val="0"/>
                <w:sz w:val="21"/>
                <w:szCs w:val="21"/>
              </w:rPr>
            </w:pPr>
          </w:p>
        </w:tc>
        <w:tc>
          <w:tcPr>
            <w:tcW w:w="738" w:type="dxa"/>
            <w:vMerge w:val="continue"/>
            <w:vAlign w:val="center"/>
          </w:tcPr>
          <w:p>
            <w:pPr>
              <w:spacing w:line="240" w:lineRule="auto"/>
              <w:ind w:firstLine="0" w:firstLineChars="0"/>
              <w:jc w:val="center"/>
              <w:rPr>
                <w:rFonts w:eastAsia="华文仿宋"/>
                <w:b/>
                <w:kern w:val="0"/>
                <w:sz w:val="21"/>
                <w:szCs w:val="21"/>
              </w:rPr>
            </w:pPr>
          </w:p>
        </w:tc>
        <w:tc>
          <w:tcPr>
            <w:tcW w:w="1286" w:type="dxa"/>
            <w:vMerge w:val="continue"/>
            <w:vAlign w:val="center"/>
          </w:tcPr>
          <w:p>
            <w:pPr>
              <w:spacing w:line="240" w:lineRule="auto"/>
              <w:ind w:firstLine="0" w:firstLineChars="0"/>
              <w:jc w:val="center"/>
              <w:rPr>
                <w:rFonts w:eastAsia="华文仿宋"/>
                <w:b/>
                <w:kern w:val="0"/>
                <w:sz w:val="21"/>
                <w:szCs w:val="21"/>
              </w:rPr>
            </w:pPr>
          </w:p>
        </w:tc>
        <w:tc>
          <w:tcPr>
            <w:tcW w:w="886" w:type="dxa"/>
            <w:vMerge w:val="continue"/>
            <w:tcBorders>
              <w:bottom w:val="single" w:color="auto" w:sz="4" w:space="0"/>
            </w:tcBorders>
            <w:vAlign w:val="center"/>
          </w:tcPr>
          <w:p>
            <w:pPr>
              <w:spacing w:line="240" w:lineRule="auto"/>
              <w:ind w:firstLine="0" w:firstLineChars="0"/>
              <w:jc w:val="center"/>
              <w:rPr>
                <w:rFonts w:eastAsia="华文仿宋"/>
                <w:b/>
                <w:kern w:val="0"/>
                <w:sz w:val="21"/>
                <w:szCs w:val="21"/>
              </w:rPr>
            </w:pPr>
          </w:p>
        </w:tc>
        <w:tc>
          <w:tcPr>
            <w:tcW w:w="1325" w:type="dxa"/>
            <w:vMerge w:val="continue"/>
            <w:tcBorders>
              <w:bottom w:val="single" w:color="auto" w:sz="4" w:space="0"/>
            </w:tcBorders>
            <w:vAlign w:val="center"/>
          </w:tcPr>
          <w:p>
            <w:pPr>
              <w:spacing w:line="240" w:lineRule="auto"/>
              <w:ind w:firstLine="0" w:firstLineChars="0"/>
              <w:jc w:val="center"/>
              <w:rPr>
                <w:rFonts w:eastAsia="华文仿宋"/>
                <w:b/>
                <w:kern w:val="0"/>
                <w:sz w:val="21"/>
                <w:szCs w:val="21"/>
              </w:rPr>
            </w:pPr>
          </w:p>
        </w:tc>
        <w:tc>
          <w:tcPr>
            <w:tcW w:w="1034" w:type="dxa"/>
            <w:vMerge w:val="continue"/>
            <w:tcBorders>
              <w:bottom w:val="single" w:color="auto" w:sz="4" w:space="0"/>
            </w:tcBorders>
            <w:vAlign w:val="center"/>
          </w:tcPr>
          <w:p>
            <w:pPr>
              <w:spacing w:line="240" w:lineRule="auto"/>
              <w:ind w:firstLine="0" w:firstLineChars="0"/>
              <w:jc w:val="center"/>
              <w:rPr>
                <w:rFonts w:eastAsia="华文仿宋"/>
                <w:b/>
                <w:kern w:val="0"/>
                <w:sz w:val="21"/>
                <w:szCs w:val="21"/>
              </w:rPr>
            </w:pPr>
          </w:p>
        </w:tc>
        <w:tc>
          <w:tcPr>
            <w:tcW w:w="1104" w:type="dxa"/>
            <w:vAlign w:val="center"/>
          </w:tcPr>
          <w:p>
            <w:pPr>
              <w:spacing w:line="240" w:lineRule="auto"/>
              <w:ind w:firstLine="0" w:firstLineChars="0"/>
              <w:jc w:val="center"/>
              <w:rPr>
                <w:rFonts w:eastAsia="华文仿宋"/>
                <w:b/>
                <w:kern w:val="0"/>
                <w:sz w:val="21"/>
                <w:szCs w:val="21"/>
              </w:rPr>
            </w:pPr>
            <w:r>
              <w:rPr>
                <w:rFonts w:eastAsia="华文仿宋"/>
                <w:b/>
                <w:kern w:val="0"/>
                <w:sz w:val="21"/>
                <w:szCs w:val="21"/>
              </w:rPr>
              <w:t>近期</w:t>
            </w:r>
          </w:p>
          <w:p>
            <w:pPr>
              <w:spacing w:line="240" w:lineRule="auto"/>
              <w:ind w:firstLine="0" w:firstLineChars="0"/>
              <w:jc w:val="center"/>
              <w:rPr>
                <w:rFonts w:eastAsia="华文仿宋"/>
                <w:b/>
                <w:kern w:val="0"/>
                <w:sz w:val="21"/>
                <w:szCs w:val="21"/>
              </w:rPr>
            </w:pPr>
            <w:r>
              <w:rPr>
                <w:rFonts w:eastAsia="华文仿宋"/>
                <w:b/>
                <w:kern w:val="0"/>
                <w:sz w:val="21"/>
                <w:szCs w:val="21"/>
              </w:rPr>
              <w:t>（2022年）</w:t>
            </w:r>
          </w:p>
        </w:tc>
        <w:tc>
          <w:tcPr>
            <w:tcW w:w="1101" w:type="dxa"/>
            <w:vAlign w:val="center"/>
          </w:tcPr>
          <w:p>
            <w:pPr>
              <w:spacing w:line="240" w:lineRule="auto"/>
              <w:ind w:firstLine="0" w:firstLineChars="0"/>
              <w:jc w:val="center"/>
              <w:rPr>
                <w:rFonts w:eastAsia="华文仿宋"/>
                <w:b/>
                <w:kern w:val="0"/>
                <w:sz w:val="21"/>
                <w:szCs w:val="21"/>
              </w:rPr>
            </w:pPr>
            <w:r>
              <w:rPr>
                <w:rFonts w:eastAsia="华文仿宋"/>
                <w:b/>
                <w:kern w:val="0"/>
                <w:sz w:val="21"/>
                <w:szCs w:val="21"/>
              </w:rPr>
              <w:t>远期</w:t>
            </w:r>
          </w:p>
          <w:p>
            <w:pPr>
              <w:spacing w:line="240" w:lineRule="auto"/>
              <w:ind w:firstLine="0" w:firstLineChars="0"/>
              <w:jc w:val="center"/>
              <w:rPr>
                <w:rFonts w:eastAsia="华文仿宋"/>
                <w:b/>
                <w:kern w:val="0"/>
                <w:sz w:val="21"/>
                <w:szCs w:val="21"/>
              </w:rPr>
            </w:pPr>
            <w:r>
              <w:rPr>
                <w:rFonts w:eastAsia="华文仿宋"/>
                <w:b/>
                <w:kern w:val="0"/>
                <w:sz w:val="21"/>
                <w:szCs w:val="21"/>
              </w:rPr>
              <w:t>（2025年）</w:t>
            </w:r>
          </w:p>
        </w:tc>
        <w:tc>
          <w:tcPr>
            <w:tcW w:w="1786" w:type="dxa"/>
            <w:vMerge w:val="continue"/>
            <w:vAlign w:val="center"/>
          </w:tcPr>
          <w:p>
            <w:pPr>
              <w:spacing w:line="240" w:lineRule="auto"/>
              <w:ind w:firstLine="0" w:firstLineChars="0"/>
              <w:jc w:val="center"/>
              <w:rPr>
                <w:rFonts w:eastAsia="华文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生</w:t>
            </w:r>
          </w:p>
          <w:p>
            <w:pPr>
              <w:spacing w:line="240" w:lineRule="auto"/>
              <w:ind w:firstLine="0" w:firstLineChars="0"/>
              <w:jc w:val="center"/>
              <w:rPr>
                <w:rFonts w:eastAsia="华文仿宋"/>
                <w:kern w:val="0"/>
                <w:sz w:val="21"/>
                <w:szCs w:val="21"/>
              </w:rPr>
            </w:pPr>
            <w:r>
              <w:rPr>
                <w:rFonts w:eastAsia="华文仿宋"/>
                <w:kern w:val="0"/>
                <w:sz w:val="21"/>
                <w:szCs w:val="21"/>
              </w:rPr>
              <w:t>态</w:t>
            </w:r>
          </w:p>
          <w:p>
            <w:pPr>
              <w:spacing w:line="240" w:lineRule="auto"/>
              <w:ind w:firstLine="0" w:firstLineChars="0"/>
              <w:jc w:val="center"/>
              <w:rPr>
                <w:rFonts w:eastAsia="华文仿宋"/>
                <w:kern w:val="0"/>
                <w:sz w:val="21"/>
                <w:szCs w:val="21"/>
              </w:rPr>
            </w:pPr>
            <w:r>
              <w:rPr>
                <w:rFonts w:eastAsia="华文仿宋"/>
                <w:kern w:val="0"/>
                <w:sz w:val="21"/>
                <w:szCs w:val="21"/>
              </w:rPr>
              <w:t>制</w:t>
            </w:r>
          </w:p>
          <w:p>
            <w:pPr>
              <w:spacing w:line="240" w:lineRule="auto"/>
              <w:ind w:firstLine="0" w:firstLineChars="0"/>
              <w:jc w:val="center"/>
              <w:rPr>
                <w:rFonts w:eastAsia="华文仿宋"/>
                <w:kern w:val="0"/>
                <w:sz w:val="21"/>
                <w:szCs w:val="21"/>
              </w:rPr>
            </w:pPr>
            <w:r>
              <w:rPr>
                <w:rFonts w:eastAsia="华文仿宋"/>
                <w:kern w:val="0"/>
                <w:sz w:val="21"/>
                <w:szCs w:val="21"/>
              </w:rPr>
              <w:t>度</w:t>
            </w:r>
          </w:p>
        </w:tc>
        <w:tc>
          <w:tcPr>
            <w:tcW w:w="812"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（一）</w:t>
            </w:r>
          </w:p>
          <w:p>
            <w:pPr>
              <w:spacing w:line="240" w:lineRule="auto"/>
              <w:ind w:firstLine="0" w:firstLineChars="0"/>
              <w:jc w:val="center"/>
              <w:rPr>
                <w:rFonts w:eastAsia="华文仿宋"/>
                <w:kern w:val="0"/>
                <w:sz w:val="21"/>
                <w:szCs w:val="21"/>
              </w:rPr>
            </w:pPr>
            <w:r>
              <w:rPr>
                <w:rFonts w:eastAsia="华文仿宋"/>
                <w:kern w:val="0"/>
                <w:sz w:val="21"/>
                <w:szCs w:val="21"/>
              </w:rPr>
              <w:t>目标责任体系与制度建设</w:t>
            </w: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生态文明建设规划</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制定实施</w:t>
            </w:r>
          </w:p>
        </w:tc>
        <w:tc>
          <w:tcPr>
            <w:tcW w:w="886"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约束性</w:t>
            </w:r>
          </w:p>
        </w:tc>
        <w:tc>
          <w:tcPr>
            <w:tcW w:w="1325"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制定实施</w:t>
            </w:r>
          </w:p>
        </w:tc>
        <w:tc>
          <w:tcPr>
            <w:tcW w:w="1034"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制定实施</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制定实施</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县生态环境局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2</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党委政府对生态文明建设重大目标任务研究部署情况</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有效开展</w:t>
            </w:r>
          </w:p>
        </w:tc>
        <w:tc>
          <w:tcPr>
            <w:tcW w:w="886"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约束性</w:t>
            </w:r>
          </w:p>
        </w:tc>
        <w:tc>
          <w:tcPr>
            <w:tcW w:w="1325"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开展</w:t>
            </w:r>
          </w:p>
        </w:tc>
        <w:tc>
          <w:tcPr>
            <w:tcW w:w="1034"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有效开展</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有效开展</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县委办</w:t>
            </w:r>
          </w:p>
          <w:p>
            <w:pPr>
              <w:spacing w:line="240" w:lineRule="auto"/>
              <w:ind w:firstLine="0" w:firstLineChars="0"/>
              <w:jc w:val="center"/>
              <w:rPr>
                <w:rFonts w:eastAsia="华文仿宋"/>
                <w:kern w:val="0"/>
                <w:sz w:val="21"/>
                <w:szCs w:val="21"/>
              </w:rPr>
            </w:pPr>
            <w:r>
              <w:rPr>
                <w:rFonts w:eastAsia="华文仿宋"/>
                <w:kern w:val="0"/>
                <w:sz w:val="21"/>
                <w:szCs w:val="21"/>
              </w:rPr>
              <w:t>县政府办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3</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生态文明建设工作占党政实绩考核的比例</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≥20</w:t>
            </w:r>
          </w:p>
        </w:tc>
        <w:tc>
          <w:tcPr>
            <w:tcW w:w="886"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约束性</w:t>
            </w:r>
          </w:p>
        </w:tc>
        <w:tc>
          <w:tcPr>
            <w:tcW w:w="1325"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25</w:t>
            </w:r>
          </w:p>
        </w:tc>
        <w:tc>
          <w:tcPr>
            <w:tcW w:w="1034" w:type="dxa"/>
            <w:tcBorders>
              <w:bottom w:val="single" w:color="auto" w:sz="4" w:space="0"/>
            </w:tcBorders>
            <w:vAlign w:val="center"/>
          </w:tcPr>
          <w:p>
            <w:pPr>
              <w:spacing w:line="240" w:lineRule="auto"/>
              <w:ind w:firstLine="0" w:firstLineChars="0"/>
              <w:jc w:val="center"/>
              <w:rPr>
                <w:rFonts w:eastAsia="华文仿宋"/>
                <w:kern w:val="0"/>
                <w:sz w:val="21"/>
                <w:szCs w:val="21"/>
                <w:highlight w:val="yellow"/>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≥25</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≥30</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县委组织部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4</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河长制</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全面实施</w:t>
            </w:r>
          </w:p>
        </w:tc>
        <w:tc>
          <w:tcPr>
            <w:tcW w:w="8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约束性</w:t>
            </w:r>
          </w:p>
        </w:tc>
        <w:tc>
          <w:tcPr>
            <w:tcW w:w="132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全面实施</w:t>
            </w:r>
          </w:p>
        </w:tc>
        <w:tc>
          <w:tcPr>
            <w:tcW w:w="103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全面实施</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全面实施</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县水务局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5</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生态环境信息公开率</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886"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约束性</w:t>
            </w:r>
          </w:p>
        </w:tc>
        <w:tc>
          <w:tcPr>
            <w:tcW w:w="1325"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1034"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县生态环境局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6</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依法开展规划环境影响评价</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开展</w:t>
            </w:r>
          </w:p>
        </w:tc>
        <w:tc>
          <w:tcPr>
            <w:tcW w:w="886"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约束性</w:t>
            </w:r>
          </w:p>
        </w:tc>
        <w:tc>
          <w:tcPr>
            <w:tcW w:w="1325"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开展</w:t>
            </w:r>
          </w:p>
        </w:tc>
        <w:tc>
          <w:tcPr>
            <w:tcW w:w="1034"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开展</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开展</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县生态环境局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62" w:hRule="atLeast"/>
          <w:jc w:val="center"/>
        </w:trPr>
        <w:tc>
          <w:tcPr>
            <w:tcW w:w="599"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生</w:t>
            </w:r>
          </w:p>
          <w:p>
            <w:pPr>
              <w:spacing w:line="240" w:lineRule="auto"/>
              <w:ind w:firstLine="0" w:firstLineChars="0"/>
              <w:jc w:val="center"/>
              <w:rPr>
                <w:rFonts w:eastAsia="华文仿宋"/>
                <w:kern w:val="0"/>
                <w:sz w:val="21"/>
                <w:szCs w:val="21"/>
              </w:rPr>
            </w:pPr>
            <w:r>
              <w:rPr>
                <w:rFonts w:eastAsia="华文仿宋"/>
                <w:kern w:val="0"/>
                <w:sz w:val="21"/>
                <w:szCs w:val="21"/>
              </w:rPr>
              <w:t>态</w:t>
            </w:r>
          </w:p>
          <w:p>
            <w:pPr>
              <w:spacing w:line="240" w:lineRule="auto"/>
              <w:ind w:firstLine="0" w:firstLineChars="0"/>
              <w:jc w:val="center"/>
              <w:rPr>
                <w:rFonts w:eastAsia="华文仿宋"/>
                <w:kern w:val="0"/>
                <w:sz w:val="21"/>
                <w:szCs w:val="21"/>
              </w:rPr>
            </w:pPr>
            <w:r>
              <w:rPr>
                <w:rFonts w:eastAsia="华文仿宋"/>
                <w:kern w:val="0"/>
                <w:sz w:val="21"/>
                <w:szCs w:val="21"/>
              </w:rPr>
              <w:t>安</w:t>
            </w:r>
          </w:p>
          <w:p>
            <w:pPr>
              <w:spacing w:line="240" w:lineRule="auto"/>
              <w:ind w:firstLine="0" w:firstLineChars="0"/>
              <w:jc w:val="center"/>
              <w:rPr>
                <w:rFonts w:eastAsia="华文仿宋"/>
                <w:kern w:val="0"/>
                <w:sz w:val="21"/>
                <w:szCs w:val="21"/>
              </w:rPr>
            </w:pPr>
            <w:r>
              <w:rPr>
                <w:rFonts w:eastAsia="华文仿宋"/>
                <w:kern w:val="0"/>
                <w:sz w:val="21"/>
                <w:szCs w:val="21"/>
              </w:rPr>
              <w:t>全</w:t>
            </w:r>
          </w:p>
        </w:tc>
        <w:tc>
          <w:tcPr>
            <w:tcW w:w="812"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（二）</w:t>
            </w:r>
          </w:p>
          <w:p>
            <w:pPr>
              <w:spacing w:line="240" w:lineRule="auto"/>
              <w:ind w:firstLine="0" w:firstLineChars="0"/>
              <w:jc w:val="center"/>
              <w:rPr>
                <w:rFonts w:eastAsia="华文仿宋"/>
                <w:kern w:val="0"/>
                <w:sz w:val="21"/>
                <w:szCs w:val="21"/>
              </w:rPr>
            </w:pPr>
            <w:r>
              <w:rPr>
                <w:rFonts w:eastAsia="华文仿宋"/>
                <w:kern w:val="0"/>
                <w:sz w:val="21"/>
                <w:szCs w:val="21"/>
              </w:rPr>
              <w:t>环境质量改善</w:t>
            </w:r>
          </w:p>
        </w:tc>
        <w:tc>
          <w:tcPr>
            <w:tcW w:w="405"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7</w:t>
            </w:r>
          </w:p>
        </w:tc>
        <w:tc>
          <w:tcPr>
            <w:tcW w:w="2902" w:type="dxa"/>
            <w:vAlign w:val="center"/>
          </w:tcPr>
          <w:p>
            <w:pPr>
              <w:spacing w:line="240" w:lineRule="auto"/>
              <w:ind w:firstLine="0" w:firstLineChars="0"/>
              <w:jc w:val="left"/>
              <w:rPr>
                <w:rFonts w:eastAsia="华文仿宋"/>
                <w:kern w:val="0"/>
                <w:sz w:val="21"/>
                <w:szCs w:val="21"/>
              </w:rPr>
            </w:pPr>
            <w:r>
              <w:rPr>
                <w:rFonts w:eastAsia="华文仿宋"/>
                <w:kern w:val="0"/>
                <w:sz w:val="21"/>
                <w:szCs w:val="21"/>
              </w:rPr>
              <w:t>环境空气质量</w:t>
            </w:r>
          </w:p>
        </w:tc>
        <w:tc>
          <w:tcPr>
            <w:tcW w:w="7474" w:type="dxa"/>
            <w:gridSpan w:val="7"/>
            <w:vAlign w:val="center"/>
          </w:tcPr>
          <w:p>
            <w:pPr>
              <w:spacing w:line="240" w:lineRule="auto"/>
              <w:ind w:firstLine="0" w:firstLineChars="0"/>
              <w:jc w:val="left"/>
              <w:rPr>
                <w:rFonts w:eastAsia="华文仿宋"/>
                <w:kern w:val="0"/>
                <w:sz w:val="21"/>
                <w:szCs w:val="21"/>
              </w:rPr>
            </w:pPr>
          </w:p>
        </w:tc>
        <w:tc>
          <w:tcPr>
            <w:tcW w:w="1786"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县生态环境局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955"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Merge w:val="continue"/>
            <w:vAlign w:val="center"/>
          </w:tcPr>
          <w:p>
            <w:pPr>
              <w:spacing w:line="240" w:lineRule="auto"/>
              <w:ind w:firstLine="0" w:firstLineChars="0"/>
              <w:jc w:val="center"/>
              <w:rPr>
                <w:rFonts w:eastAsia="华文仿宋"/>
                <w:kern w:val="0"/>
                <w:sz w:val="21"/>
                <w:szCs w:val="21"/>
              </w:rPr>
            </w:pP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优良天数比例</w:t>
            </w:r>
          </w:p>
        </w:tc>
        <w:tc>
          <w:tcPr>
            <w:tcW w:w="738"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完成上级规定的考核任务；已达标地区保持稳定，未达标地区持续改善</w:t>
            </w:r>
          </w:p>
        </w:tc>
        <w:tc>
          <w:tcPr>
            <w:tcW w:w="886"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约束性</w:t>
            </w:r>
          </w:p>
        </w:tc>
        <w:tc>
          <w:tcPr>
            <w:tcW w:w="1325"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95.5</w:t>
            </w:r>
          </w:p>
        </w:tc>
        <w:tc>
          <w:tcPr>
            <w:tcW w:w="1034"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完成上级规定的考核任务</w:t>
            </w:r>
          </w:p>
        </w:tc>
        <w:tc>
          <w:tcPr>
            <w:tcW w:w="1101"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完成上级规定的考核任务</w:t>
            </w:r>
          </w:p>
        </w:tc>
        <w:tc>
          <w:tcPr>
            <w:tcW w:w="1786" w:type="dxa"/>
            <w:vAlign w:val="center"/>
          </w:tcPr>
          <w:p>
            <w:pPr>
              <w:spacing w:line="240" w:lineRule="auto"/>
              <w:ind w:firstLine="0" w:firstLineChars="0"/>
              <w:jc w:val="center"/>
              <w:rPr>
                <w:rFonts w:eastAsia="华文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Merge w:val="continue"/>
            <w:vAlign w:val="center"/>
          </w:tcPr>
          <w:p>
            <w:pPr>
              <w:spacing w:line="240" w:lineRule="auto"/>
              <w:ind w:firstLine="0" w:firstLineChars="0"/>
              <w:jc w:val="center"/>
              <w:rPr>
                <w:rFonts w:eastAsia="华文仿宋"/>
                <w:kern w:val="0"/>
                <w:sz w:val="21"/>
                <w:szCs w:val="21"/>
              </w:rPr>
            </w:pP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PM</w:t>
            </w:r>
            <w:r>
              <w:rPr>
                <w:rFonts w:eastAsia="华文仿宋"/>
                <w:kern w:val="0"/>
                <w:sz w:val="21"/>
                <w:szCs w:val="21"/>
                <w:vertAlign w:val="subscript"/>
              </w:rPr>
              <w:t>2.5</w:t>
            </w:r>
            <w:r>
              <w:rPr>
                <w:rFonts w:eastAsia="华文仿宋"/>
                <w:kern w:val="0"/>
                <w:sz w:val="21"/>
                <w:szCs w:val="21"/>
              </w:rPr>
              <w:t>浓度下降幅度</w:t>
            </w:r>
          </w:p>
        </w:tc>
        <w:tc>
          <w:tcPr>
            <w:tcW w:w="738" w:type="dxa"/>
            <w:vMerge w:val="continue"/>
            <w:vAlign w:val="center"/>
          </w:tcPr>
          <w:p>
            <w:pPr>
              <w:spacing w:line="240" w:lineRule="auto"/>
              <w:ind w:firstLine="0" w:firstLineChars="0"/>
              <w:jc w:val="center"/>
              <w:rPr>
                <w:rFonts w:eastAsia="华文仿宋"/>
                <w:kern w:val="0"/>
                <w:sz w:val="21"/>
                <w:szCs w:val="21"/>
              </w:rPr>
            </w:pPr>
          </w:p>
        </w:tc>
        <w:tc>
          <w:tcPr>
            <w:tcW w:w="1286" w:type="dxa"/>
            <w:vMerge w:val="continue"/>
            <w:vAlign w:val="center"/>
          </w:tcPr>
          <w:p>
            <w:pPr>
              <w:spacing w:line="240" w:lineRule="auto"/>
              <w:ind w:firstLine="0" w:firstLineChars="0"/>
              <w:jc w:val="center"/>
              <w:rPr>
                <w:rFonts w:eastAsia="华文仿宋"/>
                <w:kern w:val="0"/>
                <w:sz w:val="21"/>
                <w:szCs w:val="21"/>
              </w:rPr>
            </w:pPr>
          </w:p>
        </w:tc>
        <w:tc>
          <w:tcPr>
            <w:tcW w:w="886" w:type="dxa"/>
            <w:vMerge w:val="continue"/>
            <w:tcBorders>
              <w:bottom w:val="single" w:color="auto" w:sz="4" w:space="0"/>
            </w:tcBorders>
            <w:vAlign w:val="center"/>
          </w:tcPr>
          <w:p>
            <w:pPr>
              <w:spacing w:line="240" w:lineRule="auto"/>
              <w:ind w:firstLine="0" w:firstLineChars="0"/>
              <w:jc w:val="center"/>
              <w:rPr>
                <w:rFonts w:eastAsia="华文仿宋"/>
                <w:kern w:val="0"/>
                <w:sz w:val="21"/>
                <w:szCs w:val="21"/>
              </w:rPr>
            </w:pPr>
          </w:p>
        </w:tc>
        <w:tc>
          <w:tcPr>
            <w:tcW w:w="1325"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6.7</w:t>
            </w:r>
          </w:p>
        </w:tc>
        <w:tc>
          <w:tcPr>
            <w:tcW w:w="1034" w:type="dxa"/>
            <w:vMerge w:val="continue"/>
            <w:tcBorders>
              <w:bottom w:val="single" w:color="auto" w:sz="4" w:space="0"/>
            </w:tcBorders>
            <w:vAlign w:val="center"/>
          </w:tcPr>
          <w:p>
            <w:pPr>
              <w:spacing w:line="240" w:lineRule="auto"/>
              <w:ind w:firstLine="0" w:firstLineChars="0"/>
              <w:jc w:val="center"/>
              <w:rPr>
                <w:rFonts w:eastAsia="华文仿宋"/>
                <w:kern w:val="0"/>
                <w:sz w:val="21"/>
                <w:szCs w:val="21"/>
              </w:rPr>
            </w:pPr>
          </w:p>
        </w:tc>
        <w:tc>
          <w:tcPr>
            <w:tcW w:w="1104" w:type="dxa"/>
            <w:vMerge w:val="continue"/>
            <w:vAlign w:val="center"/>
          </w:tcPr>
          <w:p>
            <w:pPr>
              <w:spacing w:line="240" w:lineRule="auto"/>
              <w:ind w:firstLine="0" w:firstLineChars="0"/>
              <w:jc w:val="center"/>
              <w:rPr>
                <w:rFonts w:eastAsia="华文仿宋"/>
                <w:kern w:val="0"/>
                <w:sz w:val="21"/>
                <w:szCs w:val="21"/>
              </w:rPr>
            </w:pPr>
          </w:p>
        </w:tc>
        <w:tc>
          <w:tcPr>
            <w:tcW w:w="1101" w:type="dxa"/>
            <w:vMerge w:val="continue"/>
            <w:vAlign w:val="center"/>
          </w:tcPr>
          <w:p>
            <w:pPr>
              <w:spacing w:line="240" w:lineRule="auto"/>
              <w:ind w:firstLine="0" w:firstLineChars="0"/>
              <w:jc w:val="center"/>
              <w:rPr>
                <w:rFonts w:eastAsia="华文仿宋"/>
                <w:kern w:val="0"/>
                <w:sz w:val="21"/>
                <w:szCs w:val="21"/>
              </w:rPr>
            </w:pPr>
          </w:p>
        </w:tc>
        <w:tc>
          <w:tcPr>
            <w:tcW w:w="1786" w:type="dxa"/>
            <w:vAlign w:val="center"/>
          </w:tcPr>
          <w:p>
            <w:pPr>
              <w:spacing w:line="240" w:lineRule="auto"/>
              <w:ind w:firstLine="0" w:firstLineChars="0"/>
              <w:jc w:val="center"/>
              <w:rPr>
                <w:rFonts w:eastAsia="华文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8</w:t>
            </w:r>
          </w:p>
        </w:tc>
        <w:tc>
          <w:tcPr>
            <w:tcW w:w="2902" w:type="dxa"/>
            <w:vAlign w:val="center"/>
          </w:tcPr>
          <w:p>
            <w:pPr>
              <w:spacing w:line="240" w:lineRule="auto"/>
              <w:ind w:firstLine="0" w:firstLineChars="0"/>
              <w:rPr>
                <w:rFonts w:eastAsia="华文仿宋"/>
                <w:kern w:val="0"/>
                <w:sz w:val="21"/>
                <w:szCs w:val="21"/>
              </w:rPr>
            </w:pPr>
            <w:r>
              <w:rPr>
                <w:rFonts w:eastAsia="华文仿宋"/>
                <w:kern w:val="0"/>
                <w:sz w:val="21"/>
                <w:szCs w:val="21"/>
              </w:rPr>
              <w:t>水环境质量</w:t>
            </w:r>
          </w:p>
        </w:tc>
        <w:tc>
          <w:tcPr>
            <w:tcW w:w="7474" w:type="dxa"/>
            <w:gridSpan w:val="7"/>
            <w:vAlign w:val="center"/>
          </w:tcPr>
          <w:p>
            <w:pPr>
              <w:spacing w:line="240" w:lineRule="auto"/>
              <w:ind w:firstLine="0" w:firstLineChars="0"/>
              <w:jc w:val="center"/>
              <w:rPr>
                <w:rFonts w:eastAsia="华文仿宋"/>
                <w:kern w:val="0"/>
                <w:sz w:val="21"/>
                <w:szCs w:val="21"/>
              </w:rPr>
            </w:pPr>
          </w:p>
        </w:tc>
        <w:tc>
          <w:tcPr>
            <w:tcW w:w="1786"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县生态环境局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Merge w:val="continue"/>
            <w:vAlign w:val="center"/>
          </w:tcPr>
          <w:p>
            <w:pPr>
              <w:spacing w:line="240" w:lineRule="auto"/>
              <w:ind w:firstLine="0" w:firstLineChars="0"/>
              <w:jc w:val="center"/>
              <w:rPr>
                <w:rFonts w:eastAsia="华文仿宋"/>
                <w:kern w:val="0"/>
                <w:sz w:val="21"/>
                <w:szCs w:val="21"/>
              </w:rPr>
            </w:pP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水质达到或优于Ⅲ类比例提高幅度</w:t>
            </w:r>
          </w:p>
        </w:tc>
        <w:tc>
          <w:tcPr>
            <w:tcW w:w="738"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完成上级规定的考核任务；保持稳定或持续改善</w:t>
            </w:r>
          </w:p>
        </w:tc>
        <w:tc>
          <w:tcPr>
            <w:tcW w:w="886"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约束性</w:t>
            </w:r>
          </w:p>
        </w:tc>
        <w:tc>
          <w:tcPr>
            <w:tcW w:w="1325" w:type="dxa"/>
            <w:tcBorders>
              <w:bottom w:val="single" w:color="auto" w:sz="4" w:space="0"/>
            </w:tcBorders>
            <w:vAlign w:val="center"/>
          </w:tcPr>
          <w:p>
            <w:pPr>
              <w:widowControl/>
              <w:spacing w:line="240" w:lineRule="auto"/>
              <w:ind w:firstLine="0" w:firstLineChars="0"/>
              <w:jc w:val="center"/>
              <w:rPr>
                <w:rFonts w:eastAsia="华文仿宋"/>
                <w:kern w:val="0"/>
                <w:sz w:val="21"/>
                <w:szCs w:val="21"/>
              </w:rPr>
            </w:pPr>
            <w:r>
              <w:rPr>
                <w:rFonts w:eastAsia="华文仿宋"/>
                <w:kern w:val="0"/>
                <w:sz w:val="21"/>
                <w:szCs w:val="21"/>
              </w:rPr>
              <w:t>提高20%</w:t>
            </w:r>
          </w:p>
        </w:tc>
        <w:tc>
          <w:tcPr>
            <w:tcW w:w="1034"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完成上级规定的考核任务</w:t>
            </w:r>
          </w:p>
        </w:tc>
        <w:tc>
          <w:tcPr>
            <w:tcW w:w="1101"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完成上级规定的考核任务</w:t>
            </w:r>
          </w:p>
        </w:tc>
        <w:tc>
          <w:tcPr>
            <w:tcW w:w="1786" w:type="dxa"/>
            <w:vAlign w:val="center"/>
          </w:tcPr>
          <w:p>
            <w:pPr>
              <w:spacing w:line="240" w:lineRule="auto"/>
              <w:ind w:firstLine="0" w:firstLineChars="0"/>
              <w:jc w:val="center"/>
              <w:rPr>
                <w:rFonts w:eastAsia="华文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Merge w:val="continue"/>
            <w:vAlign w:val="center"/>
          </w:tcPr>
          <w:p>
            <w:pPr>
              <w:spacing w:line="240" w:lineRule="auto"/>
              <w:ind w:firstLine="0" w:firstLineChars="0"/>
              <w:jc w:val="center"/>
              <w:rPr>
                <w:rFonts w:eastAsia="华文仿宋"/>
                <w:kern w:val="0"/>
                <w:sz w:val="21"/>
                <w:szCs w:val="21"/>
              </w:rPr>
            </w:pP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劣V类水体比例下降幅度</w:t>
            </w:r>
          </w:p>
        </w:tc>
        <w:tc>
          <w:tcPr>
            <w:tcW w:w="738" w:type="dxa"/>
            <w:vMerge w:val="continue"/>
            <w:vAlign w:val="center"/>
          </w:tcPr>
          <w:p>
            <w:pPr>
              <w:spacing w:line="240" w:lineRule="auto"/>
              <w:ind w:firstLine="0" w:firstLineChars="0"/>
              <w:jc w:val="center"/>
              <w:rPr>
                <w:rFonts w:eastAsia="华文仿宋"/>
                <w:kern w:val="0"/>
                <w:sz w:val="21"/>
                <w:szCs w:val="21"/>
              </w:rPr>
            </w:pPr>
          </w:p>
        </w:tc>
        <w:tc>
          <w:tcPr>
            <w:tcW w:w="1286" w:type="dxa"/>
            <w:vMerge w:val="continue"/>
            <w:vAlign w:val="center"/>
          </w:tcPr>
          <w:p>
            <w:pPr>
              <w:spacing w:line="240" w:lineRule="auto"/>
              <w:ind w:firstLine="0" w:firstLineChars="0"/>
              <w:jc w:val="center"/>
              <w:rPr>
                <w:rFonts w:eastAsia="华文仿宋"/>
                <w:kern w:val="0"/>
                <w:sz w:val="21"/>
                <w:szCs w:val="21"/>
              </w:rPr>
            </w:pPr>
          </w:p>
        </w:tc>
        <w:tc>
          <w:tcPr>
            <w:tcW w:w="886" w:type="dxa"/>
            <w:vMerge w:val="continue"/>
            <w:vAlign w:val="center"/>
          </w:tcPr>
          <w:p>
            <w:pPr>
              <w:spacing w:line="240" w:lineRule="auto"/>
              <w:ind w:firstLine="0" w:firstLineChars="0"/>
              <w:jc w:val="center"/>
              <w:rPr>
                <w:rFonts w:eastAsia="华文仿宋"/>
                <w:kern w:val="0"/>
                <w:sz w:val="21"/>
                <w:szCs w:val="21"/>
              </w:rPr>
            </w:pPr>
          </w:p>
        </w:tc>
        <w:tc>
          <w:tcPr>
            <w:tcW w:w="1325" w:type="dxa"/>
            <w:tcBorders>
              <w:bottom w:val="single" w:color="auto" w:sz="4" w:space="0"/>
            </w:tcBorders>
            <w:vAlign w:val="center"/>
          </w:tcPr>
          <w:p>
            <w:pPr>
              <w:widowControl/>
              <w:spacing w:line="240" w:lineRule="auto"/>
              <w:ind w:firstLine="0" w:firstLineChars="0"/>
              <w:jc w:val="center"/>
              <w:rPr>
                <w:rFonts w:eastAsia="华文仿宋"/>
                <w:kern w:val="0"/>
                <w:sz w:val="21"/>
                <w:szCs w:val="21"/>
              </w:rPr>
            </w:pPr>
            <w:r>
              <w:rPr>
                <w:rFonts w:eastAsia="华文仿宋"/>
                <w:kern w:val="0"/>
                <w:sz w:val="21"/>
                <w:szCs w:val="21"/>
              </w:rPr>
              <w:t>无劣Ⅴ类水体</w:t>
            </w:r>
          </w:p>
        </w:tc>
        <w:tc>
          <w:tcPr>
            <w:tcW w:w="1034" w:type="dxa"/>
            <w:vMerge w:val="continue"/>
            <w:vAlign w:val="center"/>
          </w:tcPr>
          <w:p>
            <w:pPr>
              <w:spacing w:line="240" w:lineRule="auto"/>
              <w:ind w:firstLine="0" w:firstLineChars="0"/>
              <w:jc w:val="center"/>
              <w:rPr>
                <w:rFonts w:eastAsia="华文仿宋"/>
                <w:kern w:val="0"/>
                <w:sz w:val="21"/>
                <w:szCs w:val="21"/>
              </w:rPr>
            </w:pPr>
          </w:p>
        </w:tc>
        <w:tc>
          <w:tcPr>
            <w:tcW w:w="1104" w:type="dxa"/>
            <w:vMerge w:val="continue"/>
            <w:vAlign w:val="center"/>
          </w:tcPr>
          <w:p>
            <w:pPr>
              <w:spacing w:line="240" w:lineRule="auto"/>
              <w:ind w:firstLine="0" w:firstLineChars="0"/>
              <w:jc w:val="center"/>
              <w:rPr>
                <w:rFonts w:eastAsia="华文仿宋"/>
                <w:kern w:val="0"/>
                <w:sz w:val="21"/>
                <w:szCs w:val="21"/>
              </w:rPr>
            </w:pPr>
          </w:p>
        </w:tc>
        <w:tc>
          <w:tcPr>
            <w:tcW w:w="1101" w:type="dxa"/>
            <w:vMerge w:val="continue"/>
            <w:vAlign w:val="center"/>
          </w:tcPr>
          <w:p>
            <w:pPr>
              <w:spacing w:line="240" w:lineRule="auto"/>
              <w:ind w:firstLine="0" w:firstLineChars="0"/>
              <w:jc w:val="center"/>
              <w:rPr>
                <w:rFonts w:eastAsia="华文仿宋"/>
                <w:kern w:val="0"/>
                <w:sz w:val="21"/>
                <w:szCs w:val="21"/>
              </w:rPr>
            </w:pPr>
          </w:p>
        </w:tc>
        <w:tc>
          <w:tcPr>
            <w:tcW w:w="1786" w:type="dxa"/>
            <w:vAlign w:val="center"/>
          </w:tcPr>
          <w:p>
            <w:pPr>
              <w:spacing w:line="240" w:lineRule="auto"/>
              <w:ind w:firstLine="0" w:firstLineChars="0"/>
              <w:jc w:val="center"/>
              <w:rPr>
                <w:rFonts w:eastAsia="华文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Merge w:val="continue"/>
            <w:vAlign w:val="center"/>
          </w:tcPr>
          <w:p>
            <w:pPr>
              <w:spacing w:line="240" w:lineRule="auto"/>
              <w:ind w:firstLine="0" w:firstLineChars="0"/>
              <w:jc w:val="center"/>
              <w:rPr>
                <w:rFonts w:eastAsia="华文仿宋"/>
                <w:kern w:val="0"/>
                <w:sz w:val="21"/>
                <w:szCs w:val="21"/>
              </w:rPr>
            </w:pP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黑臭水体消除比例</w:t>
            </w:r>
          </w:p>
        </w:tc>
        <w:tc>
          <w:tcPr>
            <w:tcW w:w="738" w:type="dxa"/>
            <w:vMerge w:val="continue"/>
            <w:vAlign w:val="center"/>
          </w:tcPr>
          <w:p>
            <w:pPr>
              <w:spacing w:line="240" w:lineRule="auto"/>
              <w:ind w:firstLine="0" w:firstLineChars="0"/>
              <w:jc w:val="center"/>
              <w:rPr>
                <w:rFonts w:eastAsia="华文仿宋"/>
                <w:kern w:val="0"/>
                <w:sz w:val="21"/>
                <w:szCs w:val="21"/>
              </w:rPr>
            </w:pPr>
          </w:p>
        </w:tc>
        <w:tc>
          <w:tcPr>
            <w:tcW w:w="1286" w:type="dxa"/>
            <w:vMerge w:val="continue"/>
            <w:vAlign w:val="center"/>
          </w:tcPr>
          <w:p>
            <w:pPr>
              <w:spacing w:line="240" w:lineRule="auto"/>
              <w:ind w:firstLine="0" w:firstLineChars="0"/>
              <w:jc w:val="center"/>
              <w:rPr>
                <w:rFonts w:eastAsia="华文仿宋"/>
                <w:kern w:val="0"/>
                <w:sz w:val="21"/>
                <w:szCs w:val="21"/>
              </w:rPr>
            </w:pPr>
          </w:p>
        </w:tc>
        <w:tc>
          <w:tcPr>
            <w:tcW w:w="886" w:type="dxa"/>
            <w:vMerge w:val="continue"/>
            <w:tcBorders>
              <w:bottom w:val="single" w:color="auto" w:sz="4" w:space="0"/>
            </w:tcBorders>
            <w:vAlign w:val="center"/>
          </w:tcPr>
          <w:p>
            <w:pPr>
              <w:spacing w:line="240" w:lineRule="auto"/>
              <w:ind w:firstLine="0" w:firstLineChars="0"/>
              <w:jc w:val="center"/>
              <w:rPr>
                <w:rFonts w:eastAsia="华文仿宋"/>
                <w:kern w:val="0"/>
                <w:sz w:val="21"/>
                <w:szCs w:val="21"/>
              </w:rPr>
            </w:pPr>
          </w:p>
        </w:tc>
        <w:tc>
          <w:tcPr>
            <w:tcW w:w="1325" w:type="dxa"/>
            <w:tcBorders>
              <w:bottom w:val="single" w:color="auto" w:sz="4" w:space="0"/>
            </w:tcBorders>
            <w:vAlign w:val="center"/>
          </w:tcPr>
          <w:p>
            <w:pPr>
              <w:widowControl/>
              <w:spacing w:line="240" w:lineRule="auto"/>
              <w:ind w:firstLine="0" w:firstLineChars="0"/>
              <w:jc w:val="center"/>
              <w:rPr>
                <w:rFonts w:eastAsia="华文仿宋"/>
                <w:kern w:val="0"/>
                <w:sz w:val="21"/>
                <w:szCs w:val="21"/>
              </w:rPr>
            </w:pPr>
            <w:r>
              <w:rPr>
                <w:rFonts w:eastAsia="华文仿宋"/>
                <w:kern w:val="0"/>
                <w:sz w:val="21"/>
                <w:szCs w:val="21"/>
              </w:rPr>
              <w:t>无黑臭水体</w:t>
            </w:r>
          </w:p>
        </w:tc>
        <w:tc>
          <w:tcPr>
            <w:tcW w:w="1034" w:type="dxa"/>
            <w:vMerge w:val="continue"/>
            <w:tcBorders>
              <w:bottom w:val="single" w:color="auto" w:sz="4" w:space="0"/>
            </w:tcBorders>
            <w:vAlign w:val="center"/>
          </w:tcPr>
          <w:p>
            <w:pPr>
              <w:spacing w:line="240" w:lineRule="auto"/>
              <w:ind w:firstLine="0" w:firstLineChars="0"/>
              <w:jc w:val="center"/>
              <w:rPr>
                <w:rFonts w:eastAsia="华文仿宋"/>
                <w:kern w:val="0"/>
                <w:sz w:val="21"/>
                <w:szCs w:val="21"/>
              </w:rPr>
            </w:pPr>
          </w:p>
        </w:tc>
        <w:tc>
          <w:tcPr>
            <w:tcW w:w="1104" w:type="dxa"/>
            <w:vMerge w:val="continue"/>
            <w:vAlign w:val="center"/>
          </w:tcPr>
          <w:p>
            <w:pPr>
              <w:spacing w:line="240" w:lineRule="auto"/>
              <w:ind w:firstLine="0" w:firstLineChars="0"/>
              <w:jc w:val="center"/>
              <w:rPr>
                <w:rFonts w:eastAsia="华文仿宋"/>
                <w:kern w:val="0"/>
                <w:sz w:val="21"/>
                <w:szCs w:val="21"/>
              </w:rPr>
            </w:pPr>
          </w:p>
        </w:tc>
        <w:tc>
          <w:tcPr>
            <w:tcW w:w="1101" w:type="dxa"/>
            <w:vMerge w:val="continue"/>
            <w:vAlign w:val="center"/>
          </w:tcPr>
          <w:p>
            <w:pPr>
              <w:spacing w:line="240" w:lineRule="auto"/>
              <w:ind w:firstLine="0" w:firstLineChars="0"/>
              <w:jc w:val="center"/>
              <w:rPr>
                <w:rFonts w:eastAsia="华文仿宋"/>
                <w:kern w:val="0"/>
                <w:sz w:val="21"/>
                <w:szCs w:val="21"/>
              </w:rPr>
            </w:pPr>
          </w:p>
        </w:tc>
        <w:tc>
          <w:tcPr>
            <w:tcW w:w="1786" w:type="dxa"/>
            <w:vAlign w:val="center"/>
          </w:tcPr>
          <w:p>
            <w:pPr>
              <w:spacing w:line="240" w:lineRule="auto"/>
              <w:ind w:firstLine="0" w:firstLineChars="0"/>
              <w:jc w:val="center"/>
              <w:rPr>
                <w:rFonts w:eastAsia="华文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（三）</w:t>
            </w:r>
          </w:p>
          <w:p>
            <w:pPr>
              <w:spacing w:line="240" w:lineRule="auto"/>
              <w:ind w:firstLine="0" w:firstLineChars="0"/>
              <w:jc w:val="center"/>
              <w:rPr>
                <w:rFonts w:eastAsia="华文仿宋"/>
                <w:kern w:val="0"/>
                <w:sz w:val="21"/>
                <w:szCs w:val="21"/>
              </w:rPr>
            </w:pPr>
            <w:r>
              <w:rPr>
                <w:rFonts w:eastAsia="华文仿宋"/>
                <w:kern w:val="0"/>
                <w:sz w:val="21"/>
                <w:szCs w:val="21"/>
              </w:rPr>
              <w:t>生态系统保护</w:t>
            </w: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9</w:t>
            </w:r>
          </w:p>
        </w:tc>
        <w:tc>
          <w:tcPr>
            <w:tcW w:w="2902" w:type="dxa"/>
            <w:vAlign w:val="center"/>
          </w:tcPr>
          <w:p>
            <w:pPr>
              <w:spacing w:line="240" w:lineRule="auto"/>
              <w:ind w:firstLine="0" w:firstLineChars="0"/>
              <w:rPr>
                <w:rFonts w:eastAsia="华文仿宋"/>
                <w:kern w:val="0"/>
                <w:sz w:val="21"/>
                <w:szCs w:val="21"/>
              </w:rPr>
            </w:pPr>
            <w:r>
              <w:rPr>
                <w:rFonts w:eastAsia="华文仿宋"/>
                <w:kern w:val="0"/>
                <w:sz w:val="21"/>
                <w:szCs w:val="21"/>
              </w:rPr>
              <w:t>生态环境状况指数</w:t>
            </w:r>
          </w:p>
          <w:p>
            <w:pPr>
              <w:spacing w:line="240" w:lineRule="auto"/>
              <w:ind w:firstLine="0" w:firstLineChars="0"/>
              <w:jc w:val="center"/>
              <w:rPr>
                <w:rFonts w:eastAsia="华文仿宋"/>
                <w:kern w:val="0"/>
                <w:sz w:val="21"/>
                <w:szCs w:val="21"/>
              </w:rPr>
            </w:pPr>
            <w:r>
              <w:rPr>
                <w:rFonts w:eastAsia="华文仿宋"/>
                <w:kern w:val="0"/>
                <w:sz w:val="21"/>
                <w:szCs w:val="21"/>
              </w:rPr>
              <w:t>干旱半干旱地区</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≥35</w:t>
            </w:r>
          </w:p>
        </w:tc>
        <w:tc>
          <w:tcPr>
            <w:tcW w:w="886"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约束性</w:t>
            </w:r>
          </w:p>
        </w:tc>
        <w:tc>
          <w:tcPr>
            <w:tcW w:w="1325"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55.33</w:t>
            </w:r>
          </w:p>
        </w:tc>
        <w:tc>
          <w:tcPr>
            <w:tcW w:w="1034"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不降低</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不降低</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县生态环境局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w:t>
            </w:r>
          </w:p>
        </w:tc>
        <w:tc>
          <w:tcPr>
            <w:tcW w:w="2902" w:type="dxa"/>
            <w:vAlign w:val="center"/>
          </w:tcPr>
          <w:p>
            <w:pPr>
              <w:spacing w:line="240" w:lineRule="auto"/>
              <w:ind w:firstLine="0" w:firstLineChars="0"/>
              <w:rPr>
                <w:rFonts w:eastAsia="华文仿宋"/>
                <w:kern w:val="0"/>
                <w:sz w:val="21"/>
                <w:szCs w:val="21"/>
              </w:rPr>
            </w:pPr>
            <w:r>
              <w:rPr>
                <w:rFonts w:eastAsia="华文仿宋"/>
                <w:kern w:val="0"/>
                <w:sz w:val="21"/>
                <w:szCs w:val="21"/>
              </w:rPr>
              <w:t>林草覆盖率</w:t>
            </w:r>
          </w:p>
          <w:p>
            <w:pPr>
              <w:spacing w:line="240" w:lineRule="auto"/>
              <w:ind w:firstLine="0" w:firstLineChars="0"/>
              <w:jc w:val="center"/>
              <w:rPr>
                <w:rFonts w:eastAsia="华文仿宋"/>
                <w:kern w:val="0"/>
                <w:sz w:val="21"/>
                <w:szCs w:val="21"/>
              </w:rPr>
            </w:pPr>
            <w:r>
              <w:rPr>
                <w:rFonts w:eastAsia="华文仿宋"/>
                <w:kern w:val="0"/>
                <w:sz w:val="21"/>
                <w:szCs w:val="21"/>
              </w:rPr>
              <w:t>丘陵地区</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≥40</w:t>
            </w:r>
          </w:p>
        </w:tc>
        <w:tc>
          <w:tcPr>
            <w:tcW w:w="886"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参考性</w:t>
            </w:r>
          </w:p>
        </w:tc>
        <w:tc>
          <w:tcPr>
            <w:tcW w:w="1325"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41.12</w:t>
            </w:r>
          </w:p>
        </w:tc>
        <w:tc>
          <w:tcPr>
            <w:tcW w:w="1034"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不降低</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不降低</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县林草局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11</w:t>
            </w:r>
          </w:p>
        </w:tc>
        <w:tc>
          <w:tcPr>
            <w:tcW w:w="10376" w:type="dxa"/>
            <w:gridSpan w:val="8"/>
            <w:vAlign w:val="center"/>
          </w:tcPr>
          <w:p>
            <w:pPr>
              <w:spacing w:line="240" w:lineRule="auto"/>
              <w:ind w:firstLine="0" w:firstLineChars="0"/>
              <w:jc w:val="left"/>
              <w:rPr>
                <w:rFonts w:eastAsia="华文仿宋"/>
                <w:kern w:val="0"/>
                <w:sz w:val="21"/>
                <w:szCs w:val="21"/>
              </w:rPr>
            </w:pPr>
            <w:r>
              <w:rPr>
                <w:rFonts w:eastAsia="华文仿宋"/>
                <w:kern w:val="0"/>
                <w:sz w:val="21"/>
                <w:szCs w:val="21"/>
              </w:rPr>
              <w:t>生物多样性保护</w:t>
            </w:r>
          </w:p>
        </w:tc>
        <w:tc>
          <w:tcPr>
            <w:tcW w:w="1786"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县林草局</w:t>
            </w:r>
          </w:p>
          <w:p>
            <w:pPr>
              <w:spacing w:line="240" w:lineRule="auto"/>
              <w:ind w:firstLine="0" w:firstLineChars="0"/>
              <w:jc w:val="center"/>
              <w:rPr>
                <w:rFonts w:eastAsia="华文仿宋"/>
                <w:kern w:val="0"/>
                <w:sz w:val="21"/>
                <w:szCs w:val="21"/>
              </w:rPr>
            </w:pPr>
            <w:r>
              <w:rPr>
                <w:rFonts w:eastAsia="华文仿宋"/>
                <w:kern w:val="0"/>
                <w:sz w:val="21"/>
                <w:szCs w:val="21"/>
              </w:rPr>
              <w:t>县农业农村局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Merge w:val="continue"/>
            <w:vAlign w:val="center"/>
          </w:tcPr>
          <w:p>
            <w:pPr>
              <w:spacing w:line="240" w:lineRule="auto"/>
              <w:ind w:firstLine="0" w:firstLineChars="0"/>
              <w:jc w:val="center"/>
              <w:rPr>
                <w:rFonts w:eastAsia="华文仿宋"/>
                <w:kern w:val="0"/>
                <w:sz w:val="21"/>
                <w:szCs w:val="21"/>
              </w:rPr>
            </w:pP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国家重点保护野生动植物保护率</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≥95</w:t>
            </w:r>
          </w:p>
        </w:tc>
        <w:tc>
          <w:tcPr>
            <w:tcW w:w="886"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参考性</w:t>
            </w:r>
          </w:p>
        </w:tc>
        <w:tc>
          <w:tcPr>
            <w:tcW w:w="132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1034"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不降低</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不降低</w:t>
            </w:r>
          </w:p>
        </w:tc>
        <w:tc>
          <w:tcPr>
            <w:tcW w:w="1786" w:type="dxa"/>
            <w:vAlign w:val="center"/>
          </w:tcPr>
          <w:p>
            <w:pPr>
              <w:spacing w:line="240" w:lineRule="auto"/>
              <w:ind w:firstLine="0" w:firstLineChars="0"/>
              <w:jc w:val="center"/>
              <w:rPr>
                <w:rFonts w:eastAsia="华文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Merge w:val="continue"/>
            <w:vAlign w:val="center"/>
          </w:tcPr>
          <w:p>
            <w:pPr>
              <w:spacing w:line="240" w:lineRule="auto"/>
              <w:ind w:firstLine="0" w:firstLineChars="0"/>
              <w:jc w:val="center"/>
              <w:rPr>
                <w:rFonts w:eastAsia="华文仿宋"/>
                <w:kern w:val="0"/>
                <w:sz w:val="21"/>
                <w:szCs w:val="21"/>
              </w:rPr>
            </w:pP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外来物种入侵</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不明显</w:t>
            </w:r>
          </w:p>
        </w:tc>
        <w:tc>
          <w:tcPr>
            <w:tcW w:w="886" w:type="dxa"/>
            <w:vMerge w:val="continue"/>
            <w:vAlign w:val="center"/>
          </w:tcPr>
          <w:p>
            <w:pPr>
              <w:spacing w:line="240" w:lineRule="auto"/>
              <w:ind w:firstLine="0" w:firstLineChars="0"/>
              <w:jc w:val="center"/>
              <w:rPr>
                <w:rFonts w:eastAsia="华文仿宋"/>
                <w:kern w:val="0"/>
                <w:sz w:val="21"/>
                <w:szCs w:val="21"/>
              </w:rPr>
            </w:pPr>
          </w:p>
        </w:tc>
        <w:tc>
          <w:tcPr>
            <w:tcW w:w="132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未发生</w:t>
            </w:r>
          </w:p>
        </w:tc>
        <w:tc>
          <w:tcPr>
            <w:tcW w:w="1034" w:type="dxa"/>
            <w:vMerge w:val="continue"/>
            <w:vAlign w:val="center"/>
          </w:tcPr>
          <w:p>
            <w:pPr>
              <w:spacing w:line="240" w:lineRule="auto"/>
              <w:ind w:firstLine="0" w:firstLineChars="0"/>
              <w:jc w:val="center"/>
              <w:rPr>
                <w:rFonts w:eastAsia="华文仿宋"/>
                <w:kern w:val="0"/>
                <w:sz w:val="21"/>
                <w:szCs w:val="21"/>
              </w:rPr>
            </w:pP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不明显</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不明显</w:t>
            </w:r>
          </w:p>
        </w:tc>
        <w:tc>
          <w:tcPr>
            <w:tcW w:w="1786" w:type="dxa"/>
            <w:vAlign w:val="center"/>
          </w:tcPr>
          <w:p>
            <w:pPr>
              <w:spacing w:line="240" w:lineRule="auto"/>
              <w:ind w:firstLine="0" w:firstLineChars="0"/>
              <w:jc w:val="center"/>
              <w:rPr>
                <w:rFonts w:eastAsia="华文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Merge w:val="continue"/>
            <w:vAlign w:val="center"/>
          </w:tcPr>
          <w:p>
            <w:pPr>
              <w:spacing w:line="240" w:lineRule="auto"/>
              <w:ind w:firstLine="0" w:firstLineChars="0"/>
              <w:jc w:val="center"/>
              <w:rPr>
                <w:rFonts w:eastAsia="华文仿宋"/>
                <w:kern w:val="0"/>
                <w:sz w:val="21"/>
                <w:szCs w:val="21"/>
              </w:rPr>
            </w:pP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特有性或指示性水生物种保护率</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不降低</w:t>
            </w:r>
          </w:p>
        </w:tc>
        <w:tc>
          <w:tcPr>
            <w:tcW w:w="886" w:type="dxa"/>
            <w:vMerge w:val="continue"/>
            <w:vAlign w:val="center"/>
          </w:tcPr>
          <w:p>
            <w:pPr>
              <w:spacing w:line="240" w:lineRule="auto"/>
              <w:ind w:firstLine="0" w:firstLineChars="0"/>
              <w:jc w:val="center"/>
              <w:rPr>
                <w:rFonts w:eastAsia="华文仿宋"/>
                <w:kern w:val="0"/>
                <w:sz w:val="21"/>
                <w:szCs w:val="21"/>
              </w:rPr>
            </w:pPr>
          </w:p>
        </w:tc>
        <w:tc>
          <w:tcPr>
            <w:tcW w:w="132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未降低</w:t>
            </w:r>
          </w:p>
        </w:tc>
        <w:tc>
          <w:tcPr>
            <w:tcW w:w="1034" w:type="dxa"/>
            <w:vMerge w:val="continue"/>
            <w:vAlign w:val="center"/>
          </w:tcPr>
          <w:p>
            <w:pPr>
              <w:spacing w:line="240" w:lineRule="auto"/>
              <w:ind w:firstLine="0" w:firstLineChars="0"/>
              <w:jc w:val="center"/>
              <w:rPr>
                <w:rFonts w:eastAsia="华文仿宋"/>
                <w:kern w:val="0"/>
                <w:sz w:val="21"/>
                <w:szCs w:val="21"/>
              </w:rPr>
            </w:pP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不降低</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不降低</w:t>
            </w:r>
          </w:p>
        </w:tc>
        <w:tc>
          <w:tcPr>
            <w:tcW w:w="1786" w:type="dxa"/>
            <w:vAlign w:val="center"/>
          </w:tcPr>
          <w:p>
            <w:pPr>
              <w:spacing w:line="240" w:lineRule="auto"/>
              <w:ind w:firstLine="0" w:firstLineChars="0"/>
              <w:jc w:val="center"/>
              <w:rPr>
                <w:rFonts w:eastAsia="华文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18"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（四）</w:t>
            </w:r>
          </w:p>
          <w:p>
            <w:pPr>
              <w:spacing w:line="240" w:lineRule="auto"/>
              <w:ind w:firstLine="0" w:firstLineChars="0"/>
              <w:jc w:val="center"/>
              <w:rPr>
                <w:rFonts w:eastAsia="华文仿宋"/>
                <w:kern w:val="0"/>
                <w:sz w:val="21"/>
                <w:szCs w:val="21"/>
              </w:rPr>
            </w:pPr>
            <w:r>
              <w:rPr>
                <w:rFonts w:eastAsia="华文仿宋"/>
                <w:kern w:val="0"/>
                <w:sz w:val="21"/>
                <w:szCs w:val="21"/>
              </w:rPr>
              <w:t>环境风险防范</w:t>
            </w: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12</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危险废物利用处置率</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886"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约束性</w:t>
            </w:r>
          </w:p>
        </w:tc>
        <w:tc>
          <w:tcPr>
            <w:tcW w:w="1325"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1034"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不降低</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不降低</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县生态环境局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13</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建设用地土壤污染风险管控和修复名录制度</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建立</w:t>
            </w:r>
          </w:p>
        </w:tc>
        <w:tc>
          <w:tcPr>
            <w:tcW w:w="886"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参考性</w:t>
            </w:r>
          </w:p>
        </w:tc>
        <w:tc>
          <w:tcPr>
            <w:tcW w:w="1325"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已建立</w:t>
            </w:r>
          </w:p>
        </w:tc>
        <w:tc>
          <w:tcPr>
            <w:tcW w:w="1034"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建立</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建立</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县生态环境局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14</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突发生态环境事件应急管理机制</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建立</w:t>
            </w:r>
          </w:p>
        </w:tc>
        <w:tc>
          <w:tcPr>
            <w:tcW w:w="886"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约束性</w:t>
            </w:r>
          </w:p>
        </w:tc>
        <w:tc>
          <w:tcPr>
            <w:tcW w:w="1325"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已建立</w:t>
            </w:r>
          </w:p>
        </w:tc>
        <w:tc>
          <w:tcPr>
            <w:tcW w:w="1034"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建立</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建立</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县生态环境局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生</w:t>
            </w:r>
          </w:p>
          <w:p>
            <w:pPr>
              <w:spacing w:line="240" w:lineRule="auto"/>
              <w:ind w:firstLine="0" w:firstLineChars="0"/>
              <w:jc w:val="center"/>
              <w:rPr>
                <w:rFonts w:eastAsia="华文仿宋"/>
                <w:kern w:val="0"/>
                <w:sz w:val="21"/>
                <w:szCs w:val="21"/>
              </w:rPr>
            </w:pPr>
            <w:r>
              <w:rPr>
                <w:rFonts w:eastAsia="华文仿宋"/>
                <w:kern w:val="0"/>
                <w:sz w:val="21"/>
                <w:szCs w:val="21"/>
              </w:rPr>
              <w:t>态</w:t>
            </w:r>
          </w:p>
          <w:p>
            <w:pPr>
              <w:spacing w:line="240" w:lineRule="auto"/>
              <w:ind w:firstLine="0" w:firstLineChars="0"/>
              <w:jc w:val="center"/>
              <w:rPr>
                <w:rFonts w:eastAsia="华文仿宋"/>
                <w:kern w:val="0"/>
                <w:sz w:val="21"/>
                <w:szCs w:val="21"/>
              </w:rPr>
            </w:pPr>
            <w:r>
              <w:rPr>
                <w:rFonts w:eastAsia="华文仿宋"/>
                <w:kern w:val="0"/>
                <w:sz w:val="21"/>
                <w:szCs w:val="21"/>
              </w:rPr>
              <w:t>空</w:t>
            </w:r>
          </w:p>
          <w:p>
            <w:pPr>
              <w:spacing w:line="240" w:lineRule="auto"/>
              <w:ind w:firstLine="0" w:firstLineChars="0"/>
              <w:jc w:val="center"/>
              <w:rPr>
                <w:rFonts w:eastAsia="华文仿宋"/>
                <w:kern w:val="0"/>
                <w:sz w:val="21"/>
                <w:szCs w:val="21"/>
              </w:rPr>
            </w:pPr>
            <w:r>
              <w:rPr>
                <w:rFonts w:eastAsia="华文仿宋"/>
                <w:kern w:val="0"/>
                <w:sz w:val="21"/>
                <w:szCs w:val="21"/>
              </w:rPr>
              <w:t>间</w:t>
            </w:r>
          </w:p>
        </w:tc>
        <w:tc>
          <w:tcPr>
            <w:tcW w:w="812"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（五）</w:t>
            </w:r>
          </w:p>
          <w:p>
            <w:pPr>
              <w:spacing w:line="240" w:lineRule="auto"/>
              <w:ind w:firstLine="0" w:firstLineChars="0"/>
              <w:jc w:val="center"/>
              <w:rPr>
                <w:rFonts w:eastAsia="华文仿宋"/>
                <w:kern w:val="0"/>
                <w:sz w:val="21"/>
                <w:szCs w:val="21"/>
              </w:rPr>
            </w:pPr>
            <w:r>
              <w:rPr>
                <w:rFonts w:eastAsia="华文仿宋"/>
                <w:kern w:val="0"/>
                <w:sz w:val="21"/>
                <w:szCs w:val="21"/>
              </w:rPr>
              <w:t>空间格局优化</w:t>
            </w:r>
          </w:p>
        </w:tc>
        <w:tc>
          <w:tcPr>
            <w:tcW w:w="405"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15</w:t>
            </w:r>
          </w:p>
        </w:tc>
        <w:tc>
          <w:tcPr>
            <w:tcW w:w="2902" w:type="dxa"/>
            <w:vAlign w:val="center"/>
          </w:tcPr>
          <w:p>
            <w:pPr>
              <w:spacing w:line="240" w:lineRule="auto"/>
              <w:ind w:firstLine="0" w:firstLineChars="0"/>
              <w:jc w:val="left"/>
              <w:rPr>
                <w:rFonts w:eastAsia="华文仿宋"/>
                <w:kern w:val="0"/>
                <w:sz w:val="21"/>
                <w:szCs w:val="21"/>
              </w:rPr>
            </w:pPr>
            <w:r>
              <w:rPr>
                <w:rFonts w:eastAsia="华文仿宋"/>
                <w:kern w:val="0"/>
                <w:sz w:val="21"/>
                <w:szCs w:val="21"/>
              </w:rPr>
              <w:t>自然生态空间</w:t>
            </w:r>
          </w:p>
        </w:tc>
        <w:tc>
          <w:tcPr>
            <w:tcW w:w="7474" w:type="dxa"/>
            <w:gridSpan w:val="7"/>
            <w:vAlign w:val="center"/>
          </w:tcPr>
          <w:p>
            <w:pPr>
              <w:spacing w:line="240" w:lineRule="auto"/>
              <w:ind w:firstLine="0" w:firstLineChars="0"/>
              <w:jc w:val="left"/>
              <w:rPr>
                <w:rFonts w:eastAsia="华文仿宋"/>
                <w:kern w:val="0"/>
                <w:sz w:val="21"/>
                <w:szCs w:val="21"/>
              </w:rPr>
            </w:pPr>
          </w:p>
        </w:tc>
        <w:tc>
          <w:tcPr>
            <w:tcW w:w="1786"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县自然资源局</w:t>
            </w:r>
          </w:p>
          <w:p>
            <w:pPr>
              <w:spacing w:line="240" w:lineRule="auto"/>
              <w:ind w:firstLine="0" w:firstLineChars="0"/>
              <w:jc w:val="center"/>
              <w:rPr>
                <w:rFonts w:eastAsia="华文仿宋"/>
                <w:kern w:val="0"/>
                <w:sz w:val="21"/>
                <w:szCs w:val="21"/>
              </w:rPr>
            </w:pPr>
            <w:r>
              <w:rPr>
                <w:rFonts w:eastAsia="华文仿宋"/>
                <w:kern w:val="0"/>
                <w:sz w:val="21"/>
                <w:szCs w:val="21"/>
              </w:rPr>
              <w:t>县林草局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Merge w:val="continue"/>
            <w:vAlign w:val="center"/>
          </w:tcPr>
          <w:p>
            <w:pPr>
              <w:spacing w:line="240" w:lineRule="auto"/>
              <w:ind w:firstLine="0" w:firstLineChars="0"/>
              <w:jc w:val="center"/>
              <w:rPr>
                <w:rFonts w:eastAsia="华文仿宋"/>
                <w:kern w:val="0"/>
                <w:sz w:val="21"/>
                <w:szCs w:val="21"/>
              </w:rPr>
            </w:pP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生态保护红线</w:t>
            </w:r>
          </w:p>
        </w:tc>
        <w:tc>
          <w:tcPr>
            <w:tcW w:w="738"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面积不减少，性质不改变，功能不降低</w:t>
            </w:r>
          </w:p>
        </w:tc>
        <w:tc>
          <w:tcPr>
            <w:tcW w:w="886"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约束性</w:t>
            </w:r>
          </w:p>
        </w:tc>
        <w:tc>
          <w:tcPr>
            <w:tcW w:w="1325"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面积不减少，性质不改变，功能不降低</w:t>
            </w:r>
          </w:p>
        </w:tc>
        <w:tc>
          <w:tcPr>
            <w:tcW w:w="1034"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面积不减少，性质不改变，功能不降低</w:t>
            </w:r>
          </w:p>
        </w:tc>
        <w:tc>
          <w:tcPr>
            <w:tcW w:w="1101"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面积不减少，性质不改变，功能不降低</w:t>
            </w:r>
          </w:p>
        </w:tc>
        <w:tc>
          <w:tcPr>
            <w:tcW w:w="1786" w:type="dxa"/>
            <w:vAlign w:val="center"/>
          </w:tcPr>
          <w:p>
            <w:pPr>
              <w:spacing w:line="240" w:lineRule="auto"/>
              <w:ind w:firstLine="0" w:firstLineChars="0"/>
              <w:jc w:val="center"/>
              <w:rPr>
                <w:rFonts w:eastAsia="华文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Merge w:val="continue"/>
            <w:vAlign w:val="center"/>
          </w:tcPr>
          <w:p>
            <w:pPr>
              <w:spacing w:line="240" w:lineRule="auto"/>
              <w:ind w:firstLine="0" w:firstLineChars="0"/>
              <w:jc w:val="center"/>
              <w:rPr>
                <w:rFonts w:eastAsia="华文仿宋"/>
                <w:kern w:val="0"/>
                <w:sz w:val="21"/>
                <w:szCs w:val="21"/>
              </w:rPr>
            </w:pP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自然保护地</w:t>
            </w:r>
          </w:p>
        </w:tc>
        <w:tc>
          <w:tcPr>
            <w:tcW w:w="738" w:type="dxa"/>
            <w:vMerge w:val="continue"/>
            <w:vAlign w:val="center"/>
          </w:tcPr>
          <w:p>
            <w:pPr>
              <w:spacing w:line="240" w:lineRule="auto"/>
              <w:ind w:firstLine="0" w:firstLineChars="0"/>
              <w:jc w:val="center"/>
              <w:rPr>
                <w:rFonts w:eastAsia="华文仿宋"/>
                <w:kern w:val="0"/>
                <w:sz w:val="21"/>
                <w:szCs w:val="21"/>
              </w:rPr>
            </w:pPr>
          </w:p>
        </w:tc>
        <w:tc>
          <w:tcPr>
            <w:tcW w:w="1286" w:type="dxa"/>
            <w:vMerge w:val="continue"/>
            <w:vAlign w:val="center"/>
          </w:tcPr>
          <w:p>
            <w:pPr>
              <w:spacing w:line="240" w:lineRule="auto"/>
              <w:ind w:firstLine="0" w:firstLineChars="0"/>
              <w:jc w:val="center"/>
              <w:rPr>
                <w:rFonts w:eastAsia="华文仿宋"/>
                <w:kern w:val="0"/>
                <w:sz w:val="21"/>
                <w:szCs w:val="21"/>
              </w:rPr>
            </w:pPr>
          </w:p>
        </w:tc>
        <w:tc>
          <w:tcPr>
            <w:tcW w:w="886" w:type="dxa"/>
            <w:vMerge w:val="continue"/>
            <w:tcBorders>
              <w:bottom w:val="single" w:color="auto" w:sz="4" w:space="0"/>
            </w:tcBorders>
            <w:vAlign w:val="center"/>
          </w:tcPr>
          <w:p>
            <w:pPr>
              <w:spacing w:line="240" w:lineRule="auto"/>
              <w:ind w:firstLine="0" w:firstLineChars="0"/>
              <w:jc w:val="center"/>
              <w:rPr>
                <w:rFonts w:eastAsia="华文仿宋"/>
                <w:kern w:val="0"/>
                <w:sz w:val="21"/>
                <w:szCs w:val="21"/>
              </w:rPr>
            </w:pPr>
          </w:p>
        </w:tc>
        <w:tc>
          <w:tcPr>
            <w:tcW w:w="1325" w:type="dxa"/>
            <w:vMerge w:val="continue"/>
            <w:tcBorders>
              <w:bottom w:val="single" w:color="auto" w:sz="4" w:space="0"/>
            </w:tcBorders>
            <w:vAlign w:val="center"/>
          </w:tcPr>
          <w:p>
            <w:pPr>
              <w:spacing w:line="240" w:lineRule="auto"/>
              <w:ind w:firstLine="0" w:firstLineChars="0"/>
              <w:jc w:val="center"/>
              <w:rPr>
                <w:rFonts w:eastAsia="华文仿宋"/>
                <w:kern w:val="0"/>
                <w:sz w:val="21"/>
                <w:szCs w:val="21"/>
              </w:rPr>
            </w:pPr>
          </w:p>
        </w:tc>
        <w:tc>
          <w:tcPr>
            <w:tcW w:w="1034" w:type="dxa"/>
            <w:vMerge w:val="continue"/>
            <w:tcBorders>
              <w:bottom w:val="single" w:color="auto" w:sz="4" w:space="0"/>
            </w:tcBorders>
            <w:vAlign w:val="center"/>
          </w:tcPr>
          <w:p>
            <w:pPr>
              <w:spacing w:line="240" w:lineRule="auto"/>
              <w:ind w:firstLine="0" w:firstLineChars="0"/>
              <w:jc w:val="center"/>
              <w:rPr>
                <w:rFonts w:eastAsia="华文仿宋"/>
                <w:kern w:val="0"/>
                <w:sz w:val="21"/>
                <w:szCs w:val="21"/>
              </w:rPr>
            </w:pPr>
          </w:p>
        </w:tc>
        <w:tc>
          <w:tcPr>
            <w:tcW w:w="1104" w:type="dxa"/>
            <w:vMerge w:val="continue"/>
            <w:vAlign w:val="center"/>
          </w:tcPr>
          <w:p>
            <w:pPr>
              <w:spacing w:line="240" w:lineRule="auto"/>
              <w:ind w:firstLine="0" w:firstLineChars="0"/>
              <w:jc w:val="center"/>
              <w:rPr>
                <w:rFonts w:eastAsia="华文仿宋"/>
                <w:kern w:val="0"/>
                <w:sz w:val="21"/>
                <w:szCs w:val="21"/>
              </w:rPr>
            </w:pPr>
          </w:p>
        </w:tc>
        <w:tc>
          <w:tcPr>
            <w:tcW w:w="1101" w:type="dxa"/>
            <w:vMerge w:val="continue"/>
            <w:vAlign w:val="center"/>
          </w:tcPr>
          <w:p>
            <w:pPr>
              <w:spacing w:line="240" w:lineRule="auto"/>
              <w:ind w:firstLine="0" w:firstLineChars="0"/>
              <w:jc w:val="center"/>
              <w:rPr>
                <w:rFonts w:eastAsia="华文仿宋"/>
                <w:kern w:val="0"/>
                <w:sz w:val="21"/>
                <w:szCs w:val="21"/>
              </w:rPr>
            </w:pPr>
          </w:p>
        </w:tc>
        <w:tc>
          <w:tcPr>
            <w:tcW w:w="1786" w:type="dxa"/>
            <w:vAlign w:val="center"/>
          </w:tcPr>
          <w:p>
            <w:pPr>
              <w:spacing w:line="240" w:lineRule="auto"/>
              <w:ind w:firstLine="0" w:firstLineChars="0"/>
              <w:jc w:val="center"/>
              <w:rPr>
                <w:rFonts w:eastAsia="华文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shd w:val="clear" w:color="auto" w:fill="auto"/>
            <w:vAlign w:val="center"/>
          </w:tcPr>
          <w:p>
            <w:pPr>
              <w:spacing w:line="240" w:lineRule="auto"/>
              <w:ind w:firstLine="0" w:firstLineChars="0"/>
              <w:jc w:val="center"/>
              <w:rPr>
                <w:rFonts w:eastAsia="华文仿宋"/>
                <w:kern w:val="0"/>
                <w:sz w:val="21"/>
                <w:szCs w:val="21"/>
              </w:rPr>
            </w:pPr>
          </w:p>
        </w:tc>
        <w:tc>
          <w:tcPr>
            <w:tcW w:w="812" w:type="dxa"/>
            <w:vMerge w:val="continue"/>
            <w:shd w:val="clear" w:color="auto" w:fill="auto"/>
            <w:vAlign w:val="center"/>
          </w:tcPr>
          <w:p>
            <w:pPr>
              <w:spacing w:line="240" w:lineRule="auto"/>
              <w:ind w:firstLine="0" w:firstLineChars="0"/>
              <w:jc w:val="center"/>
              <w:rPr>
                <w:rFonts w:eastAsia="华文仿宋"/>
                <w:kern w:val="0"/>
                <w:sz w:val="21"/>
                <w:szCs w:val="21"/>
              </w:rPr>
            </w:pPr>
          </w:p>
        </w:tc>
        <w:tc>
          <w:tcPr>
            <w:tcW w:w="405" w:type="dxa"/>
            <w:shd w:val="clear" w:color="auto" w:fill="auto"/>
            <w:vAlign w:val="center"/>
          </w:tcPr>
          <w:p>
            <w:pPr>
              <w:spacing w:line="240" w:lineRule="auto"/>
              <w:ind w:firstLine="0" w:firstLineChars="0"/>
              <w:jc w:val="center"/>
              <w:rPr>
                <w:rFonts w:eastAsia="华文仿宋"/>
                <w:kern w:val="0"/>
                <w:sz w:val="21"/>
                <w:szCs w:val="21"/>
              </w:rPr>
            </w:pPr>
            <w:r>
              <w:rPr>
                <w:rFonts w:eastAsia="华文仿宋"/>
                <w:kern w:val="0"/>
                <w:sz w:val="21"/>
                <w:szCs w:val="21"/>
              </w:rPr>
              <w:t>16</w:t>
            </w:r>
          </w:p>
        </w:tc>
        <w:tc>
          <w:tcPr>
            <w:tcW w:w="2902" w:type="dxa"/>
            <w:shd w:val="clear" w:color="auto" w:fill="auto"/>
            <w:vAlign w:val="center"/>
          </w:tcPr>
          <w:p>
            <w:pPr>
              <w:spacing w:line="240" w:lineRule="auto"/>
              <w:ind w:firstLine="0" w:firstLineChars="0"/>
              <w:jc w:val="center"/>
              <w:rPr>
                <w:rFonts w:eastAsia="华文仿宋"/>
                <w:kern w:val="0"/>
                <w:sz w:val="21"/>
                <w:szCs w:val="21"/>
              </w:rPr>
            </w:pPr>
            <w:r>
              <w:rPr>
                <w:rFonts w:eastAsia="华文仿宋"/>
                <w:kern w:val="0"/>
                <w:sz w:val="21"/>
                <w:szCs w:val="21"/>
              </w:rPr>
              <w:t>河湖岸线保护率</w:t>
            </w:r>
          </w:p>
        </w:tc>
        <w:tc>
          <w:tcPr>
            <w:tcW w:w="738" w:type="dxa"/>
            <w:shd w:val="clear" w:color="auto" w:fill="auto"/>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shd w:val="clear" w:color="auto" w:fill="auto"/>
            <w:vAlign w:val="center"/>
          </w:tcPr>
          <w:p>
            <w:pPr>
              <w:spacing w:line="240" w:lineRule="auto"/>
              <w:ind w:firstLine="0" w:firstLineChars="0"/>
              <w:jc w:val="center"/>
              <w:rPr>
                <w:rFonts w:eastAsia="华文仿宋"/>
                <w:kern w:val="0"/>
                <w:sz w:val="21"/>
                <w:szCs w:val="21"/>
              </w:rPr>
            </w:pPr>
            <w:r>
              <w:rPr>
                <w:rFonts w:eastAsia="华文仿宋"/>
                <w:kern w:val="0"/>
                <w:sz w:val="21"/>
                <w:szCs w:val="21"/>
              </w:rPr>
              <w:t>完成上级管控目标</w:t>
            </w:r>
          </w:p>
        </w:tc>
        <w:tc>
          <w:tcPr>
            <w:tcW w:w="886" w:type="dxa"/>
            <w:tcBorders>
              <w:bottom w:val="single" w:color="auto" w:sz="4" w:space="0"/>
            </w:tcBorders>
            <w:shd w:val="clear" w:color="auto" w:fill="auto"/>
            <w:vAlign w:val="center"/>
          </w:tcPr>
          <w:p>
            <w:pPr>
              <w:spacing w:line="240" w:lineRule="auto"/>
              <w:ind w:firstLine="0" w:firstLineChars="0"/>
              <w:jc w:val="center"/>
              <w:rPr>
                <w:rFonts w:eastAsia="华文仿宋"/>
                <w:kern w:val="0"/>
                <w:sz w:val="21"/>
                <w:szCs w:val="21"/>
              </w:rPr>
            </w:pPr>
            <w:r>
              <w:rPr>
                <w:rFonts w:eastAsia="华文仿宋"/>
                <w:kern w:val="0"/>
                <w:sz w:val="21"/>
                <w:szCs w:val="21"/>
              </w:rPr>
              <w:t>参考性</w:t>
            </w:r>
          </w:p>
        </w:tc>
        <w:tc>
          <w:tcPr>
            <w:tcW w:w="1325" w:type="dxa"/>
            <w:tcBorders>
              <w:bottom w:val="single" w:color="auto" w:sz="4" w:space="0"/>
            </w:tcBorders>
            <w:shd w:val="clear" w:color="auto" w:fill="auto"/>
            <w:vAlign w:val="center"/>
          </w:tcPr>
          <w:p>
            <w:pPr>
              <w:spacing w:line="240" w:lineRule="auto"/>
              <w:ind w:firstLine="0" w:firstLineChars="0"/>
              <w:jc w:val="center"/>
              <w:rPr>
                <w:rFonts w:eastAsia="华文仿宋"/>
                <w:kern w:val="0"/>
                <w:sz w:val="21"/>
                <w:szCs w:val="21"/>
              </w:rPr>
            </w:pPr>
            <w:r>
              <w:rPr>
                <w:rFonts w:eastAsia="华文仿宋"/>
                <w:kern w:val="0"/>
                <w:sz w:val="21"/>
                <w:szCs w:val="21"/>
              </w:rPr>
              <w:t>正在开展河湖岸线保护范围划定工作</w:t>
            </w:r>
          </w:p>
        </w:tc>
        <w:tc>
          <w:tcPr>
            <w:tcW w:w="1034" w:type="dxa"/>
            <w:tcBorders>
              <w:top w:val="single" w:color="auto" w:sz="4" w:space="0"/>
              <w:bottom w:val="single" w:color="auto" w:sz="4" w:space="0"/>
            </w:tcBorders>
            <w:shd w:val="clear" w:color="auto" w:fill="auto"/>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完成上级管控目标</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完成上级管控目标</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县水务局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生</w:t>
            </w:r>
          </w:p>
          <w:p>
            <w:pPr>
              <w:spacing w:line="240" w:lineRule="auto"/>
              <w:ind w:firstLine="0" w:firstLineChars="0"/>
              <w:jc w:val="center"/>
              <w:rPr>
                <w:rFonts w:eastAsia="华文仿宋"/>
                <w:kern w:val="0"/>
                <w:sz w:val="21"/>
                <w:szCs w:val="21"/>
              </w:rPr>
            </w:pPr>
            <w:r>
              <w:rPr>
                <w:rFonts w:eastAsia="华文仿宋"/>
                <w:kern w:val="0"/>
                <w:sz w:val="21"/>
                <w:szCs w:val="21"/>
              </w:rPr>
              <w:t>态</w:t>
            </w:r>
          </w:p>
          <w:p>
            <w:pPr>
              <w:spacing w:line="240" w:lineRule="auto"/>
              <w:ind w:firstLine="0" w:firstLineChars="0"/>
              <w:jc w:val="center"/>
              <w:rPr>
                <w:rFonts w:eastAsia="华文仿宋"/>
                <w:kern w:val="0"/>
                <w:sz w:val="21"/>
                <w:szCs w:val="21"/>
              </w:rPr>
            </w:pPr>
            <w:r>
              <w:rPr>
                <w:rFonts w:eastAsia="华文仿宋"/>
                <w:kern w:val="0"/>
                <w:sz w:val="21"/>
                <w:szCs w:val="21"/>
              </w:rPr>
              <w:t>经</w:t>
            </w:r>
          </w:p>
          <w:p>
            <w:pPr>
              <w:spacing w:line="240" w:lineRule="auto"/>
              <w:ind w:firstLine="0" w:firstLineChars="0"/>
              <w:jc w:val="center"/>
              <w:rPr>
                <w:rFonts w:eastAsia="华文仿宋"/>
                <w:kern w:val="0"/>
                <w:sz w:val="21"/>
                <w:szCs w:val="21"/>
              </w:rPr>
            </w:pPr>
            <w:r>
              <w:rPr>
                <w:rFonts w:eastAsia="华文仿宋"/>
                <w:kern w:val="0"/>
                <w:sz w:val="21"/>
                <w:szCs w:val="21"/>
              </w:rPr>
              <w:t>济</w:t>
            </w:r>
          </w:p>
        </w:tc>
        <w:tc>
          <w:tcPr>
            <w:tcW w:w="812"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（六）</w:t>
            </w:r>
          </w:p>
          <w:p>
            <w:pPr>
              <w:spacing w:line="240" w:lineRule="auto"/>
              <w:ind w:firstLine="0" w:firstLineChars="0"/>
              <w:jc w:val="center"/>
              <w:rPr>
                <w:rFonts w:eastAsia="华文仿宋"/>
                <w:kern w:val="0"/>
                <w:sz w:val="21"/>
                <w:szCs w:val="21"/>
              </w:rPr>
            </w:pPr>
            <w:r>
              <w:rPr>
                <w:rFonts w:eastAsia="华文仿宋"/>
                <w:kern w:val="0"/>
                <w:sz w:val="21"/>
                <w:szCs w:val="21"/>
              </w:rPr>
              <w:t>资源节约与利用</w:t>
            </w: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17</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单位地区生产总值能耗</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吨标准煤/万元</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完成上级规定的目标任务；保持稳定或持续改善</w:t>
            </w:r>
          </w:p>
        </w:tc>
        <w:tc>
          <w:tcPr>
            <w:tcW w:w="8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约束性</w:t>
            </w:r>
          </w:p>
        </w:tc>
        <w:tc>
          <w:tcPr>
            <w:tcW w:w="132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完成上级规定的目标任务</w:t>
            </w:r>
          </w:p>
        </w:tc>
        <w:tc>
          <w:tcPr>
            <w:tcW w:w="103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完成上级规定的目标任务</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完成上级规定的目标任务</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县发改局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18</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单位地区生产总值用水量</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立方米/万元</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完成上级规定的目标任务；保持稳定或持续改善</w:t>
            </w:r>
          </w:p>
        </w:tc>
        <w:tc>
          <w:tcPr>
            <w:tcW w:w="8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约束性</w:t>
            </w:r>
          </w:p>
        </w:tc>
        <w:tc>
          <w:tcPr>
            <w:tcW w:w="132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完成上级规定的目标任务</w:t>
            </w:r>
          </w:p>
        </w:tc>
        <w:tc>
          <w:tcPr>
            <w:tcW w:w="103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完成上级规定的目标任务</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完成上级规定的目标任务</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县水务局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19</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单位国内生产总值建设用地使用面积下降率</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≥4.5</w:t>
            </w:r>
          </w:p>
        </w:tc>
        <w:tc>
          <w:tcPr>
            <w:tcW w:w="8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参考性</w:t>
            </w:r>
          </w:p>
        </w:tc>
        <w:tc>
          <w:tcPr>
            <w:tcW w:w="132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4.89</w:t>
            </w:r>
          </w:p>
          <w:p>
            <w:pPr>
              <w:spacing w:line="240" w:lineRule="auto"/>
              <w:ind w:firstLine="0" w:firstLineChars="0"/>
              <w:jc w:val="center"/>
              <w:rPr>
                <w:rFonts w:eastAsia="华文仿宋"/>
                <w:kern w:val="0"/>
                <w:sz w:val="21"/>
                <w:szCs w:val="21"/>
              </w:rPr>
            </w:pPr>
          </w:p>
        </w:tc>
        <w:tc>
          <w:tcPr>
            <w:tcW w:w="103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≥4.5</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≥4.5</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县自然资源局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20</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三大粮食作物化肥农药利用率</w:t>
            </w:r>
          </w:p>
        </w:tc>
        <w:tc>
          <w:tcPr>
            <w:tcW w:w="7474" w:type="dxa"/>
            <w:gridSpan w:val="7"/>
            <w:vAlign w:val="center"/>
          </w:tcPr>
          <w:p>
            <w:pPr>
              <w:spacing w:line="240" w:lineRule="auto"/>
              <w:ind w:firstLine="0" w:firstLineChars="0"/>
              <w:jc w:val="center"/>
              <w:rPr>
                <w:rFonts w:eastAsia="华文仿宋"/>
                <w:kern w:val="0"/>
                <w:sz w:val="21"/>
                <w:szCs w:val="21"/>
              </w:rPr>
            </w:pPr>
          </w:p>
        </w:tc>
        <w:tc>
          <w:tcPr>
            <w:tcW w:w="1786"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县农业农村局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Merge w:val="continue"/>
            <w:vAlign w:val="center"/>
          </w:tcPr>
          <w:p>
            <w:pPr>
              <w:spacing w:line="240" w:lineRule="auto"/>
              <w:ind w:firstLine="0" w:firstLineChars="0"/>
              <w:jc w:val="center"/>
              <w:rPr>
                <w:rFonts w:eastAsia="华文仿宋"/>
                <w:kern w:val="0"/>
                <w:sz w:val="21"/>
                <w:szCs w:val="21"/>
              </w:rPr>
            </w:pP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化肥利用率</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≥43</w:t>
            </w:r>
          </w:p>
        </w:tc>
        <w:tc>
          <w:tcPr>
            <w:tcW w:w="886"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参考性</w:t>
            </w:r>
          </w:p>
        </w:tc>
        <w:tc>
          <w:tcPr>
            <w:tcW w:w="132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42</w:t>
            </w:r>
          </w:p>
        </w:tc>
        <w:tc>
          <w:tcPr>
            <w:tcW w:w="103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未达标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≥43</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≥43</w:t>
            </w:r>
          </w:p>
        </w:tc>
        <w:tc>
          <w:tcPr>
            <w:tcW w:w="1786" w:type="dxa"/>
            <w:vAlign w:val="center"/>
          </w:tcPr>
          <w:p>
            <w:pPr>
              <w:spacing w:line="240" w:lineRule="auto"/>
              <w:ind w:firstLine="0" w:firstLineChars="0"/>
              <w:jc w:val="center"/>
              <w:rPr>
                <w:rFonts w:eastAsia="华文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Merge w:val="continue"/>
            <w:vAlign w:val="center"/>
          </w:tcPr>
          <w:p>
            <w:pPr>
              <w:spacing w:line="240" w:lineRule="auto"/>
              <w:ind w:firstLine="0" w:firstLineChars="0"/>
              <w:jc w:val="center"/>
              <w:rPr>
                <w:rFonts w:eastAsia="华文仿宋"/>
                <w:kern w:val="0"/>
                <w:sz w:val="21"/>
                <w:szCs w:val="21"/>
              </w:rPr>
            </w:pP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农药利用率</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≥43</w:t>
            </w:r>
          </w:p>
        </w:tc>
        <w:tc>
          <w:tcPr>
            <w:tcW w:w="886" w:type="dxa"/>
            <w:vMerge w:val="continue"/>
            <w:vAlign w:val="center"/>
          </w:tcPr>
          <w:p>
            <w:pPr>
              <w:spacing w:line="240" w:lineRule="auto"/>
              <w:ind w:firstLine="0" w:firstLineChars="0"/>
              <w:jc w:val="center"/>
              <w:rPr>
                <w:rFonts w:eastAsia="华文仿宋"/>
                <w:kern w:val="0"/>
                <w:sz w:val="21"/>
                <w:szCs w:val="21"/>
              </w:rPr>
            </w:pPr>
          </w:p>
        </w:tc>
        <w:tc>
          <w:tcPr>
            <w:tcW w:w="132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41</w:t>
            </w:r>
          </w:p>
        </w:tc>
        <w:tc>
          <w:tcPr>
            <w:tcW w:w="103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未达标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≥43</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≥43</w:t>
            </w:r>
          </w:p>
        </w:tc>
        <w:tc>
          <w:tcPr>
            <w:tcW w:w="1786" w:type="dxa"/>
            <w:vAlign w:val="center"/>
          </w:tcPr>
          <w:p>
            <w:pPr>
              <w:spacing w:line="240" w:lineRule="auto"/>
              <w:ind w:firstLine="0" w:firstLineChars="0"/>
              <w:jc w:val="center"/>
              <w:rPr>
                <w:rFonts w:eastAsia="华文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（七）产业循环发展</w:t>
            </w:r>
          </w:p>
        </w:tc>
        <w:tc>
          <w:tcPr>
            <w:tcW w:w="405"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21</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农业废弃物综合利用率</w:t>
            </w:r>
          </w:p>
        </w:tc>
        <w:tc>
          <w:tcPr>
            <w:tcW w:w="7474" w:type="dxa"/>
            <w:gridSpan w:val="7"/>
            <w:vAlign w:val="center"/>
          </w:tcPr>
          <w:p>
            <w:pPr>
              <w:spacing w:line="240" w:lineRule="auto"/>
              <w:ind w:firstLine="0" w:firstLineChars="0"/>
              <w:jc w:val="center"/>
              <w:rPr>
                <w:rFonts w:eastAsia="华文仿宋"/>
                <w:kern w:val="0"/>
                <w:sz w:val="21"/>
                <w:szCs w:val="21"/>
              </w:rPr>
            </w:pPr>
          </w:p>
        </w:tc>
        <w:tc>
          <w:tcPr>
            <w:tcW w:w="1786"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县农业农村局</w:t>
            </w:r>
          </w:p>
          <w:p>
            <w:pPr>
              <w:spacing w:line="240" w:lineRule="auto"/>
              <w:ind w:firstLine="0" w:firstLineChars="0"/>
              <w:jc w:val="center"/>
              <w:rPr>
                <w:rFonts w:eastAsia="华文仿宋"/>
                <w:kern w:val="0"/>
                <w:sz w:val="21"/>
                <w:szCs w:val="21"/>
              </w:rPr>
            </w:pPr>
            <w:r>
              <w:rPr>
                <w:rFonts w:eastAsia="华文仿宋"/>
                <w:kern w:val="0"/>
                <w:sz w:val="21"/>
                <w:szCs w:val="21"/>
              </w:rPr>
              <w:t>畜牧站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420"/>
              <w:jc w:val="center"/>
              <w:rPr>
                <w:rFonts w:eastAsia="华文仿宋"/>
                <w:kern w:val="0"/>
                <w:sz w:val="21"/>
                <w:szCs w:val="21"/>
              </w:rPr>
            </w:pPr>
          </w:p>
        </w:tc>
        <w:tc>
          <w:tcPr>
            <w:tcW w:w="405" w:type="dxa"/>
            <w:vMerge w:val="continue"/>
            <w:vAlign w:val="center"/>
          </w:tcPr>
          <w:p>
            <w:pPr>
              <w:spacing w:line="240" w:lineRule="auto"/>
              <w:ind w:firstLine="0" w:firstLineChars="0"/>
              <w:jc w:val="center"/>
              <w:rPr>
                <w:rFonts w:eastAsia="华文仿宋"/>
                <w:kern w:val="0"/>
                <w:sz w:val="21"/>
                <w:szCs w:val="21"/>
              </w:rPr>
            </w:pP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秸秆综合利用率</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≥90</w:t>
            </w:r>
          </w:p>
        </w:tc>
        <w:tc>
          <w:tcPr>
            <w:tcW w:w="886"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参考性</w:t>
            </w:r>
          </w:p>
        </w:tc>
        <w:tc>
          <w:tcPr>
            <w:tcW w:w="1325" w:type="dxa"/>
            <w:vAlign w:val="center"/>
          </w:tcPr>
          <w:p>
            <w:pPr>
              <w:spacing w:line="240" w:lineRule="auto"/>
              <w:ind w:firstLine="0" w:firstLineChars="0"/>
              <w:jc w:val="center"/>
              <w:rPr>
                <w:rFonts w:hint="default" w:eastAsia="华文仿宋"/>
                <w:kern w:val="0"/>
                <w:sz w:val="21"/>
                <w:szCs w:val="21"/>
                <w:lang w:val="en-US" w:eastAsia="zh-CN"/>
              </w:rPr>
            </w:pPr>
            <w:r>
              <w:rPr>
                <w:rFonts w:hint="eastAsia" w:eastAsia="华文仿宋"/>
                <w:kern w:val="0"/>
                <w:sz w:val="21"/>
                <w:szCs w:val="21"/>
                <w:lang w:val="en-US" w:eastAsia="zh-CN"/>
              </w:rPr>
              <w:t>86.52</w:t>
            </w:r>
          </w:p>
        </w:tc>
        <w:tc>
          <w:tcPr>
            <w:tcW w:w="103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未达标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≥90</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≥90</w:t>
            </w:r>
          </w:p>
        </w:tc>
        <w:tc>
          <w:tcPr>
            <w:tcW w:w="1786" w:type="dxa"/>
            <w:vAlign w:val="center"/>
          </w:tcPr>
          <w:p>
            <w:pPr>
              <w:spacing w:line="240" w:lineRule="auto"/>
              <w:ind w:firstLine="0" w:firstLineChars="0"/>
              <w:jc w:val="center"/>
              <w:rPr>
                <w:rFonts w:eastAsia="华文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420"/>
              <w:jc w:val="center"/>
              <w:rPr>
                <w:rFonts w:eastAsia="华文仿宋"/>
                <w:kern w:val="0"/>
                <w:sz w:val="21"/>
                <w:szCs w:val="21"/>
              </w:rPr>
            </w:pPr>
          </w:p>
        </w:tc>
        <w:tc>
          <w:tcPr>
            <w:tcW w:w="405" w:type="dxa"/>
            <w:vMerge w:val="continue"/>
            <w:vAlign w:val="center"/>
          </w:tcPr>
          <w:p>
            <w:pPr>
              <w:spacing w:line="240" w:lineRule="auto"/>
              <w:ind w:firstLine="0" w:firstLineChars="0"/>
              <w:jc w:val="center"/>
              <w:rPr>
                <w:rFonts w:eastAsia="华文仿宋"/>
                <w:kern w:val="0"/>
                <w:sz w:val="21"/>
                <w:szCs w:val="21"/>
              </w:rPr>
            </w:pP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畜禽粪污综合利用率</w:t>
            </w:r>
          </w:p>
        </w:tc>
        <w:tc>
          <w:tcPr>
            <w:tcW w:w="738" w:type="dxa"/>
            <w:vAlign w:val="center"/>
          </w:tcPr>
          <w:p>
            <w:pPr>
              <w:spacing w:line="240" w:lineRule="auto"/>
              <w:ind w:firstLine="0" w:firstLineChars="0"/>
              <w:jc w:val="center"/>
              <w:rPr>
                <w:rFonts w:eastAsia="华文仿宋"/>
                <w:kern w:val="0"/>
                <w:sz w:val="21"/>
                <w:szCs w:val="21"/>
              </w:rPr>
            </w:pP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≥75</w:t>
            </w:r>
          </w:p>
        </w:tc>
        <w:tc>
          <w:tcPr>
            <w:tcW w:w="886" w:type="dxa"/>
            <w:vMerge w:val="continue"/>
            <w:vAlign w:val="center"/>
          </w:tcPr>
          <w:p>
            <w:pPr>
              <w:spacing w:line="240" w:lineRule="auto"/>
              <w:ind w:firstLine="420"/>
              <w:jc w:val="center"/>
              <w:rPr>
                <w:rFonts w:eastAsia="华文仿宋"/>
                <w:kern w:val="0"/>
                <w:sz w:val="21"/>
                <w:szCs w:val="21"/>
              </w:rPr>
            </w:pPr>
          </w:p>
        </w:tc>
        <w:tc>
          <w:tcPr>
            <w:tcW w:w="132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82</w:t>
            </w:r>
          </w:p>
        </w:tc>
        <w:tc>
          <w:tcPr>
            <w:tcW w:w="103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≥83</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≥83</w:t>
            </w:r>
          </w:p>
        </w:tc>
        <w:tc>
          <w:tcPr>
            <w:tcW w:w="1786" w:type="dxa"/>
            <w:vAlign w:val="center"/>
          </w:tcPr>
          <w:p>
            <w:pPr>
              <w:spacing w:line="240" w:lineRule="auto"/>
              <w:ind w:firstLine="0" w:firstLineChars="0"/>
              <w:jc w:val="center"/>
              <w:rPr>
                <w:rFonts w:eastAsia="华文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420"/>
              <w:jc w:val="center"/>
              <w:rPr>
                <w:rFonts w:eastAsia="华文仿宋"/>
                <w:kern w:val="0"/>
                <w:sz w:val="21"/>
                <w:szCs w:val="21"/>
              </w:rPr>
            </w:pPr>
          </w:p>
        </w:tc>
        <w:tc>
          <w:tcPr>
            <w:tcW w:w="405" w:type="dxa"/>
            <w:vMerge w:val="continue"/>
            <w:vAlign w:val="center"/>
          </w:tcPr>
          <w:p>
            <w:pPr>
              <w:spacing w:line="240" w:lineRule="auto"/>
              <w:ind w:firstLine="0" w:firstLineChars="0"/>
              <w:jc w:val="center"/>
              <w:rPr>
                <w:rFonts w:eastAsia="华文仿宋"/>
                <w:kern w:val="0"/>
                <w:sz w:val="21"/>
                <w:szCs w:val="21"/>
              </w:rPr>
            </w:pP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农膜回收利用率</w:t>
            </w:r>
          </w:p>
        </w:tc>
        <w:tc>
          <w:tcPr>
            <w:tcW w:w="738" w:type="dxa"/>
            <w:vAlign w:val="center"/>
          </w:tcPr>
          <w:p>
            <w:pPr>
              <w:spacing w:line="240" w:lineRule="auto"/>
              <w:ind w:firstLine="0" w:firstLineChars="0"/>
              <w:jc w:val="center"/>
              <w:rPr>
                <w:rFonts w:eastAsia="华文仿宋"/>
                <w:kern w:val="0"/>
                <w:sz w:val="21"/>
                <w:szCs w:val="21"/>
              </w:rPr>
            </w:pP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≥80</w:t>
            </w:r>
          </w:p>
        </w:tc>
        <w:tc>
          <w:tcPr>
            <w:tcW w:w="886" w:type="dxa"/>
            <w:vMerge w:val="continue"/>
            <w:vAlign w:val="center"/>
          </w:tcPr>
          <w:p>
            <w:pPr>
              <w:spacing w:line="240" w:lineRule="auto"/>
              <w:ind w:firstLine="0" w:firstLineChars="0"/>
              <w:jc w:val="center"/>
              <w:rPr>
                <w:rFonts w:eastAsia="华文仿宋"/>
                <w:kern w:val="0"/>
                <w:sz w:val="21"/>
                <w:szCs w:val="21"/>
              </w:rPr>
            </w:pPr>
          </w:p>
        </w:tc>
        <w:tc>
          <w:tcPr>
            <w:tcW w:w="132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80</w:t>
            </w:r>
          </w:p>
        </w:tc>
        <w:tc>
          <w:tcPr>
            <w:tcW w:w="103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≥83</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≥83</w:t>
            </w:r>
          </w:p>
        </w:tc>
        <w:tc>
          <w:tcPr>
            <w:tcW w:w="1786" w:type="dxa"/>
            <w:vAlign w:val="center"/>
          </w:tcPr>
          <w:p>
            <w:pPr>
              <w:spacing w:line="240" w:lineRule="auto"/>
              <w:ind w:firstLine="0" w:firstLineChars="0"/>
              <w:jc w:val="center"/>
              <w:rPr>
                <w:rFonts w:eastAsia="华文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22</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一般工业固体废物综合利用率提高幅度</w:t>
            </w:r>
          </w:p>
          <w:p>
            <w:pPr>
              <w:spacing w:line="240" w:lineRule="auto"/>
              <w:ind w:firstLine="0" w:firstLineChars="0"/>
              <w:jc w:val="center"/>
              <w:rPr>
                <w:rFonts w:eastAsia="华文仿宋"/>
                <w:kern w:val="0"/>
                <w:sz w:val="21"/>
                <w:szCs w:val="21"/>
              </w:rPr>
            </w:pPr>
            <w:r>
              <w:rPr>
                <w:rFonts w:eastAsia="华文仿宋"/>
                <w:kern w:val="0"/>
                <w:sz w:val="21"/>
                <w:szCs w:val="21"/>
              </w:rPr>
              <w:t>综合利用率≤60%的地区</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≥2</w:t>
            </w:r>
          </w:p>
        </w:tc>
        <w:tc>
          <w:tcPr>
            <w:tcW w:w="8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参考性</w:t>
            </w:r>
          </w:p>
        </w:tc>
        <w:tc>
          <w:tcPr>
            <w:tcW w:w="132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2.27</w:t>
            </w:r>
          </w:p>
        </w:tc>
        <w:tc>
          <w:tcPr>
            <w:tcW w:w="103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≥3</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≥3</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县生态环境局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生</w:t>
            </w:r>
          </w:p>
          <w:p>
            <w:pPr>
              <w:spacing w:line="240" w:lineRule="auto"/>
              <w:ind w:firstLine="0" w:firstLineChars="0"/>
              <w:jc w:val="center"/>
              <w:rPr>
                <w:rFonts w:eastAsia="华文仿宋"/>
                <w:kern w:val="0"/>
                <w:sz w:val="21"/>
                <w:szCs w:val="21"/>
              </w:rPr>
            </w:pPr>
            <w:r>
              <w:rPr>
                <w:rFonts w:eastAsia="华文仿宋"/>
                <w:kern w:val="0"/>
                <w:sz w:val="21"/>
                <w:szCs w:val="21"/>
              </w:rPr>
              <w:t>态</w:t>
            </w:r>
          </w:p>
          <w:p>
            <w:pPr>
              <w:spacing w:line="240" w:lineRule="auto"/>
              <w:ind w:firstLine="0" w:firstLineChars="0"/>
              <w:jc w:val="center"/>
              <w:rPr>
                <w:rFonts w:eastAsia="华文仿宋"/>
                <w:kern w:val="0"/>
                <w:sz w:val="21"/>
                <w:szCs w:val="21"/>
              </w:rPr>
            </w:pPr>
            <w:r>
              <w:rPr>
                <w:rFonts w:eastAsia="华文仿宋"/>
                <w:kern w:val="0"/>
                <w:sz w:val="21"/>
                <w:szCs w:val="21"/>
              </w:rPr>
              <w:t>生</w:t>
            </w:r>
          </w:p>
          <w:p>
            <w:pPr>
              <w:spacing w:line="240" w:lineRule="auto"/>
              <w:ind w:firstLine="0" w:firstLineChars="0"/>
              <w:jc w:val="center"/>
              <w:rPr>
                <w:rFonts w:eastAsia="华文仿宋"/>
                <w:kern w:val="0"/>
                <w:sz w:val="21"/>
                <w:szCs w:val="21"/>
              </w:rPr>
            </w:pPr>
            <w:r>
              <w:rPr>
                <w:rFonts w:eastAsia="华文仿宋"/>
                <w:kern w:val="0"/>
                <w:sz w:val="21"/>
                <w:szCs w:val="21"/>
              </w:rPr>
              <w:t>活</w:t>
            </w:r>
          </w:p>
        </w:tc>
        <w:tc>
          <w:tcPr>
            <w:tcW w:w="812"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（八）</w:t>
            </w:r>
          </w:p>
          <w:p>
            <w:pPr>
              <w:spacing w:line="240" w:lineRule="auto"/>
              <w:ind w:firstLine="0" w:firstLineChars="0"/>
              <w:jc w:val="center"/>
              <w:rPr>
                <w:rFonts w:eastAsia="华文仿宋"/>
                <w:kern w:val="0"/>
                <w:sz w:val="21"/>
                <w:szCs w:val="21"/>
              </w:rPr>
            </w:pPr>
            <w:r>
              <w:rPr>
                <w:rFonts w:eastAsia="华文仿宋"/>
                <w:kern w:val="0"/>
                <w:sz w:val="21"/>
                <w:szCs w:val="21"/>
              </w:rPr>
              <w:t>人居环境改善</w:t>
            </w: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23</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集中式饮用水水源地水质优良比例</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8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约束性</w:t>
            </w:r>
          </w:p>
        </w:tc>
        <w:tc>
          <w:tcPr>
            <w:tcW w:w="132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103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县生态环境局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24</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村镇饮用水卫生合格率</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8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约束性</w:t>
            </w:r>
          </w:p>
        </w:tc>
        <w:tc>
          <w:tcPr>
            <w:tcW w:w="1325" w:type="dxa"/>
            <w:vAlign w:val="center"/>
          </w:tcPr>
          <w:p>
            <w:pPr>
              <w:spacing w:line="240" w:lineRule="auto"/>
              <w:ind w:firstLine="0" w:firstLineChars="0"/>
              <w:jc w:val="center"/>
              <w:rPr>
                <w:rFonts w:hint="default" w:eastAsia="华文仿宋"/>
                <w:kern w:val="0"/>
                <w:sz w:val="21"/>
                <w:szCs w:val="21"/>
                <w:lang w:val="en-US" w:eastAsia="zh-CN"/>
              </w:rPr>
            </w:pPr>
            <w:r>
              <w:rPr>
                <w:rFonts w:hint="eastAsia" w:eastAsia="华文仿宋"/>
                <w:kern w:val="0"/>
                <w:sz w:val="21"/>
                <w:szCs w:val="21"/>
                <w:lang w:val="en-US" w:eastAsia="zh-CN"/>
              </w:rPr>
              <w:t>100</w:t>
            </w:r>
          </w:p>
        </w:tc>
        <w:tc>
          <w:tcPr>
            <w:tcW w:w="103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w:t>
            </w:r>
            <w:r>
              <w:rPr>
                <w:rFonts w:hint="eastAsia" w:eastAsia="华文仿宋"/>
                <w:kern w:val="0"/>
                <w:sz w:val="21"/>
                <w:szCs w:val="21"/>
                <w:lang w:eastAsia="zh-CN"/>
              </w:rPr>
              <w:t>卫健局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25</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城镇污水处理率</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≥85</w:t>
            </w:r>
          </w:p>
        </w:tc>
        <w:tc>
          <w:tcPr>
            <w:tcW w:w="8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约束性</w:t>
            </w:r>
          </w:p>
        </w:tc>
        <w:tc>
          <w:tcPr>
            <w:tcW w:w="132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87.46</w:t>
            </w:r>
          </w:p>
        </w:tc>
        <w:tc>
          <w:tcPr>
            <w:tcW w:w="103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≥88</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≥88</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县住建局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26</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农村生活污水治理率</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sz w:val="21"/>
                <w:szCs w:val="21"/>
              </w:rPr>
              <w:t>≥50</w:t>
            </w:r>
          </w:p>
        </w:tc>
        <w:tc>
          <w:tcPr>
            <w:tcW w:w="8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参考性</w:t>
            </w:r>
          </w:p>
        </w:tc>
        <w:tc>
          <w:tcPr>
            <w:tcW w:w="1325" w:type="dxa"/>
            <w:vAlign w:val="center"/>
          </w:tcPr>
          <w:p>
            <w:pPr>
              <w:spacing w:line="240" w:lineRule="auto"/>
              <w:ind w:firstLine="0" w:firstLineChars="0"/>
              <w:jc w:val="center"/>
              <w:rPr>
                <w:rFonts w:hint="default" w:eastAsia="华文仿宋"/>
                <w:kern w:val="0"/>
                <w:sz w:val="21"/>
                <w:szCs w:val="21"/>
                <w:lang w:val="en-US" w:eastAsia="zh-CN"/>
              </w:rPr>
            </w:pPr>
            <w:r>
              <w:rPr>
                <w:rFonts w:hint="eastAsia" w:eastAsia="华文仿宋"/>
                <w:kern w:val="0"/>
                <w:sz w:val="21"/>
                <w:szCs w:val="21"/>
                <w:lang w:val="en-US" w:eastAsia="zh-CN"/>
              </w:rPr>
              <w:t>57.2</w:t>
            </w:r>
          </w:p>
        </w:tc>
        <w:tc>
          <w:tcPr>
            <w:tcW w:w="1034"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≥50</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≥50</w:t>
            </w:r>
          </w:p>
        </w:tc>
        <w:tc>
          <w:tcPr>
            <w:tcW w:w="1786" w:type="dxa"/>
            <w:vAlign w:val="center"/>
          </w:tcPr>
          <w:p>
            <w:pPr>
              <w:spacing w:line="240" w:lineRule="auto"/>
              <w:ind w:firstLine="0" w:firstLineChars="0"/>
              <w:jc w:val="center"/>
              <w:rPr>
                <w:rFonts w:hint="eastAsia" w:eastAsia="华文仿宋"/>
                <w:kern w:val="0"/>
                <w:sz w:val="21"/>
                <w:szCs w:val="21"/>
                <w:lang w:eastAsia="zh-CN"/>
              </w:rPr>
            </w:pPr>
            <w:r>
              <w:rPr>
                <w:rFonts w:eastAsia="华文仿宋"/>
                <w:kern w:val="0"/>
                <w:sz w:val="21"/>
                <w:szCs w:val="21"/>
              </w:rPr>
              <w:t>县生态环境局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27</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城镇生活垃圾无害化处理率</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≥80</w:t>
            </w:r>
          </w:p>
        </w:tc>
        <w:tc>
          <w:tcPr>
            <w:tcW w:w="8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约束性</w:t>
            </w:r>
          </w:p>
        </w:tc>
        <w:tc>
          <w:tcPr>
            <w:tcW w:w="132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1034" w:type="dxa"/>
            <w:tcBorders>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县住建局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shd w:val="clear" w:color="auto" w:fill="auto"/>
            <w:vAlign w:val="center"/>
          </w:tcPr>
          <w:p>
            <w:pPr>
              <w:spacing w:line="240" w:lineRule="auto"/>
              <w:ind w:firstLine="0" w:firstLineChars="0"/>
              <w:jc w:val="center"/>
              <w:rPr>
                <w:rFonts w:eastAsia="华文仿宋"/>
                <w:kern w:val="0"/>
                <w:sz w:val="21"/>
                <w:szCs w:val="21"/>
              </w:rPr>
            </w:pPr>
          </w:p>
        </w:tc>
        <w:tc>
          <w:tcPr>
            <w:tcW w:w="812" w:type="dxa"/>
            <w:vMerge w:val="continue"/>
            <w:shd w:val="clear" w:color="auto" w:fill="auto"/>
            <w:vAlign w:val="center"/>
          </w:tcPr>
          <w:p>
            <w:pPr>
              <w:spacing w:line="240" w:lineRule="auto"/>
              <w:ind w:firstLine="0" w:firstLineChars="0"/>
              <w:jc w:val="center"/>
              <w:rPr>
                <w:rFonts w:eastAsia="华文仿宋"/>
                <w:kern w:val="0"/>
                <w:sz w:val="21"/>
                <w:szCs w:val="21"/>
              </w:rPr>
            </w:pPr>
          </w:p>
        </w:tc>
        <w:tc>
          <w:tcPr>
            <w:tcW w:w="405" w:type="dxa"/>
            <w:shd w:val="clear" w:color="auto" w:fill="auto"/>
            <w:vAlign w:val="center"/>
          </w:tcPr>
          <w:p>
            <w:pPr>
              <w:spacing w:line="240" w:lineRule="auto"/>
              <w:ind w:firstLine="0" w:firstLineChars="0"/>
              <w:jc w:val="center"/>
              <w:rPr>
                <w:rFonts w:eastAsia="华文仿宋"/>
                <w:kern w:val="0"/>
                <w:sz w:val="21"/>
                <w:szCs w:val="21"/>
              </w:rPr>
            </w:pPr>
            <w:r>
              <w:rPr>
                <w:rFonts w:eastAsia="华文仿宋"/>
                <w:kern w:val="0"/>
                <w:sz w:val="21"/>
                <w:szCs w:val="21"/>
              </w:rPr>
              <w:t>28</w:t>
            </w:r>
          </w:p>
        </w:tc>
        <w:tc>
          <w:tcPr>
            <w:tcW w:w="2902" w:type="dxa"/>
            <w:shd w:val="clear" w:color="auto" w:fill="auto"/>
            <w:vAlign w:val="center"/>
          </w:tcPr>
          <w:p>
            <w:pPr>
              <w:spacing w:line="240" w:lineRule="auto"/>
              <w:ind w:firstLine="0" w:firstLineChars="0"/>
              <w:jc w:val="center"/>
              <w:rPr>
                <w:rFonts w:eastAsia="华文仿宋"/>
                <w:kern w:val="0"/>
                <w:sz w:val="21"/>
                <w:szCs w:val="21"/>
              </w:rPr>
            </w:pPr>
            <w:r>
              <w:rPr>
                <w:rFonts w:eastAsia="华文仿宋"/>
                <w:kern w:val="0"/>
                <w:sz w:val="21"/>
                <w:szCs w:val="21"/>
              </w:rPr>
              <w:t>农村生活垃圾无害化处理村占比</w:t>
            </w:r>
          </w:p>
        </w:tc>
        <w:tc>
          <w:tcPr>
            <w:tcW w:w="738" w:type="dxa"/>
            <w:shd w:val="clear" w:color="auto" w:fill="auto"/>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shd w:val="clear" w:color="auto" w:fill="auto"/>
            <w:vAlign w:val="center"/>
          </w:tcPr>
          <w:p>
            <w:pPr>
              <w:spacing w:line="240" w:lineRule="auto"/>
              <w:ind w:firstLine="0" w:firstLineChars="0"/>
              <w:jc w:val="center"/>
              <w:rPr>
                <w:rFonts w:eastAsia="华文仿宋"/>
                <w:kern w:val="0"/>
                <w:sz w:val="21"/>
                <w:szCs w:val="21"/>
              </w:rPr>
            </w:pPr>
            <w:r>
              <w:rPr>
                <w:rFonts w:eastAsia="华文仿宋"/>
                <w:kern w:val="0"/>
                <w:sz w:val="21"/>
                <w:szCs w:val="21"/>
              </w:rPr>
              <w:t>≥80</w:t>
            </w:r>
          </w:p>
        </w:tc>
        <w:tc>
          <w:tcPr>
            <w:tcW w:w="886" w:type="dxa"/>
            <w:shd w:val="clear" w:color="auto" w:fill="auto"/>
            <w:vAlign w:val="center"/>
          </w:tcPr>
          <w:p>
            <w:pPr>
              <w:spacing w:line="240" w:lineRule="auto"/>
              <w:ind w:firstLine="0" w:firstLineChars="0"/>
              <w:jc w:val="center"/>
              <w:rPr>
                <w:rFonts w:eastAsia="华文仿宋"/>
                <w:kern w:val="0"/>
                <w:sz w:val="21"/>
                <w:szCs w:val="21"/>
              </w:rPr>
            </w:pPr>
            <w:r>
              <w:rPr>
                <w:rFonts w:eastAsia="华文仿宋"/>
                <w:kern w:val="0"/>
                <w:sz w:val="21"/>
                <w:szCs w:val="21"/>
              </w:rPr>
              <w:t>参考性</w:t>
            </w:r>
          </w:p>
        </w:tc>
        <w:tc>
          <w:tcPr>
            <w:tcW w:w="1325" w:type="dxa"/>
            <w:shd w:val="clear" w:color="auto" w:fill="auto"/>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1034" w:type="dxa"/>
            <w:tcBorders>
              <w:top w:val="single" w:color="auto" w:sz="4" w:space="0"/>
              <w:bottom w:val="single" w:color="auto" w:sz="4" w:space="0"/>
            </w:tcBorders>
            <w:shd w:val="clear" w:color="auto" w:fill="auto"/>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县农业农村局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599" w:type="dxa"/>
            <w:vMerge w:val="continue"/>
            <w:shd w:val="clear" w:color="auto" w:fill="auto"/>
            <w:vAlign w:val="center"/>
          </w:tcPr>
          <w:p>
            <w:pPr>
              <w:spacing w:line="240" w:lineRule="auto"/>
              <w:ind w:firstLine="0" w:firstLineChars="0"/>
              <w:jc w:val="center"/>
              <w:rPr>
                <w:rFonts w:eastAsia="华文仿宋"/>
                <w:kern w:val="0"/>
                <w:sz w:val="21"/>
                <w:szCs w:val="21"/>
              </w:rPr>
            </w:pPr>
          </w:p>
        </w:tc>
        <w:tc>
          <w:tcPr>
            <w:tcW w:w="812" w:type="dxa"/>
            <w:vMerge w:val="continue"/>
            <w:shd w:val="clear" w:color="auto" w:fill="auto"/>
            <w:vAlign w:val="center"/>
          </w:tcPr>
          <w:p>
            <w:pPr>
              <w:spacing w:line="240" w:lineRule="auto"/>
              <w:ind w:firstLine="0" w:firstLineChars="0"/>
              <w:jc w:val="center"/>
              <w:rPr>
                <w:rFonts w:eastAsia="华文仿宋"/>
                <w:kern w:val="0"/>
                <w:sz w:val="21"/>
                <w:szCs w:val="21"/>
              </w:rPr>
            </w:pPr>
          </w:p>
        </w:tc>
        <w:tc>
          <w:tcPr>
            <w:tcW w:w="405" w:type="dxa"/>
            <w:shd w:val="clear" w:color="auto" w:fill="auto"/>
            <w:vAlign w:val="center"/>
          </w:tcPr>
          <w:p>
            <w:pPr>
              <w:spacing w:line="240" w:lineRule="auto"/>
              <w:ind w:firstLine="0" w:firstLineChars="0"/>
              <w:jc w:val="center"/>
              <w:rPr>
                <w:rFonts w:eastAsia="华文仿宋"/>
                <w:kern w:val="0"/>
                <w:sz w:val="21"/>
                <w:szCs w:val="21"/>
              </w:rPr>
            </w:pPr>
            <w:r>
              <w:rPr>
                <w:rFonts w:eastAsia="华文仿宋"/>
                <w:kern w:val="0"/>
                <w:sz w:val="21"/>
                <w:szCs w:val="21"/>
              </w:rPr>
              <w:t>29</w:t>
            </w:r>
          </w:p>
        </w:tc>
        <w:tc>
          <w:tcPr>
            <w:tcW w:w="2902" w:type="dxa"/>
            <w:shd w:val="clear" w:color="auto" w:fill="auto"/>
            <w:vAlign w:val="center"/>
          </w:tcPr>
          <w:p>
            <w:pPr>
              <w:spacing w:line="240" w:lineRule="auto"/>
              <w:ind w:firstLine="0" w:firstLineChars="0"/>
              <w:jc w:val="center"/>
              <w:rPr>
                <w:rFonts w:eastAsia="华文仿宋"/>
                <w:kern w:val="0"/>
                <w:sz w:val="21"/>
                <w:szCs w:val="21"/>
              </w:rPr>
            </w:pPr>
            <w:r>
              <w:rPr>
                <w:rFonts w:eastAsia="华文仿宋"/>
                <w:kern w:val="0"/>
                <w:sz w:val="21"/>
                <w:szCs w:val="21"/>
              </w:rPr>
              <w:t>农村无害化普及率</w:t>
            </w:r>
          </w:p>
        </w:tc>
        <w:tc>
          <w:tcPr>
            <w:tcW w:w="738" w:type="dxa"/>
            <w:shd w:val="clear" w:color="auto" w:fill="auto"/>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shd w:val="clear" w:color="auto" w:fill="auto"/>
          </w:tcPr>
          <w:p>
            <w:pPr>
              <w:spacing w:line="240" w:lineRule="auto"/>
              <w:ind w:firstLine="0" w:firstLineChars="0"/>
              <w:jc w:val="center"/>
              <w:rPr>
                <w:rFonts w:eastAsia="华文仿宋"/>
                <w:kern w:val="0"/>
                <w:sz w:val="21"/>
                <w:szCs w:val="21"/>
              </w:rPr>
            </w:pPr>
            <w:r>
              <w:rPr>
                <w:sz w:val="21"/>
                <w:szCs w:val="21"/>
              </w:rPr>
              <w:t>完成上级规定的目标任务</w:t>
            </w:r>
          </w:p>
        </w:tc>
        <w:tc>
          <w:tcPr>
            <w:tcW w:w="886" w:type="dxa"/>
            <w:shd w:val="clear" w:color="auto" w:fill="auto"/>
            <w:vAlign w:val="center"/>
          </w:tcPr>
          <w:p>
            <w:pPr>
              <w:spacing w:line="240" w:lineRule="auto"/>
              <w:ind w:firstLine="0" w:firstLineChars="0"/>
              <w:jc w:val="center"/>
              <w:rPr>
                <w:rFonts w:eastAsia="华文仿宋"/>
                <w:kern w:val="0"/>
                <w:sz w:val="21"/>
                <w:szCs w:val="21"/>
              </w:rPr>
            </w:pPr>
            <w:r>
              <w:rPr>
                <w:rFonts w:eastAsia="华文仿宋"/>
                <w:kern w:val="0"/>
                <w:sz w:val="21"/>
                <w:szCs w:val="21"/>
              </w:rPr>
              <w:t>约束性</w:t>
            </w:r>
          </w:p>
        </w:tc>
        <w:tc>
          <w:tcPr>
            <w:tcW w:w="1325" w:type="dxa"/>
            <w:shd w:val="clear" w:color="auto" w:fill="auto"/>
            <w:vAlign w:val="center"/>
          </w:tcPr>
          <w:p>
            <w:pPr>
              <w:spacing w:line="240" w:lineRule="auto"/>
              <w:ind w:firstLine="0" w:firstLineChars="0"/>
              <w:jc w:val="center"/>
              <w:rPr>
                <w:rFonts w:eastAsia="华文仿宋"/>
                <w:kern w:val="0"/>
                <w:sz w:val="21"/>
                <w:szCs w:val="21"/>
              </w:rPr>
            </w:pPr>
            <w:r>
              <w:rPr>
                <w:rFonts w:eastAsia="华文仿宋"/>
                <w:kern w:val="0"/>
                <w:sz w:val="21"/>
                <w:szCs w:val="21"/>
              </w:rPr>
              <w:t>46</w:t>
            </w:r>
          </w:p>
        </w:tc>
        <w:tc>
          <w:tcPr>
            <w:tcW w:w="1034" w:type="dxa"/>
            <w:tcBorders>
              <w:top w:val="single" w:color="auto" w:sz="4" w:space="0"/>
              <w:bottom w:val="single" w:color="auto" w:sz="4" w:space="0"/>
            </w:tcBorders>
            <w:shd w:val="clear" w:color="auto" w:fill="FFFFFF" w:themeFill="background1"/>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完成市级规定的目标任务</w:t>
            </w:r>
          </w:p>
        </w:tc>
        <w:tc>
          <w:tcPr>
            <w:tcW w:w="1101" w:type="dxa"/>
            <w:vAlign w:val="center"/>
          </w:tcPr>
          <w:p>
            <w:pPr>
              <w:spacing w:line="240" w:lineRule="auto"/>
              <w:ind w:firstLine="0" w:firstLineChars="0"/>
              <w:jc w:val="center"/>
              <w:rPr>
                <w:rFonts w:eastAsia="华文仿宋"/>
                <w:kern w:val="0"/>
                <w:sz w:val="21"/>
                <w:szCs w:val="21"/>
              </w:rPr>
            </w:pPr>
            <w:r>
              <w:rPr>
                <w:sz w:val="21"/>
                <w:szCs w:val="21"/>
              </w:rPr>
              <w:t>完成市级规定的目标任务</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县农业农村局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（九）</w:t>
            </w:r>
          </w:p>
          <w:p>
            <w:pPr>
              <w:spacing w:line="240" w:lineRule="auto"/>
              <w:ind w:firstLine="0" w:firstLineChars="0"/>
              <w:jc w:val="center"/>
              <w:rPr>
                <w:rFonts w:eastAsia="华文仿宋"/>
                <w:kern w:val="0"/>
                <w:sz w:val="21"/>
                <w:szCs w:val="21"/>
              </w:rPr>
            </w:pPr>
            <w:r>
              <w:rPr>
                <w:rFonts w:eastAsia="华文仿宋"/>
                <w:kern w:val="0"/>
                <w:sz w:val="21"/>
                <w:szCs w:val="21"/>
              </w:rPr>
              <w:t>生活方式绿色化</w:t>
            </w: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30</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城镇新建绿色建筑比例</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≥50</w:t>
            </w:r>
          </w:p>
        </w:tc>
        <w:tc>
          <w:tcPr>
            <w:tcW w:w="8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参考性</w:t>
            </w:r>
          </w:p>
        </w:tc>
        <w:tc>
          <w:tcPr>
            <w:tcW w:w="132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76.65</w:t>
            </w:r>
          </w:p>
        </w:tc>
        <w:tc>
          <w:tcPr>
            <w:tcW w:w="1034" w:type="dxa"/>
            <w:tcBorders>
              <w:top w:val="single" w:color="auto" w:sz="4" w:space="0"/>
              <w:bottom w:val="single" w:color="auto" w:sz="4" w:space="0"/>
            </w:tcBorders>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不下降</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不下降</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县住建局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31</w:t>
            </w:r>
          </w:p>
        </w:tc>
        <w:tc>
          <w:tcPr>
            <w:tcW w:w="2902" w:type="dxa"/>
            <w:vAlign w:val="center"/>
          </w:tcPr>
          <w:p>
            <w:pPr>
              <w:spacing w:line="240" w:lineRule="auto"/>
              <w:ind w:firstLine="0" w:firstLineChars="0"/>
              <w:jc w:val="left"/>
              <w:rPr>
                <w:rFonts w:eastAsia="华文仿宋"/>
                <w:kern w:val="0"/>
                <w:sz w:val="21"/>
                <w:szCs w:val="21"/>
              </w:rPr>
            </w:pPr>
            <w:r>
              <w:rPr>
                <w:rFonts w:eastAsia="华文仿宋"/>
                <w:kern w:val="0"/>
                <w:sz w:val="21"/>
                <w:szCs w:val="21"/>
              </w:rPr>
              <w:t>城镇生活垃圾分类减量化行动</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实施</w:t>
            </w:r>
          </w:p>
        </w:tc>
        <w:tc>
          <w:tcPr>
            <w:tcW w:w="8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参考性</w:t>
            </w:r>
          </w:p>
        </w:tc>
        <w:tc>
          <w:tcPr>
            <w:tcW w:w="132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实施</w:t>
            </w:r>
          </w:p>
        </w:tc>
        <w:tc>
          <w:tcPr>
            <w:tcW w:w="103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实施</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实施</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县住建局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28"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32</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政府绿色采购比例</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≥80</w:t>
            </w:r>
          </w:p>
        </w:tc>
        <w:tc>
          <w:tcPr>
            <w:tcW w:w="8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约束性</w:t>
            </w:r>
          </w:p>
        </w:tc>
        <w:tc>
          <w:tcPr>
            <w:tcW w:w="132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103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生</w:t>
            </w:r>
          </w:p>
          <w:p>
            <w:pPr>
              <w:spacing w:line="240" w:lineRule="auto"/>
              <w:ind w:firstLine="0" w:firstLineChars="0"/>
              <w:jc w:val="center"/>
              <w:rPr>
                <w:rFonts w:eastAsia="华文仿宋"/>
                <w:kern w:val="0"/>
                <w:sz w:val="21"/>
                <w:szCs w:val="21"/>
              </w:rPr>
            </w:pPr>
            <w:r>
              <w:rPr>
                <w:rFonts w:eastAsia="华文仿宋"/>
                <w:kern w:val="0"/>
                <w:sz w:val="21"/>
                <w:szCs w:val="21"/>
              </w:rPr>
              <w:t>态</w:t>
            </w:r>
          </w:p>
          <w:p>
            <w:pPr>
              <w:spacing w:line="240" w:lineRule="auto"/>
              <w:ind w:firstLine="0" w:firstLineChars="0"/>
              <w:jc w:val="center"/>
              <w:rPr>
                <w:rFonts w:eastAsia="华文仿宋"/>
                <w:kern w:val="0"/>
                <w:sz w:val="21"/>
                <w:szCs w:val="21"/>
              </w:rPr>
            </w:pPr>
            <w:r>
              <w:rPr>
                <w:rFonts w:eastAsia="华文仿宋"/>
                <w:kern w:val="0"/>
                <w:sz w:val="21"/>
                <w:szCs w:val="21"/>
              </w:rPr>
              <w:t>文</w:t>
            </w:r>
          </w:p>
          <w:p>
            <w:pPr>
              <w:spacing w:line="240" w:lineRule="auto"/>
              <w:ind w:firstLine="0" w:firstLineChars="0"/>
              <w:jc w:val="center"/>
              <w:rPr>
                <w:rFonts w:eastAsia="华文仿宋"/>
                <w:kern w:val="0"/>
                <w:sz w:val="21"/>
                <w:szCs w:val="21"/>
              </w:rPr>
            </w:pPr>
            <w:r>
              <w:rPr>
                <w:rFonts w:eastAsia="华文仿宋"/>
                <w:kern w:val="0"/>
                <w:sz w:val="21"/>
                <w:szCs w:val="21"/>
              </w:rPr>
              <w:t>化</w:t>
            </w:r>
          </w:p>
        </w:tc>
        <w:tc>
          <w:tcPr>
            <w:tcW w:w="812" w:type="dxa"/>
            <w:vMerge w:val="restart"/>
            <w:vAlign w:val="center"/>
          </w:tcPr>
          <w:p>
            <w:pPr>
              <w:spacing w:line="240" w:lineRule="auto"/>
              <w:ind w:firstLine="0" w:firstLineChars="0"/>
              <w:jc w:val="center"/>
              <w:rPr>
                <w:rFonts w:eastAsia="华文仿宋"/>
                <w:kern w:val="0"/>
                <w:sz w:val="21"/>
                <w:szCs w:val="21"/>
              </w:rPr>
            </w:pPr>
            <w:r>
              <w:rPr>
                <w:rFonts w:eastAsia="华文仿宋"/>
                <w:kern w:val="0"/>
                <w:sz w:val="21"/>
                <w:szCs w:val="21"/>
              </w:rPr>
              <w:t>（十）</w:t>
            </w:r>
          </w:p>
          <w:p>
            <w:pPr>
              <w:spacing w:line="240" w:lineRule="auto"/>
              <w:ind w:firstLine="0" w:firstLineChars="0"/>
              <w:jc w:val="center"/>
              <w:rPr>
                <w:rFonts w:eastAsia="华文仿宋"/>
                <w:kern w:val="0"/>
                <w:sz w:val="21"/>
                <w:szCs w:val="21"/>
              </w:rPr>
            </w:pPr>
            <w:r>
              <w:rPr>
                <w:rFonts w:eastAsia="华文仿宋"/>
                <w:kern w:val="0"/>
                <w:sz w:val="21"/>
                <w:szCs w:val="21"/>
              </w:rPr>
              <w:t>观念意识普及</w:t>
            </w: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33</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党政领导干部参加生态文明培训的人数比例</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8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参考性</w:t>
            </w:r>
          </w:p>
        </w:tc>
        <w:tc>
          <w:tcPr>
            <w:tcW w:w="132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103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≥100</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县委组织部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34</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公众对生态文明建设的满意度</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≥80</w:t>
            </w:r>
          </w:p>
        </w:tc>
        <w:tc>
          <w:tcPr>
            <w:tcW w:w="8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参考性</w:t>
            </w:r>
          </w:p>
        </w:tc>
        <w:tc>
          <w:tcPr>
            <w:tcW w:w="132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85</w:t>
            </w:r>
          </w:p>
        </w:tc>
        <w:tc>
          <w:tcPr>
            <w:tcW w:w="103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≥90</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≥90</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县生态环境局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599" w:type="dxa"/>
            <w:vMerge w:val="continue"/>
            <w:vAlign w:val="center"/>
          </w:tcPr>
          <w:p>
            <w:pPr>
              <w:spacing w:line="240" w:lineRule="auto"/>
              <w:ind w:firstLine="0" w:firstLineChars="0"/>
              <w:jc w:val="center"/>
              <w:rPr>
                <w:rFonts w:eastAsia="华文仿宋"/>
                <w:kern w:val="0"/>
                <w:sz w:val="21"/>
                <w:szCs w:val="21"/>
              </w:rPr>
            </w:pPr>
          </w:p>
        </w:tc>
        <w:tc>
          <w:tcPr>
            <w:tcW w:w="812" w:type="dxa"/>
            <w:vMerge w:val="continue"/>
            <w:vAlign w:val="center"/>
          </w:tcPr>
          <w:p>
            <w:pPr>
              <w:spacing w:line="240" w:lineRule="auto"/>
              <w:ind w:firstLine="0" w:firstLineChars="0"/>
              <w:jc w:val="center"/>
              <w:rPr>
                <w:rFonts w:eastAsia="华文仿宋"/>
                <w:kern w:val="0"/>
                <w:sz w:val="21"/>
                <w:szCs w:val="21"/>
              </w:rPr>
            </w:pPr>
          </w:p>
        </w:tc>
        <w:tc>
          <w:tcPr>
            <w:tcW w:w="40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35</w:t>
            </w:r>
          </w:p>
        </w:tc>
        <w:tc>
          <w:tcPr>
            <w:tcW w:w="2902"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公众对生态文明建设的参与度</w:t>
            </w:r>
          </w:p>
        </w:tc>
        <w:tc>
          <w:tcPr>
            <w:tcW w:w="738"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w:t>
            </w:r>
          </w:p>
        </w:tc>
        <w:tc>
          <w:tcPr>
            <w:tcW w:w="12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≥80</w:t>
            </w:r>
          </w:p>
        </w:tc>
        <w:tc>
          <w:tcPr>
            <w:tcW w:w="8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参考性</w:t>
            </w:r>
          </w:p>
        </w:tc>
        <w:tc>
          <w:tcPr>
            <w:tcW w:w="1325"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85</w:t>
            </w:r>
          </w:p>
        </w:tc>
        <w:tc>
          <w:tcPr>
            <w:tcW w:w="1034" w:type="dxa"/>
            <w:vAlign w:val="center"/>
          </w:tcPr>
          <w:p>
            <w:pPr>
              <w:spacing w:line="240" w:lineRule="auto"/>
              <w:ind w:firstLine="0" w:firstLineChars="0"/>
              <w:jc w:val="center"/>
              <w:rPr>
                <w:rFonts w:eastAsia="华文仿宋"/>
                <w:kern w:val="0"/>
                <w:sz w:val="21"/>
                <w:szCs w:val="21"/>
                <w:highlight w:val="yellow"/>
              </w:rPr>
            </w:pPr>
            <w:r>
              <w:rPr>
                <w:rFonts w:eastAsia="华文仿宋"/>
                <w:kern w:val="0"/>
                <w:sz w:val="21"/>
                <w:szCs w:val="21"/>
              </w:rPr>
              <w:t>达标</w:t>
            </w:r>
          </w:p>
        </w:tc>
        <w:tc>
          <w:tcPr>
            <w:tcW w:w="1104"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≥90</w:t>
            </w:r>
          </w:p>
        </w:tc>
        <w:tc>
          <w:tcPr>
            <w:tcW w:w="1101"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≥90</w:t>
            </w:r>
          </w:p>
        </w:tc>
        <w:tc>
          <w:tcPr>
            <w:tcW w:w="1786" w:type="dxa"/>
            <w:vAlign w:val="center"/>
          </w:tcPr>
          <w:p>
            <w:pPr>
              <w:spacing w:line="240" w:lineRule="auto"/>
              <w:ind w:firstLine="0" w:firstLineChars="0"/>
              <w:jc w:val="center"/>
              <w:rPr>
                <w:rFonts w:eastAsia="华文仿宋"/>
                <w:kern w:val="0"/>
                <w:sz w:val="21"/>
                <w:szCs w:val="21"/>
              </w:rPr>
            </w:pPr>
            <w:r>
              <w:rPr>
                <w:rFonts w:eastAsia="华文仿宋"/>
                <w:kern w:val="0"/>
                <w:sz w:val="21"/>
                <w:szCs w:val="21"/>
              </w:rPr>
              <w:t>县生态环境局</w:t>
            </w:r>
          </w:p>
        </w:tc>
      </w:tr>
    </w:tbl>
    <w:p>
      <w:pPr>
        <w:pStyle w:val="3"/>
        <w:spacing w:before="240" w:after="240"/>
        <w:rPr>
          <w:sz w:val="28"/>
          <w:szCs w:val="28"/>
        </w:rPr>
        <w:sectPr>
          <w:pgSz w:w="16838" w:h="11906" w:orient="landscape"/>
          <w:pgMar w:top="1800" w:right="1440" w:bottom="1800" w:left="1440" w:header="1077" w:footer="992" w:gutter="0"/>
          <w:pgNumType w:fmt="numberInDash"/>
          <w:cols w:space="425" w:num="1"/>
          <w:docGrid w:linePitch="381" w:charSpace="0"/>
        </w:sectPr>
      </w:pPr>
    </w:p>
    <w:p>
      <w:pPr>
        <w:pStyle w:val="3"/>
        <w:rPr>
          <w:rFonts w:hint="eastAsia" w:ascii="方正小标宋简体" w:hAnsi="方正小标宋简体" w:eastAsia="方正小标宋简体" w:cs="方正小标宋简体"/>
          <w:sz w:val="32"/>
          <w:szCs w:val="32"/>
        </w:rPr>
      </w:pPr>
      <w:bookmarkStart w:id="18" w:name="_Toc92390529"/>
      <w:r>
        <w:rPr>
          <w:rFonts w:hint="eastAsia" w:ascii="方正小标宋简体" w:hAnsi="方正小标宋简体" w:eastAsia="方正小标宋简体" w:cs="方正小标宋简体"/>
          <w:sz w:val="32"/>
          <w:szCs w:val="32"/>
        </w:rPr>
        <w:t>三、规划任务与措施</w:t>
      </w:r>
      <w:bookmarkEnd w:id="18"/>
    </w:p>
    <w:p>
      <w:pPr>
        <w:ind w:firstLine="560"/>
      </w:pPr>
      <w:r>
        <w:t>围绕推进生态文明建设治理体系和治理能力现代化，以健全生态文明体制机制为重点，在宁县生态文明制度建设已有目标任务及阶段成效的基础上，</w:t>
      </w:r>
      <w:r>
        <w:rPr>
          <w:kern w:val="0"/>
        </w:rPr>
        <w:t>实行生态环境保护制度，全面建立资源高效利用制度，健全生态保护和修复制度，严明生态环境保护责任制度，推动生态文明制度更加成熟更加定型。</w:t>
      </w:r>
    </w:p>
    <w:p>
      <w:pPr>
        <w:pStyle w:val="4"/>
        <w:ind w:firstLine="643" w:firstLineChars="200"/>
        <w:rPr>
          <w:rFonts w:hint="eastAsia" w:ascii="楷体_GB2312" w:hAnsi="楷体_GB2312" w:eastAsia="楷体_GB2312" w:cs="楷体_GB2312"/>
        </w:rPr>
      </w:pPr>
      <w:bookmarkStart w:id="19" w:name="_Toc92390530"/>
      <w:r>
        <w:rPr>
          <w:rFonts w:hint="eastAsia" w:ascii="楷体_GB2312" w:hAnsi="楷体_GB2312" w:eastAsia="楷体_GB2312" w:cs="楷体_GB2312"/>
        </w:rPr>
        <w:t>（一）健全生态制度体系</w:t>
      </w:r>
      <w:bookmarkEnd w:id="19"/>
    </w:p>
    <w:p>
      <w:pPr>
        <w:pStyle w:val="5"/>
        <w:ind w:firstLine="602" w:firstLineChars="200"/>
      </w:pPr>
      <w:bookmarkStart w:id="20" w:name="_Toc92390531"/>
      <w:r>
        <w:t>1.健全生态环境保护制度</w:t>
      </w:r>
      <w:bookmarkEnd w:id="20"/>
    </w:p>
    <w:p>
      <w:pPr>
        <w:ind w:firstLine="560"/>
        <w:rPr>
          <w:b/>
          <w:bCs/>
        </w:rPr>
      </w:pPr>
      <w:r>
        <w:t>完善国土空间用途管制制度。</w:t>
      </w:r>
      <w:r>
        <w:rPr>
          <w:szCs w:val="28"/>
        </w:rPr>
        <w:t>建立覆盖全部国土空间的用途管制制度，树立山水林田湖草沙是生命共同体的理念，将用途管制扩大到林地、草地、湿地和县城公园绿地等，优先搞好自然生态空间用途管制。</w:t>
      </w:r>
    </w:p>
    <w:p>
      <w:pPr>
        <w:ind w:firstLine="560"/>
        <w:rPr>
          <w:b/>
          <w:bCs/>
        </w:rPr>
      </w:pPr>
      <w:r>
        <w:t>强化环境准入机制。</w:t>
      </w:r>
      <w:r>
        <w:rPr>
          <w:szCs w:val="28"/>
        </w:rPr>
        <w:t>以改善环境质量为核心，以“生态保护红线、环境质量底线、资源利用上线和环境准入负面清单”(简称“三线一单”)为手段，强化空间、总量、准入环境管理。优化宁县行业布局、规模和结构，拟定环境准入负面清单，指导项目环境准入，强化“三线一单”在优布局、控规模、调结构、促转型中的指导作用，以及对项目环境准入的强制约束要求。完成差别化准入政策研究工作，落实差别化准入政策。</w:t>
      </w:r>
    </w:p>
    <w:p>
      <w:pPr>
        <w:ind w:firstLine="560"/>
      </w:pPr>
      <w:r>
        <w:t>健全生态环境风险防范应急机制。</w:t>
      </w:r>
      <w:r>
        <w:rPr>
          <w:szCs w:val="28"/>
        </w:rPr>
        <w:t>制定环境风险联防联控制度。加强环境应急能力建设，建立健全应急管理体系和协调机制；加强环境应急预案管理，加快推动水源地等重点区域环境应急预案编制。强化生态环境、卫生以及水务等多部门监控预警、信息通报、处置措施、应急资源等衔接与联动；完善突发环境事件处置和损害赔偿恢复机制，将有效防范和妥善应对重大以上突发环境事件作为地方政府的重要任务，纳入环境保护目标责任制。</w:t>
      </w:r>
    </w:p>
    <w:p>
      <w:pPr>
        <w:ind w:firstLine="560"/>
      </w:pPr>
      <w:r>
        <w:t>健全生态环境监测和评价制度。</w:t>
      </w:r>
      <w:r>
        <w:rPr>
          <w:szCs w:val="28"/>
        </w:rPr>
        <w:t>深化生态环境监测评价改革创新统一监测和评价技术标准规范，依法明确各方监测事权，建立部门间分工协作、有效配合的工作机制，统筹开展覆盖环境质量、城乡各类污染源、生态状况的生态环境监测评价，加快构建天地一体、上下协调、信息共享的生态环境监测网络，完善涵盖大气、地表水、地下水、土壤、气体等环境要素以及县城和乡村的环境质量监测。</w:t>
      </w:r>
    </w:p>
    <w:p>
      <w:pPr>
        <w:ind w:firstLine="560"/>
        <w:rPr>
          <w:b/>
          <w:bCs/>
        </w:rPr>
      </w:pPr>
      <w:r>
        <w:t>推进环保督察制度。</w:t>
      </w:r>
      <w:r>
        <w:rPr>
          <w:szCs w:val="28"/>
        </w:rPr>
        <w:t>环保部门要依法落实统一监管责任，完善执法、监察、督查机制，建立起督政与督企相结合、日常驻点监察、定期环保督查和“双随机一公开”三位一体的监督体系，切实履行监管职能，完善企业环境保护“守信激励”和“失信惩戒”机制。</w:t>
      </w:r>
    </w:p>
    <w:p>
      <w:pPr>
        <w:pStyle w:val="5"/>
        <w:ind w:firstLine="602" w:firstLineChars="200"/>
      </w:pPr>
      <w:bookmarkStart w:id="21" w:name="_Toc92390532"/>
      <w:r>
        <w:t>2.完善资源高效利用制度</w:t>
      </w:r>
      <w:bookmarkEnd w:id="21"/>
    </w:p>
    <w:p>
      <w:pPr>
        <w:ind w:firstLine="560"/>
        <w:rPr>
          <w:b/>
          <w:bCs/>
        </w:rPr>
      </w:pPr>
      <w:r>
        <w:t>加快建立水资源刚性约束制度。建立水资源刚性约束指标体系</w:t>
      </w:r>
      <w:r>
        <w:rPr>
          <w:b/>
          <w:bCs/>
        </w:rPr>
        <w:t>；</w:t>
      </w:r>
      <w:r>
        <w:t>建立协调有力、监管严格的水资源刚性约束工作体系</w:t>
      </w:r>
      <w:r>
        <w:rPr>
          <w:b/>
          <w:bCs/>
        </w:rPr>
        <w:t>；</w:t>
      </w:r>
      <w:r>
        <w:t>建立层次多元、保障有力的水资源刚性约束政策体系</w:t>
      </w:r>
      <w:r>
        <w:rPr>
          <w:b/>
          <w:bCs/>
        </w:rPr>
        <w:t>；</w:t>
      </w:r>
      <w:r>
        <w:t>建立落实水资源刚性约束的考核评价体系。</w:t>
      </w:r>
    </w:p>
    <w:p>
      <w:pPr>
        <w:ind w:firstLine="560"/>
        <w:rPr>
          <w:b/>
          <w:bCs/>
        </w:rPr>
      </w:pPr>
      <w:r>
        <w:t>实施能源消耗、建设用地总量和强度双控行动。严格执行建设项目用地准入标准，创新节地模式，推广节地技术，单位国内生产总值建设用地使用面积下降率不低于4.5%。</w:t>
      </w:r>
    </w:p>
    <w:p>
      <w:pPr>
        <w:ind w:firstLine="560"/>
        <w:rPr>
          <w:b/>
          <w:bCs/>
        </w:rPr>
      </w:pPr>
      <w:r>
        <w:t>构建市场导向的绿色技术创新体系。按照《关于构建市场导向的绿色技术创新体系的指导意见》要求，强化企业的绿色技术创新主体地位，加大对企业绿色技术创新的支持力度，财政资金支持的非基础性绿色技术研发项目、市场导向明确的绿色技术创新项目都必须要有企业参与。</w:t>
      </w:r>
    </w:p>
    <w:p>
      <w:pPr>
        <w:ind w:firstLine="560"/>
      </w:pPr>
      <w:r>
        <w:t>完善资源循环利用制度。推进产业循环式组合，促进生产系统和生活系统的循环链接，构建覆盖全社会的资源循环利用体系。</w:t>
      </w:r>
    </w:p>
    <w:p>
      <w:pPr>
        <w:pStyle w:val="5"/>
        <w:ind w:firstLine="602" w:firstLineChars="200"/>
      </w:pPr>
      <w:bookmarkStart w:id="22" w:name="_Toc92390533"/>
      <w:r>
        <w:t>3.推进生态保护和修复制度</w:t>
      </w:r>
      <w:bookmarkEnd w:id="22"/>
    </w:p>
    <w:p>
      <w:pPr>
        <w:ind w:firstLine="560"/>
        <w:rPr>
          <w:b/>
          <w:bCs/>
        </w:rPr>
      </w:pPr>
      <w:r>
        <w:t>统筹生态保护修复管理机制。</w:t>
      </w:r>
      <w:r>
        <w:rPr>
          <w:szCs w:val="28"/>
        </w:rPr>
        <w:t>统筹山水林田湖草系统修复和管理制度，要坚决贯彻生态文明建设方针，节约优先、保护优先、自然恢复为主。</w:t>
      </w:r>
    </w:p>
    <w:p>
      <w:pPr>
        <w:ind w:firstLine="560"/>
        <w:rPr>
          <w:b/>
          <w:bCs/>
        </w:rPr>
      </w:pPr>
      <w:r>
        <w:t>完善生态资源管护制度。</w:t>
      </w:r>
      <w:r>
        <w:rPr>
          <w:szCs w:val="28"/>
        </w:rPr>
        <w:t>完善基本农田保护制度，将基本农田落地到户、上图入库，实行严格保护。严格湿地用途监管，确保湿地面积不减少，增强湿地生态功能，维护湿地生态多样性，全面提升湿地保护与修复水平。</w:t>
      </w:r>
    </w:p>
    <w:p>
      <w:pPr>
        <w:ind w:firstLine="560"/>
        <w:rPr>
          <w:b/>
          <w:bCs/>
        </w:rPr>
      </w:pPr>
      <w:r>
        <w:t>健全资源有偿使用和生态补偿制度。</w:t>
      </w:r>
      <w:r>
        <w:rPr>
          <w:szCs w:val="28"/>
        </w:rPr>
        <w:t>完善地价形成机制和评估制度，健全土地等级评价体系，理顺与土地相关的出让金、租金和税费关系。探索建立多元化补偿机制，逐步增加对重点生态功能区转移支付，完善生态保护成效与资金分配挂钩的激励约束机制，合理确定补偿方式和范围，推进生态保护补偿制度体系和沟通协调平台建设，加快形成受益者付费，保护者得到合理补偿、联防共治的运行机制。</w:t>
      </w:r>
    </w:p>
    <w:p>
      <w:pPr>
        <w:pStyle w:val="5"/>
        <w:ind w:firstLine="602" w:firstLineChars="200"/>
      </w:pPr>
      <w:bookmarkStart w:id="23" w:name="_Toc92390534"/>
      <w:r>
        <w:t>4.严明生态环境保护责任制度</w:t>
      </w:r>
      <w:bookmarkEnd w:id="23"/>
    </w:p>
    <w:p>
      <w:pPr>
        <w:ind w:firstLine="560"/>
      </w:pPr>
      <w:r>
        <w:t>严明生态环境保护责任制度，全面推动生态文明体制改革任务落地，落实党委政府对生态文明建设重大目标任务部署，逐步提升生态文明建设工作占党政实绩考核的比例，建立“源头严防、过程严管、损害赔偿、责任追究”全过程生态环境监管体系。</w:t>
      </w:r>
    </w:p>
    <w:p>
      <w:pPr>
        <w:ind w:firstLine="560"/>
        <w:rPr>
          <w:b/>
          <w:bCs/>
        </w:rPr>
      </w:pPr>
      <w:r>
        <w:t>严格落实生态环境保护工作责任。</w:t>
      </w:r>
      <w:r>
        <w:rPr>
          <w:kern w:val="0"/>
        </w:rPr>
        <w:t>各级党委、政府对本行政区域生态环境保护工作及环境质量负总责，将“环境质量只能变好不能变坏”作为红线，层层分解落实各级生态环境保护责任，层层传导责任和压力。</w:t>
      </w:r>
      <w:r>
        <w:t>健全生态环境监测和评价制度。强化生态环境监测统一监督管理；落实排污单位自行监测主体责</w:t>
      </w:r>
      <w:r>
        <w:rPr>
          <w:kern w:val="0"/>
        </w:rPr>
        <w:t>任；</w:t>
      </w:r>
      <w:r>
        <w:t>健全监测评价制度。改革完善生态环境监管模式。</w:t>
      </w:r>
      <w:r>
        <w:rPr>
          <w:kern w:val="0"/>
        </w:rPr>
        <w:t>以改善生态环境质量和提高管理效能为目标，建立健全以污染物排放许可制为重点、各项制度有机衔接顺畅的环境管理基础制度体系。</w:t>
      </w:r>
      <w:r>
        <w:t>全面实施生态环境损害赔偿制度和责任追究机制。</w:t>
      </w:r>
      <w:r>
        <w:rPr>
          <w:kern w:val="0"/>
        </w:rPr>
        <w:t>严格执行《甘肃省党政领导干部生态环境损害责任追究实施办法》，实行党委、政府对生态文明建设共同担责，落实权责一致原则，实现追责对象的全覆盖。</w:t>
      </w:r>
      <w:r>
        <w:t>提高智慧环保建设水平。推动“互联网+”和大数据的创新应用，通过“绿水青山”与“金山银山”相关数据融合和外部关联分析，促进“两山”实践综合决策的科学化。</w:t>
      </w:r>
    </w:p>
    <w:p>
      <w:pPr>
        <w:pStyle w:val="5"/>
        <w:ind w:firstLine="602" w:firstLineChars="200"/>
      </w:pPr>
      <w:bookmarkStart w:id="24" w:name="_Toc92390535"/>
      <w:bookmarkStart w:id="25" w:name="_Toc3340"/>
      <w:r>
        <w:t>5.积极推动生态文明制度落实</w:t>
      </w:r>
      <w:bookmarkEnd w:id="24"/>
      <w:bookmarkEnd w:id="25"/>
    </w:p>
    <w:p>
      <w:pPr>
        <w:ind w:firstLine="560"/>
      </w:pPr>
      <w:bookmarkStart w:id="26" w:name="_Toc3558"/>
      <w:bookmarkStart w:id="27" w:name="_Toc11755"/>
      <w:r>
        <w:t>全面落实生态环境保护责任</w:t>
      </w:r>
      <w:bookmarkEnd w:id="26"/>
      <w:bookmarkEnd w:id="27"/>
      <w:r>
        <w:t>。</w:t>
      </w:r>
      <w:bookmarkStart w:id="28" w:name="_Toc467144324"/>
      <w:r>
        <w:t>完善生态补偿制度</w:t>
      </w:r>
      <w:bookmarkEnd w:id="28"/>
      <w:bookmarkStart w:id="29" w:name="_Toc467144325"/>
      <w:r>
        <w:t>；深入开展生态环境损害责任终身追究机制</w:t>
      </w:r>
      <w:bookmarkEnd w:id="29"/>
      <w:bookmarkStart w:id="30" w:name="_Toc467144327"/>
      <w:r>
        <w:t>；完善矿产开发环境恢复治理保证金制度</w:t>
      </w:r>
      <w:bookmarkEnd w:id="30"/>
      <w:r>
        <w:t>；探索建立生态动态评估制度；加大环境信息公开力度。</w:t>
      </w:r>
      <w:bookmarkStart w:id="31" w:name="_Toc15482"/>
      <w:bookmarkStart w:id="32" w:name="_Toc26341"/>
      <w:r>
        <w:t>开展多层次的生态文明示范建设</w:t>
      </w:r>
      <w:bookmarkEnd w:id="31"/>
      <w:bookmarkEnd w:id="32"/>
      <w:r>
        <w:t>。积极开展生态乡镇和生态村创建工作，坚持把生态文明建设与改善贫困地区生产生活条件结合起来，生态移民与发展适宜产业结合起来，促进绿色城镇化发展。</w:t>
      </w:r>
    </w:p>
    <w:p>
      <w:pPr>
        <w:ind w:firstLine="560"/>
      </w:pPr>
      <w:r>
        <w:t>围绕推进生态文明建设治理体系和治理能力现代化，以健全生态文明体制机制为重点，在区域生态文明制度建设已有目标任务及阶段成效的基础上，进一步明确建设总体思路、目标指标与任务措施，部署3个重点工程。</w:t>
      </w:r>
    </w:p>
    <w:tbl>
      <w:tblPr>
        <w:tblStyle w:val="15"/>
        <w:tblW w:w="8522" w:type="dxa"/>
        <w:jc w:val="center"/>
        <w:shd w:val="clear" w:color="auto" w:fill="auto"/>
        <w:tblLayout w:type="fixed"/>
        <w:tblCellMar>
          <w:top w:w="0" w:type="dxa"/>
          <w:left w:w="108" w:type="dxa"/>
          <w:bottom w:w="0" w:type="dxa"/>
          <w:right w:w="108" w:type="dxa"/>
        </w:tblCellMar>
      </w:tblPr>
      <w:tblGrid>
        <w:gridCol w:w="8522"/>
      </w:tblGrid>
      <w:tr>
        <w:tblPrEx>
          <w:shd w:val="clear" w:color="auto" w:fill="auto"/>
          <w:tblCellMar>
            <w:top w:w="0" w:type="dxa"/>
            <w:left w:w="108" w:type="dxa"/>
            <w:bottom w:w="0" w:type="dxa"/>
            <w:right w:w="108" w:type="dxa"/>
          </w:tblCellMar>
        </w:tblPrEx>
        <w:trPr>
          <w:trHeight w:val="558" w:hRule="atLeast"/>
          <w:jc w:val="center"/>
        </w:trPr>
        <w:tc>
          <w:tcPr>
            <w:tcW w:w="8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b/>
                <w:szCs w:val="28"/>
              </w:rPr>
            </w:pPr>
            <w:r>
              <w:rPr>
                <w:b/>
                <w:color w:val="auto"/>
                <w:szCs w:val="28"/>
              </w:rPr>
              <w:t>专栏1  生态制度体系建设项目</w:t>
            </w:r>
          </w:p>
        </w:tc>
      </w:tr>
      <w:tr>
        <w:tblPrEx>
          <w:shd w:val="clear" w:color="auto" w:fill="auto"/>
          <w:tblCellMar>
            <w:top w:w="0" w:type="dxa"/>
            <w:left w:w="108" w:type="dxa"/>
            <w:bottom w:w="0" w:type="dxa"/>
            <w:right w:w="108" w:type="dxa"/>
          </w:tblCellMar>
        </w:tblPrEx>
        <w:trPr>
          <w:trHeight w:val="779" w:hRule="atLeast"/>
          <w:jc w:val="center"/>
        </w:trPr>
        <w:tc>
          <w:tcPr>
            <w:tcW w:w="8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0"/>
              <w:rPr>
                <w:rFonts w:hint="eastAsia" w:eastAsia="仿宋_GB2312"/>
                <w:kern w:val="0"/>
                <w:sz w:val="24"/>
                <w:szCs w:val="24"/>
                <w:lang w:eastAsia="zh-CN"/>
              </w:rPr>
            </w:pPr>
            <w:r>
              <w:rPr>
                <w:kern w:val="0"/>
                <w:sz w:val="24"/>
                <w:szCs w:val="24"/>
              </w:rPr>
              <w:t>宁县环境执法能力建设项目；宁县大气环境监管能力提升项目；宁县</w:t>
            </w:r>
            <w:r>
              <w:rPr>
                <w:rFonts w:hint="eastAsia"/>
                <w:kern w:val="0"/>
                <w:sz w:val="24"/>
                <w:szCs w:val="24"/>
                <w:lang w:eastAsia="zh-CN"/>
              </w:rPr>
              <w:t>县级生态环境监测站建设项目。</w:t>
            </w:r>
          </w:p>
        </w:tc>
      </w:tr>
    </w:tbl>
    <w:p>
      <w:pPr>
        <w:pStyle w:val="4"/>
        <w:ind w:firstLine="643" w:firstLineChars="200"/>
        <w:rPr>
          <w:rFonts w:hint="eastAsia" w:ascii="楷体_GB2312" w:hAnsi="楷体_GB2312" w:eastAsia="楷体_GB2312" w:cs="楷体_GB2312"/>
        </w:rPr>
      </w:pPr>
      <w:bookmarkStart w:id="33" w:name="_Toc92390536"/>
      <w:r>
        <w:rPr>
          <w:rFonts w:hint="eastAsia" w:ascii="楷体_GB2312" w:hAnsi="楷体_GB2312" w:eastAsia="楷体_GB2312" w:cs="楷体_GB2312"/>
        </w:rPr>
        <w:t>（二）建设生态安全体系</w:t>
      </w:r>
      <w:bookmarkEnd w:id="33"/>
    </w:p>
    <w:p>
      <w:pPr>
        <w:pStyle w:val="5"/>
        <w:ind w:firstLine="602" w:firstLineChars="200"/>
      </w:pPr>
      <w:bookmarkStart w:id="34" w:name="_Toc92390537"/>
      <w:r>
        <w:t>1.深化环境污染治理</w:t>
      </w:r>
      <w:bookmarkEnd w:id="34"/>
    </w:p>
    <w:p>
      <w:pPr>
        <w:ind w:firstLine="560"/>
      </w:pPr>
      <w:r>
        <w:t>全面推进“三水统筹”。</w:t>
      </w:r>
      <w:bookmarkStart w:id="35" w:name="_Toc10937"/>
      <w:bookmarkStart w:id="36" w:name="_Toc467144246"/>
      <w:bookmarkStart w:id="37" w:name="_Toc27213"/>
      <w:r>
        <w:t>确保饮用水水源地水质安全</w:t>
      </w:r>
      <w:bookmarkEnd w:id="35"/>
      <w:bookmarkEnd w:id="36"/>
      <w:bookmarkEnd w:id="37"/>
      <w:bookmarkStart w:id="38" w:name="_Toc521"/>
      <w:r>
        <w:t>。加强集中式饮用水源保护</w:t>
      </w:r>
      <w:bookmarkEnd w:id="38"/>
      <w:bookmarkStart w:id="39" w:name="_Toc7552"/>
      <w:r>
        <w:t>；加快乡“千人万吨”以上饮用水源保护</w:t>
      </w:r>
      <w:bookmarkEnd w:id="39"/>
      <w:bookmarkStart w:id="40" w:name="_Toc28616"/>
      <w:r>
        <w:t>；建立健全水源水质监测数据共享机制</w:t>
      </w:r>
      <w:bookmarkEnd w:id="40"/>
      <w:bookmarkStart w:id="41" w:name="_Toc25816"/>
      <w:r>
        <w:t>；强化饮用水水源监督管理</w:t>
      </w:r>
      <w:bookmarkEnd w:id="41"/>
      <w:r>
        <w:t>。</w:t>
      </w:r>
      <w:bookmarkStart w:id="42" w:name="_Toc19020"/>
      <w:bookmarkStart w:id="43" w:name="_Toc467144247"/>
      <w:bookmarkStart w:id="44" w:name="_Toc29729"/>
      <w:r>
        <w:t>深化重点流域水污染防治</w:t>
      </w:r>
      <w:bookmarkEnd w:id="42"/>
      <w:bookmarkEnd w:id="43"/>
      <w:bookmarkEnd w:id="44"/>
      <w:r>
        <w:t>。</w:t>
      </w:r>
      <w:bookmarkStart w:id="45" w:name="_Toc9283"/>
      <w:r>
        <w:t>推进排污口规范化管理</w:t>
      </w:r>
      <w:bookmarkEnd w:id="45"/>
      <w:bookmarkStart w:id="46" w:name="_Toc15767"/>
      <w:r>
        <w:t>；积极推进地表水监控断面水质达标治理</w:t>
      </w:r>
      <w:bookmarkEnd w:id="46"/>
      <w:bookmarkStart w:id="47" w:name="_Toc26979"/>
      <w:r>
        <w:t>；加快主要流域沿河乡镇污水处理设施标准化建设</w:t>
      </w:r>
      <w:bookmarkEnd w:id="47"/>
      <w:bookmarkStart w:id="48" w:name="_Toc24537"/>
      <w:r>
        <w:t>；深化重点流域综合治理</w:t>
      </w:r>
      <w:bookmarkEnd w:id="48"/>
      <w:r>
        <w:t>。</w:t>
      </w:r>
      <w:bookmarkStart w:id="49" w:name="_Toc11090"/>
      <w:bookmarkStart w:id="50" w:name="_Toc13144"/>
      <w:r>
        <w:t>强化城镇生活污染防治</w:t>
      </w:r>
      <w:bookmarkEnd w:id="49"/>
      <w:bookmarkEnd w:id="50"/>
      <w:r>
        <w:t>。加快县城建污水收集管网及雨污分流建设，实现污水全收集、全处理；到2025年底，县城污水处理率达到90%以上，县城建成区污水收集率达到95%以上。</w:t>
      </w:r>
      <w:bookmarkStart w:id="51" w:name="_Toc16537"/>
      <w:bookmarkStart w:id="52" w:name="_Toc9992"/>
      <w:r>
        <w:t>大力推进工业水污染防治</w:t>
      </w:r>
      <w:bookmarkEnd w:id="51"/>
      <w:bookmarkEnd w:id="52"/>
      <w:r>
        <w:t>。</w:t>
      </w:r>
      <w:bookmarkStart w:id="53" w:name="_Toc6518"/>
      <w:r>
        <w:t>专项整治水污染重点行业</w:t>
      </w:r>
      <w:bookmarkEnd w:id="53"/>
      <w:bookmarkStart w:id="54" w:name="_Toc20902"/>
      <w:r>
        <w:t>；优化产业结构布局</w:t>
      </w:r>
      <w:bookmarkEnd w:id="54"/>
      <w:bookmarkStart w:id="55" w:name="_Toc31261"/>
      <w:r>
        <w:t>；推进工业集聚区水污染治理</w:t>
      </w:r>
      <w:bookmarkEnd w:id="55"/>
      <w:bookmarkStart w:id="56" w:name="_Toc20314"/>
      <w:r>
        <w:t>；开展采掘和石油行业环境整治</w:t>
      </w:r>
      <w:bookmarkEnd w:id="56"/>
      <w:r>
        <w:t>。</w:t>
      </w:r>
      <w:bookmarkStart w:id="57" w:name="_Toc24236"/>
      <w:bookmarkStart w:id="58" w:name="_Toc8347"/>
      <w:r>
        <w:t>加强农业农村污染防治</w:t>
      </w:r>
      <w:bookmarkEnd w:id="57"/>
      <w:bookmarkEnd w:id="58"/>
      <w:r>
        <w:t>。</w:t>
      </w:r>
      <w:bookmarkStart w:id="59" w:name="_Toc21191"/>
      <w:r>
        <w:t>加强防治畜禽养殖污染</w:t>
      </w:r>
      <w:bookmarkEnd w:id="59"/>
      <w:bookmarkStart w:id="60" w:name="_Toc25264"/>
      <w:r>
        <w:t>；加快控制农业面源污染</w:t>
      </w:r>
      <w:bookmarkEnd w:id="60"/>
      <w:bookmarkStart w:id="61" w:name="_Toc14069"/>
      <w:r>
        <w:t>；推进农村环境综合整治</w:t>
      </w:r>
      <w:bookmarkEnd w:id="61"/>
      <w:r>
        <w:t>。</w:t>
      </w:r>
      <w:bookmarkStart w:id="62" w:name="_Toc5140"/>
      <w:bookmarkStart w:id="63" w:name="_Toc1653"/>
      <w:r>
        <w:t>强化地下水污染防控</w:t>
      </w:r>
      <w:bookmarkEnd w:id="62"/>
      <w:bookmarkEnd w:id="63"/>
      <w:r>
        <w:t>。</w:t>
      </w:r>
      <w:bookmarkStart w:id="64" w:name="_Toc32031"/>
      <w:r>
        <w:t>加强地下水污染源头预防</w:t>
      </w:r>
      <w:bookmarkEnd w:id="64"/>
      <w:bookmarkStart w:id="65" w:name="_Toc22073"/>
      <w:r>
        <w:t>；开展地下水“双源”环境状况调查评估</w:t>
      </w:r>
      <w:bookmarkEnd w:id="65"/>
      <w:bookmarkStart w:id="66" w:name="_Toc3561"/>
      <w:r>
        <w:t>；建立健全地下水保护共享机制</w:t>
      </w:r>
      <w:bookmarkEnd w:id="66"/>
      <w:bookmarkStart w:id="67" w:name="_Toc24278"/>
      <w:r>
        <w:t>；推进质量监管、污染风险管控和修复</w:t>
      </w:r>
      <w:bookmarkEnd w:id="67"/>
      <w:r>
        <w:t>。</w:t>
      </w:r>
      <w:bookmarkStart w:id="68" w:name="_Toc324"/>
      <w:bookmarkStart w:id="69" w:name="_Toc11193"/>
      <w:r>
        <w:t>科学确定生态流量</w:t>
      </w:r>
      <w:bookmarkEnd w:id="68"/>
      <w:bookmarkEnd w:id="69"/>
      <w:r>
        <w:t>。</w:t>
      </w:r>
      <w:bookmarkStart w:id="70" w:name="_Toc8900"/>
      <w:bookmarkStart w:id="71" w:name="_Toc15910"/>
      <w:r>
        <w:t>加强水资源节约保护</w:t>
      </w:r>
      <w:bookmarkEnd w:id="70"/>
      <w:bookmarkEnd w:id="71"/>
      <w:r>
        <w:t>。</w:t>
      </w:r>
    </w:p>
    <w:p>
      <w:pPr>
        <w:ind w:firstLine="560"/>
      </w:pPr>
      <w:r>
        <w:t>强化环境空气质量改善与气候协同治理。</w:t>
      </w:r>
      <w:bookmarkStart w:id="72" w:name="_Toc19796"/>
      <w:bookmarkStart w:id="73" w:name="_Toc31269"/>
      <w:r>
        <w:t>加强主要污染物深度治理</w:t>
      </w:r>
      <w:bookmarkEnd w:id="72"/>
      <w:bookmarkEnd w:id="73"/>
      <w:r>
        <w:t>。</w:t>
      </w:r>
      <w:bookmarkStart w:id="74" w:name="_Toc28424"/>
      <w:r>
        <w:t>进一步加强燃煤小锅炉整治</w:t>
      </w:r>
      <w:bookmarkEnd w:id="74"/>
      <w:bookmarkStart w:id="75" w:name="_Toc17130"/>
      <w:r>
        <w:t>。深入开展工业污染源综合治理</w:t>
      </w:r>
      <w:bookmarkEnd w:id="75"/>
      <w:r>
        <w:t>。继续强化二氧化硫总量控制；持续开展氮氧化物总量控制；加强工业烟（粉）尘与污染治理；促进工业废气污染源全面达标排放。</w:t>
      </w:r>
      <w:bookmarkStart w:id="76" w:name="_Toc29783"/>
      <w:r>
        <w:t>加强机动车污染防治</w:t>
      </w:r>
      <w:bookmarkEnd w:id="76"/>
      <w:r>
        <w:t>。加强车辆环保检验管理。全面提高油品质量。加强机动车尾气污染治理。鼓励新能源交通工具发展。</w:t>
      </w:r>
      <w:bookmarkStart w:id="77" w:name="_Toc19141"/>
      <w:r>
        <w:t>实施县城扬尘综合整治</w:t>
      </w:r>
      <w:bookmarkEnd w:id="77"/>
      <w:r>
        <w:t>。规范施工工地管理；加强渣土运输车辆管理；加大道路清扫保洁力度。</w:t>
      </w:r>
      <w:bookmarkStart w:id="78" w:name="_Toc29067"/>
      <w:r>
        <w:t>控制重点行业挥发性有机物排放</w:t>
      </w:r>
      <w:bookmarkEnd w:id="78"/>
      <w:bookmarkStart w:id="79" w:name="_Toc118"/>
      <w:r>
        <w:t>；推进PM</w:t>
      </w:r>
      <w:r>
        <w:rPr>
          <w:vertAlign w:val="subscript"/>
        </w:rPr>
        <w:t>2.5</w:t>
      </w:r>
      <w:r>
        <w:t>与O</w:t>
      </w:r>
      <w:r>
        <w:rPr>
          <w:vertAlign w:val="subscript"/>
        </w:rPr>
        <w:t>3</w:t>
      </w:r>
      <w:r>
        <w:t>协同控制</w:t>
      </w:r>
      <w:bookmarkEnd w:id="79"/>
      <w:bookmarkStart w:id="80" w:name="_Toc1459"/>
      <w:bookmarkStart w:id="81" w:name="_Toc467144257"/>
      <w:bookmarkStart w:id="82" w:name="_Toc7261"/>
      <w:r>
        <w:t>。全方位管制餐饮行业油烟污染和露天焚烧</w:t>
      </w:r>
      <w:bookmarkEnd w:id="80"/>
      <w:bookmarkEnd w:id="81"/>
      <w:bookmarkEnd w:id="82"/>
      <w:r>
        <w:t>。</w:t>
      </w:r>
      <w:bookmarkStart w:id="83" w:name="_Toc27888"/>
      <w:r>
        <w:t>督促推进餐饮业油烟污染治理</w:t>
      </w:r>
      <w:bookmarkEnd w:id="83"/>
      <w:bookmarkStart w:id="84" w:name="_Toc27532"/>
      <w:r>
        <w:t>；加强对焚烧物质的环境监管</w:t>
      </w:r>
      <w:bookmarkEnd w:id="84"/>
      <w:r>
        <w:t>；</w:t>
      </w:r>
      <w:bookmarkStart w:id="85" w:name="_Toc18225"/>
      <w:r>
        <w:t>强化烟花爆竹燃放管控</w:t>
      </w:r>
      <w:bookmarkEnd w:id="85"/>
      <w:r>
        <w:t>。</w:t>
      </w:r>
      <w:bookmarkStart w:id="86" w:name="_Toc4230"/>
      <w:bookmarkStart w:id="87" w:name="_Toc467144256"/>
      <w:bookmarkStart w:id="88" w:name="_Toc5290"/>
      <w:r>
        <w:t>推进绿色生态增容减污</w:t>
      </w:r>
      <w:bookmarkEnd w:id="86"/>
      <w:bookmarkEnd w:id="87"/>
      <w:bookmarkEnd w:id="88"/>
      <w:r>
        <w:t>。</w:t>
      </w:r>
      <w:bookmarkStart w:id="89" w:name="_Toc14248"/>
      <w:bookmarkStart w:id="90" w:name="_Toc1719"/>
      <w:r>
        <w:t>建立健全大气环境管理机制</w:t>
      </w:r>
      <w:bookmarkEnd w:id="89"/>
      <w:bookmarkEnd w:id="90"/>
      <w:r>
        <w:t>。</w:t>
      </w:r>
      <w:bookmarkStart w:id="91" w:name="_Toc12562"/>
      <w:r>
        <w:t>加强重污染天气应急联动</w:t>
      </w:r>
      <w:bookmarkEnd w:id="91"/>
      <w:bookmarkStart w:id="92" w:name="_Toc20439"/>
      <w:r>
        <w:t>；深入推进县城网格化管理模式</w:t>
      </w:r>
      <w:bookmarkEnd w:id="92"/>
      <w:r>
        <w:t>。</w:t>
      </w:r>
      <w:bookmarkStart w:id="93" w:name="_Toc3118"/>
      <w:r>
        <w:t>加快提升区域声环境质量</w:t>
      </w:r>
      <w:bookmarkEnd w:id="93"/>
      <w:r>
        <w:t>。</w:t>
      </w:r>
      <w:bookmarkStart w:id="94" w:name="_Toc8225"/>
      <w:bookmarkStart w:id="95" w:name="_Toc28361"/>
      <w:r>
        <w:t>切实加强城乡声环境管理</w:t>
      </w:r>
      <w:bookmarkEnd w:id="94"/>
      <w:bookmarkEnd w:id="95"/>
      <w:bookmarkStart w:id="96" w:name="_Toc4239"/>
      <w:bookmarkStart w:id="97" w:name="_Toc15107"/>
      <w:r>
        <w:t>；强化噪声源控制和治理</w:t>
      </w:r>
      <w:bookmarkEnd w:id="96"/>
      <w:bookmarkEnd w:id="97"/>
      <w:r>
        <w:t>。深化土壤污染风险管控和修复。</w:t>
      </w:r>
    </w:p>
    <w:p>
      <w:pPr>
        <w:ind w:firstLine="560"/>
      </w:pPr>
      <w:bookmarkStart w:id="98" w:name="_Toc14296"/>
      <w:bookmarkStart w:id="99" w:name="_Toc21473"/>
      <w:r>
        <w:t>持续完善土壤污染防治监管体系</w:t>
      </w:r>
      <w:bookmarkEnd w:id="98"/>
      <w:bookmarkEnd w:id="99"/>
      <w:r>
        <w:t>。开展涉重金属重点行业企业排查专项整治，以耕地重金属污染问题突出区域和石油勘探开发集中区域为重点，聚焦涉重金属重点行业企业，开展污染源排查整治。确定排查重点区域，开展污染源排查，建立污染源整治清单。结合石油勘探开发与冶炼、电镀、制革等行业特点，从重点行业企业排污许可、企业拆除活动监管、渗漏泄漏预防、新改扩建项目企业用地选址调查等方面，细化规章制度、标准技术规范、监管能力提升等管理措施，开展针对性的污染防控。</w:t>
      </w:r>
      <w:bookmarkStart w:id="100" w:name="_Toc2727"/>
      <w:bookmarkStart w:id="101" w:name="_Toc19750"/>
      <w:bookmarkStart w:id="102" w:name="_Toc28827"/>
      <w:r>
        <w:t>加强农用地土壤污染源头管控和安全利用</w:t>
      </w:r>
      <w:bookmarkEnd w:id="100"/>
      <w:bookmarkEnd w:id="101"/>
      <w:r>
        <w:t>。加大优先保护类耕地的保护力度；分类推进土壤安全利用。</w:t>
      </w:r>
      <w:bookmarkStart w:id="103" w:name="_Toc10425"/>
      <w:r>
        <w:t>建立健全土壤污染防治制度</w:t>
      </w:r>
      <w:bookmarkEnd w:id="102"/>
      <w:r>
        <w:t>体系</w:t>
      </w:r>
      <w:bookmarkEnd w:id="103"/>
      <w:r>
        <w:t>。</w:t>
      </w:r>
      <w:bookmarkStart w:id="104" w:name="_Toc12540"/>
      <w:r>
        <w:t>建立土壤环境的空间管制机制</w:t>
      </w:r>
      <w:bookmarkEnd w:id="104"/>
      <w:bookmarkStart w:id="105" w:name="_Toc16115"/>
      <w:r>
        <w:t>；建立企业主体责任倒逼约束机制</w:t>
      </w:r>
      <w:bookmarkEnd w:id="105"/>
      <w:bookmarkStart w:id="106" w:name="_Toc31161"/>
      <w:r>
        <w:t>；严格污染地块准入管理</w:t>
      </w:r>
      <w:bookmarkEnd w:id="106"/>
      <w:bookmarkStart w:id="107" w:name="_Toc20629"/>
      <w:r>
        <w:t>；强化涉及污染地块建设项目环评管理</w:t>
      </w:r>
      <w:bookmarkEnd w:id="107"/>
      <w:bookmarkStart w:id="108" w:name="_Toc22249"/>
      <w:r>
        <w:t>；加强土壤环境监测能力建设</w:t>
      </w:r>
      <w:bookmarkEnd w:id="108"/>
      <w:r>
        <w:t>。</w:t>
      </w:r>
    </w:p>
    <w:p>
      <w:pPr>
        <w:pStyle w:val="5"/>
        <w:ind w:firstLine="602" w:firstLineChars="200"/>
      </w:pPr>
      <w:bookmarkStart w:id="109" w:name="_Toc92390538"/>
      <w:r>
        <w:t>2.强化生态保护修复</w:t>
      </w:r>
      <w:bookmarkEnd w:id="109"/>
    </w:p>
    <w:p>
      <w:pPr>
        <w:ind w:firstLine="560"/>
        <w:rPr>
          <w:kern w:val="0"/>
        </w:rPr>
      </w:pPr>
      <w:r>
        <w:t>建设“一带两廊三通道”。</w:t>
      </w:r>
      <w:r>
        <w:rPr>
          <w:kern w:val="0"/>
        </w:rPr>
        <w:t>以生态保护、水资源配置、环境整治、国土绿化、产业培育为重点，采取工程、生物、经济和管理等措施，实施“一带两廊三通道”项目。聚焦水蚀风蚀交错、农牧交错和水土流失综合治理，大力开展造林种草和封禁保护。开展马莲河、蒲河流域水生态、水环境、水资源“三水共治”，推动流域造林绿化和生态湿地恢复保护，提升流域水质，构筑马莲河、蒲河生态长廊。推进银西高铁、青兰高速、甜永高速等重要交通沿线及面山绿化美化，尤其是县城过境段的生态修复与坡面治理，要高标准规划设计，打造展现我县人文历史文化的门户景观带。</w:t>
      </w:r>
    </w:p>
    <w:p>
      <w:pPr>
        <w:ind w:firstLine="560"/>
      </w:pPr>
      <w:r>
        <w:t>实施“再造一个子午岭”提质增效行动。</w:t>
      </w:r>
      <w:r>
        <w:rPr>
          <w:kern w:val="0"/>
        </w:rPr>
        <w:t>全面推行“林长制”，持续开展大规模国土绿化行动，巩固提升“再造一个子午岭”工程成效，大力实施黄河流域宁县林业和草原生态保护与修复项目，积极争取国家储备林基地建设项目，按照“五区五廊”</w:t>
      </w:r>
      <w:r>
        <w:rPr>
          <w:rStyle w:val="18"/>
          <w:kern w:val="0"/>
        </w:rPr>
        <w:footnoteReference w:id="0"/>
      </w:r>
      <w:r>
        <w:rPr>
          <w:kern w:val="0"/>
        </w:rPr>
        <w:t>林草生态建设总体布局，加快推进陇东黄土高原生态安全屏障建设。北部沙化土地综合治理区，重点实施人工造林、人工种草和退化草原治理，大力营造防风固沙带；西部生态脆弱修复区，重点实施人工造林和封山育林，积极营建水土保持林，有效防止水土流失，逐步恢复生态环境；中部绿化美化先行示范区，全面开展城乡绿化美化，营建景观林带，增强黄土高原地区蓄水保土能力，减少入黄泥沙量；南部森林质量提质增效区，重点实施退化林修复、森林抚育、补植补造，精准提升森林质量；东部子午岭森林资源保护区，全面实施天然林保护，开展森林抚育和低质低效林改造，培育健康、稳定、高质量的森林生态系统，稳步增强森林生态系统的整体功能。沿黄河中游支流马莲河、蒲河廊道，重点实施河道治理、湿地建设、植被恢复等工程，改善和修复生态环境，提升水土保持和水源涵养能力。完善廊道生态景观及配套设施，适度发展生态休闲、生态康养产业，实现生态经济社会效益共赢。加强森林、草原、湿地、自然保护地等监管，构建完善、稳定、健康的林草生态系统。</w:t>
      </w:r>
    </w:p>
    <w:p>
      <w:pPr>
        <w:ind w:firstLine="560"/>
      </w:pPr>
      <w:r>
        <w:t>打造黄河流域水土保持样板区。围绕黄河流域生态保护修复，系统开展固沟、保塬、营林、净水、理田、治矿等重大生态工程，有效增加林草植被覆盖度，恢复生态功能，全力打造黄河流域黄土高原水土保持样板区，着力构建生态安全屏障。全面落实《甘肃省黄河流域生态保护和高质量发展规划》、《黄土高原沟壑区固沟保塬综合治理规划》，加快实施陇东黄土高原区水土流失治理、固沟保塬、马莲河水土保持绿色长廊和马莲河、蒲河水土流失治理等项目，提高水土保持治理程度，改善陇东黄土高原地区生态面貌。统筹推进小流域综合治理、淤地坝建设、坡耕地水土流失综合治理，加强北部山区旱作梯田建设和南部塬区低标准梯田提质改造。</w:t>
      </w:r>
      <w:r>
        <w:rPr>
          <w:kern w:val="0"/>
        </w:rPr>
        <w:t>到2025年，治理水土流失3000平方公里，保护塬面1000平方公里。</w:t>
      </w:r>
    </w:p>
    <w:p>
      <w:pPr>
        <w:ind w:firstLine="560"/>
      </w:pPr>
      <w:r>
        <w:t>持续推进油区矿区生态修复。按照“谁破坏、谁修复”“谁修复、谁受益”的原则，与资源开发企业合作建立油区矿区生态整治和修复投入长效机制。针对废弃油井和煤矿区等重点区域，持续开展生态保护和修复工程。充分采取市场化运作、开发式治理、科学性利用等模式，积极引入社会资本参与油田矿区生态修复，推进矿区复绿复垦进度，尽快恢复油区矿区自然形态。以挥发性有机物、生产废水、工业固废等为重点，加大油区矿区开发全过程污染防治，加快构建循环经济产业链，提升矿区用水、煤矸石、油泥、钻井泥浆规范化处置和综合利用水平。</w:t>
      </w:r>
    </w:p>
    <w:p>
      <w:pPr>
        <w:ind w:firstLine="560"/>
      </w:pPr>
      <w:r>
        <w:t>持续强化自然保护地监管。大力推进自然保护地监管能力现代化，运用新技术、新手段持续加大自然生态监管力度。不断加大对甘肃子午岭省级自然保护区、子午岭国家森林公园等自然保护地的保护与管理力度。继续组织开展好“绿盾”专项行动，会同相关部门，持续开展“绿盾”自然保护地强化监督专项行动，切实维护各类自然保护地生态安全稳定。开展退耕还林还草、封育治理力度，大力营造水土保持林、水源涵养林。严格划定辖区各类生态功能区的禁止、限制开发边界，并加强执法监督检查力度。加强对重要生态系统的保护和永续利用。按照分类科学、布局合理、保护有力、管理有效的原则，建立健全以国家公园为主体的自然保护地体系，确保重要自然生态系统、自然遗迹、自然景观和生物多样性得到系统性保护。</w:t>
      </w:r>
    </w:p>
    <w:p>
      <w:pPr>
        <w:ind w:firstLine="560"/>
      </w:pPr>
      <w:r>
        <w:t>加大生物多样性保护力度。切实履行《生物多样性公约》行动，依法保护列入《国家重点保护野生动物名录》和《国家重点保护野生植物名录》的国家一、二级野生动植物，禁止对野生动植物资源进行乱捕乱采和破坏，实现野生动植物资源的良性循环和永续利用。持续对保护优先区域内典型生态系统、珍稀、濒危和特有物种等多样性保护，加强对外来入侵物种和转基因生物的安全管理，强化生物安全监测评估与监督管理。加强濒危物种栖息地管理、拯救繁育、野化放归。</w:t>
      </w:r>
    </w:p>
    <w:p>
      <w:pPr>
        <w:pStyle w:val="5"/>
        <w:ind w:firstLine="602" w:firstLineChars="200"/>
      </w:pPr>
      <w:bookmarkStart w:id="110" w:name="_Toc92390539"/>
      <w:r>
        <w:t>3.积极应对气候变化</w:t>
      </w:r>
      <w:bookmarkEnd w:id="110"/>
    </w:p>
    <w:p>
      <w:pPr>
        <w:ind w:firstLine="560"/>
      </w:pPr>
      <w:bookmarkStart w:id="111" w:name="_Toc31678"/>
      <w:bookmarkStart w:id="112" w:name="_Toc25682"/>
      <w:bookmarkStart w:id="113" w:name="_Toc2590"/>
      <w:r>
        <w:t>研究制定碳排放控制制度和落实方案</w:t>
      </w:r>
      <w:bookmarkEnd w:id="111"/>
      <w:bookmarkEnd w:id="112"/>
      <w:bookmarkEnd w:id="113"/>
      <w:r>
        <w:t>。研究制定碳排放控制制度和落实方案。推进碳排放权交易市场建设。</w:t>
      </w:r>
    </w:p>
    <w:p>
      <w:pPr>
        <w:ind w:firstLine="560"/>
      </w:pPr>
      <w:bookmarkStart w:id="114" w:name="_Toc19183"/>
      <w:bookmarkStart w:id="115" w:name="_Toc24910"/>
      <w:bookmarkStart w:id="116" w:name="_Toc23349"/>
      <w:r>
        <w:t>构建大气污染与气候变化协同减排体系</w:t>
      </w:r>
      <w:bookmarkEnd w:id="114"/>
      <w:bookmarkEnd w:id="115"/>
      <w:bookmarkEnd w:id="116"/>
      <w:r>
        <w:t>。协同推进碳排放达峰和空气质量达标。构建低碳能源体系。</w:t>
      </w:r>
    </w:p>
    <w:p>
      <w:pPr>
        <w:pStyle w:val="5"/>
        <w:ind w:firstLine="602" w:firstLineChars="200"/>
      </w:pPr>
      <w:bookmarkStart w:id="117" w:name="_Toc92390540"/>
      <w:r>
        <w:t>4.有效防范生态环境风险</w:t>
      </w:r>
      <w:bookmarkEnd w:id="117"/>
    </w:p>
    <w:p>
      <w:pPr>
        <w:ind w:firstLine="560"/>
      </w:pPr>
      <w:r>
        <w:t>完善生态环境风险防控管理体系。完善生态环境风险防范与应急体系。提升区域应急保障能力。强化环境风险全过程管理。</w:t>
      </w:r>
      <w:bookmarkStart w:id="118" w:name="_Toc5631"/>
      <w:r>
        <w:t>加强核与辐射安全管理</w:t>
      </w:r>
      <w:bookmarkEnd w:id="118"/>
      <w:r>
        <w:t>。</w:t>
      </w:r>
      <w:bookmarkStart w:id="119" w:name="_Toc467144299"/>
      <w:bookmarkStart w:id="120" w:name="_Toc25128"/>
      <w:bookmarkStart w:id="121" w:name="_Toc12882"/>
      <w:r>
        <w:t>加强核与辐射安全监管能力建设</w:t>
      </w:r>
      <w:bookmarkEnd w:id="119"/>
      <w:bookmarkEnd w:id="120"/>
      <w:bookmarkEnd w:id="121"/>
      <w:bookmarkStart w:id="122" w:name="_Toc13383"/>
      <w:bookmarkStart w:id="123" w:name="_Toc19153"/>
      <w:bookmarkStart w:id="124" w:name="_Toc467144300"/>
      <w:r>
        <w:t>。加大核与辐射环境安全监管力度</w:t>
      </w:r>
      <w:bookmarkEnd w:id="122"/>
      <w:bookmarkEnd w:id="123"/>
      <w:bookmarkEnd w:id="124"/>
      <w:r>
        <w:t>。严格审批许可管理；强化日常监督执法。</w:t>
      </w:r>
      <w:bookmarkStart w:id="125" w:name="_Toc467144301"/>
      <w:bookmarkStart w:id="126" w:name="_Toc22743"/>
      <w:bookmarkStart w:id="127" w:name="_Toc31577"/>
      <w:r>
        <w:t>提升辐射应急处置水平</w:t>
      </w:r>
      <w:bookmarkEnd w:id="125"/>
      <w:bookmarkEnd w:id="126"/>
      <w:bookmarkEnd w:id="127"/>
      <w:r>
        <w:t>。</w:t>
      </w:r>
    </w:p>
    <w:p>
      <w:pPr>
        <w:ind w:firstLine="560"/>
      </w:pPr>
      <w:bookmarkStart w:id="128" w:name="_Toc2163"/>
      <w:r>
        <w:t>深化石油开采污染综合防治</w:t>
      </w:r>
      <w:bookmarkEnd w:id="128"/>
      <w:r>
        <w:t>。</w:t>
      </w:r>
      <w:bookmarkStart w:id="129" w:name="_Toc6023"/>
      <w:bookmarkStart w:id="130" w:name="_Toc29265"/>
      <w:r>
        <w:t>加大落后产能淘汰力度，源头削减石油污染</w:t>
      </w:r>
      <w:bookmarkEnd w:id="129"/>
      <w:bookmarkEnd w:id="130"/>
      <w:r>
        <w:t>，转变发展方式，加大重点行业防控力度；积极推进清洁生产，实施污染源综合防治。</w:t>
      </w:r>
      <w:bookmarkStart w:id="131" w:name="_Toc20424"/>
      <w:bookmarkStart w:id="132" w:name="_Toc21675"/>
      <w:r>
        <w:t>强化涉油行业污染综合防控</w:t>
      </w:r>
      <w:bookmarkEnd w:id="131"/>
      <w:bookmarkEnd w:id="132"/>
      <w:r>
        <w:t>。</w:t>
      </w:r>
      <w:bookmarkStart w:id="133" w:name="_Toc4935"/>
      <w:bookmarkStart w:id="134" w:name="_Toc467144296"/>
      <w:bookmarkStart w:id="135" w:name="_Toc30970"/>
      <w:r>
        <w:t>加强风险管控，严格落实企业责任</w:t>
      </w:r>
      <w:bookmarkEnd w:id="133"/>
      <w:bookmarkEnd w:id="134"/>
      <w:bookmarkEnd w:id="135"/>
      <w:bookmarkStart w:id="136" w:name="_Toc16432"/>
      <w:bookmarkStart w:id="137" w:name="_Toc15400"/>
      <w:bookmarkStart w:id="138" w:name="_Toc467144297"/>
      <w:r>
        <w:t>。加强监管能力建设，提升监管水平</w:t>
      </w:r>
      <w:bookmarkEnd w:id="136"/>
      <w:bookmarkEnd w:id="137"/>
      <w:bookmarkEnd w:id="138"/>
      <w:r>
        <w:t>。</w:t>
      </w:r>
    </w:p>
    <w:p>
      <w:pPr>
        <w:ind w:firstLine="560"/>
      </w:pPr>
      <w:bookmarkStart w:id="139" w:name="_Toc14362"/>
      <w:r>
        <w:t>推进固体废物规范化处理处置</w:t>
      </w:r>
      <w:bookmarkEnd w:id="139"/>
      <w:r>
        <w:t>。</w:t>
      </w:r>
      <w:bookmarkStart w:id="140" w:name="_Toc467144276"/>
      <w:bookmarkStart w:id="141" w:name="_Toc24685"/>
      <w:bookmarkStart w:id="142" w:name="_Toc26095"/>
      <w:r>
        <w:t>推进工业固体废物的资源化利用</w:t>
      </w:r>
      <w:bookmarkEnd w:id="140"/>
      <w:bookmarkEnd w:id="141"/>
      <w:bookmarkEnd w:id="142"/>
      <w:bookmarkStart w:id="143" w:name="_Toc24871"/>
      <w:bookmarkStart w:id="144" w:name="_Toc467144278"/>
      <w:bookmarkStart w:id="145" w:name="_Toc31399"/>
      <w:r>
        <w:t>。提高生活垃圾无害化处理水平</w:t>
      </w:r>
      <w:bookmarkEnd w:id="143"/>
      <w:bookmarkEnd w:id="144"/>
      <w:bookmarkEnd w:id="145"/>
      <w:r>
        <w:t>。</w:t>
      </w:r>
      <w:r>
        <w:rPr>
          <w:szCs w:val="28"/>
        </w:rPr>
        <w:t>提高生活垃圾分类收集处理水平。保障现有生活垃圾处理设施稳定有效运行。</w:t>
      </w:r>
      <w:r>
        <w:t>提高餐厨垃圾治理水平。</w:t>
      </w:r>
      <w:bookmarkStart w:id="146" w:name="_Toc467144279"/>
      <w:bookmarkStart w:id="147" w:name="_Toc20744"/>
      <w:bookmarkStart w:id="148" w:name="_Toc13582"/>
      <w:r>
        <w:t>加强电子垃圾回收利用</w:t>
      </w:r>
      <w:bookmarkEnd w:id="146"/>
      <w:bookmarkEnd w:id="147"/>
      <w:bookmarkEnd w:id="148"/>
      <w:bookmarkStart w:id="149" w:name="_Toc19901"/>
      <w:r>
        <w:t>。加强塑料污染治理</w:t>
      </w:r>
      <w:bookmarkEnd w:id="149"/>
      <w:bookmarkStart w:id="150" w:name="_Toc467144280"/>
      <w:bookmarkStart w:id="151" w:name="_Toc24512"/>
      <w:bookmarkStart w:id="152" w:name="_Toc5823"/>
      <w:r>
        <w:t>。推动建筑垃圾再利用</w:t>
      </w:r>
      <w:bookmarkEnd w:id="150"/>
      <w:bookmarkEnd w:id="151"/>
      <w:bookmarkEnd w:id="152"/>
      <w:r>
        <w:t>。</w:t>
      </w:r>
    </w:p>
    <w:p>
      <w:pPr>
        <w:ind w:firstLine="560"/>
      </w:pPr>
      <w:bookmarkStart w:id="153" w:name="_Toc2494"/>
      <w:r>
        <w:t>严控有毒有害物质污染环境</w:t>
      </w:r>
      <w:bookmarkEnd w:id="153"/>
      <w:r>
        <w:t>。</w:t>
      </w:r>
      <w:bookmarkStart w:id="154" w:name="_Toc467144303"/>
      <w:bookmarkStart w:id="155" w:name="_Toc16994"/>
      <w:bookmarkStart w:id="156" w:name="_Toc13200"/>
      <w:r>
        <w:t>严格医疗废物安全处置</w:t>
      </w:r>
      <w:bookmarkEnd w:id="154"/>
      <w:bookmarkEnd w:id="155"/>
      <w:bookmarkEnd w:id="156"/>
      <w:r>
        <w:t>。</w:t>
      </w:r>
      <w:r>
        <w:rPr>
          <w:szCs w:val="28"/>
        </w:rPr>
        <w:t>完善医疗废物收运体系。健全医疗废弃物环境管理制度。加大执法检查力度。</w:t>
      </w:r>
      <w:bookmarkStart w:id="157" w:name="_Toc21458"/>
      <w:bookmarkStart w:id="158" w:name="_Toc12428"/>
      <w:bookmarkStart w:id="159" w:name="_Toc467144304"/>
      <w:r>
        <w:t>推动工业危险废物安全处置</w:t>
      </w:r>
      <w:bookmarkEnd w:id="157"/>
      <w:bookmarkEnd w:id="158"/>
      <w:bookmarkEnd w:id="159"/>
      <w:bookmarkStart w:id="160" w:name="_Toc467144305"/>
      <w:r>
        <w:t>。</w:t>
      </w:r>
      <w:r>
        <w:rPr>
          <w:szCs w:val="28"/>
        </w:rPr>
        <w:t>加强对工业企业危险废物产生源的排查和监督管理。加大危险废物互转运及处理处置监管。全面推进危险废物规范化管理。</w:t>
      </w:r>
      <w:bookmarkStart w:id="161" w:name="_Toc26492"/>
      <w:bookmarkStart w:id="162" w:name="_Toc10749"/>
      <w:r>
        <w:t>提升化学品管理基础能力</w:t>
      </w:r>
      <w:bookmarkEnd w:id="160"/>
      <w:bookmarkEnd w:id="161"/>
      <w:bookmarkEnd w:id="162"/>
      <w:r>
        <w:t>。</w:t>
      </w:r>
      <w:bookmarkStart w:id="163" w:name="_Toc15262"/>
      <w:bookmarkStart w:id="164" w:name="_Toc3404"/>
      <w:r>
        <w:t>强化新污染物环境风险管控</w:t>
      </w:r>
      <w:bookmarkEnd w:id="163"/>
      <w:bookmarkEnd w:id="164"/>
      <w:r>
        <w:t>。</w:t>
      </w:r>
    </w:p>
    <w:p>
      <w:pPr>
        <w:ind w:firstLine="560"/>
      </w:pPr>
      <w:r>
        <w:t>围绕提供更多优质生态产品满足人民群众美好生活需要，以生态系统良性循环和生态环境风险有效防范为重点，在区域生态安全建设已有目标任务及阶段成效的基础上，进一步明确建设总体思路、目标指标与任务措施，部署</w:t>
      </w:r>
      <w:r>
        <w:rPr>
          <w:rFonts w:hint="eastAsia"/>
          <w:lang w:val="en-US" w:eastAsia="zh-CN"/>
        </w:rPr>
        <w:t>5</w:t>
      </w:r>
      <w:r>
        <w:t>个重点工程。</w:t>
      </w:r>
    </w:p>
    <w:tbl>
      <w:tblPr>
        <w:tblStyle w:val="15"/>
        <w:tblW w:w="8522" w:type="dxa"/>
        <w:jc w:val="center"/>
        <w:shd w:val="clear" w:color="auto" w:fill="auto"/>
        <w:tblLayout w:type="fixed"/>
        <w:tblCellMar>
          <w:top w:w="0" w:type="dxa"/>
          <w:left w:w="108" w:type="dxa"/>
          <w:bottom w:w="0" w:type="dxa"/>
          <w:right w:w="108" w:type="dxa"/>
        </w:tblCellMar>
      </w:tblPr>
      <w:tblGrid>
        <w:gridCol w:w="8522"/>
      </w:tblGrid>
      <w:tr>
        <w:tblPrEx>
          <w:shd w:val="clear" w:color="auto" w:fill="auto"/>
          <w:tblCellMar>
            <w:top w:w="0" w:type="dxa"/>
            <w:left w:w="108" w:type="dxa"/>
            <w:bottom w:w="0" w:type="dxa"/>
            <w:right w:w="108" w:type="dxa"/>
          </w:tblCellMar>
        </w:tblPrEx>
        <w:trPr>
          <w:trHeight w:val="558" w:hRule="atLeast"/>
          <w:jc w:val="center"/>
        </w:trPr>
        <w:tc>
          <w:tcPr>
            <w:tcW w:w="8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b/>
                <w:szCs w:val="28"/>
              </w:rPr>
            </w:pPr>
            <w:r>
              <w:rPr>
                <w:b/>
                <w:szCs w:val="28"/>
              </w:rPr>
              <w:t>专栏2  生态安全体系建设项目</w:t>
            </w:r>
          </w:p>
        </w:tc>
      </w:tr>
      <w:tr>
        <w:tblPrEx>
          <w:shd w:val="clear" w:color="auto" w:fill="auto"/>
          <w:tblCellMar>
            <w:top w:w="0" w:type="dxa"/>
            <w:left w:w="108" w:type="dxa"/>
            <w:bottom w:w="0" w:type="dxa"/>
            <w:right w:w="108" w:type="dxa"/>
          </w:tblCellMar>
        </w:tblPrEx>
        <w:trPr>
          <w:trHeight w:val="274" w:hRule="atLeast"/>
          <w:jc w:val="center"/>
        </w:trPr>
        <w:tc>
          <w:tcPr>
            <w:tcW w:w="8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0"/>
              <w:rPr>
                <w:kern w:val="0"/>
                <w:sz w:val="24"/>
                <w:szCs w:val="24"/>
              </w:rPr>
            </w:pPr>
            <w:r>
              <w:rPr>
                <w:kern w:val="0"/>
                <w:sz w:val="24"/>
                <w:szCs w:val="24"/>
              </w:rPr>
              <w:t>宁县</w:t>
            </w:r>
            <w:r>
              <w:rPr>
                <w:rFonts w:hint="eastAsia"/>
                <w:kern w:val="0"/>
                <w:sz w:val="24"/>
                <w:szCs w:val="24"/>
                <w:lang w:eastAsia="zh-CN"/>
              </w:rPr>
              <w:t>供热燃煤锅炉超低排放改造项目</w:t>
            </w:r>
            <w:r>
              <w:rPr>
                <w:kern w:val="0"/>
                <w:sz w:val="24"/>
                <w:szCs w:val="24"/>
              </w:rPr>
              <w:t>；</w:t>
            </w:r>
            <w:r>
              <w:rPr>
                <w:rFonts w:hint="eastAsia"/>
                <w:kern w:val="0"/>
                <w:sz w:val="24"/>
                <w:szCs w:val="24"/>
                <w:lang w:eastAsia="zh-CN"/>
              </w:rPr>
              <w:t>农村清洁能源改造整体推进项目；</w:t>
            </w:r>
            <w:r>
              <w:rPr>
                <w:kern w:val="0"/>
                <w:sz w:val="24"/>
                <w:szCs w:val="24"/>
              </w:rPr>
              <w:t>黄河流域庆阳市森林和草原保护与修复项目；宁县草原生态治理项目；宁县创建国家生态园林县城项目。</w:t>
            </w:r>
          </w:p>
        </w:tc>
      </w:tr>
    </w:tbl>
    <w:p>
      <w:pPr>
        <w:pStyle w:val="4"/>
        <w:ind w:firstLine="643" w:firstLineChars="200"/>
        <w:rPr>
          <w:rFonts w:hint="eastAsia" w:ascii="楷体_GB2312" w:hAnsi="楷体_GB2312" w:eastAsia="楷体_GB2312" w:cs="楷体_GB2312"/>
        </w:rPr>
      </w:pPr>
      <w:bookmarkStart w:id="165" w:name="_Toc92390541"/>
      <w:r>
        <w:rPr>
          <w:rFonts w:hint="eastAsia" w:ascii="楷体_GB2312" w:hAnsi="楷体_GB2312" w:eastAsia="楷体_GB2312" w:cs="楷体_GB2312"/>
        </w:rPr>
        <w:t>（三）建设生态空间体系</w:t>
      </w:r>
      <w:bookmarkEnd w:id="165"/>
    </w:p>
    <w:p>
      <w:pPr>
        <w:pStyle w:val="5"/>
        <w:ind w:firstLine="602" w:firstLineChars="200"/>
      </w:pPr>
      <w:bookmarkStart w:id="166" w:name="_Toc92390542"/>
      <w:r>
        <w:t>1.加强生态空间用途管制</w:t>
      </w:r>
      <w:bookmarkEnd w:id="166"/>
    </w:p>
    <w:p>
      <w:pPr>
        <w:ind w:firstLine="560"/>
      </w:pPr>
      <w:r>
        <w:t>实施“三线一单”生态环境分区管控；完善国土空间用途管制；加强永久基本农田保护；严守生态保护红线；</w:t>
      </w:r>
      <w:r>
        <w:rPr>
          <w:kern w:val="0"/>
        </w:rPr>
        <w:t>加强村庄规划建设。</w:t>
      </w:r>
    </w:p>
    <w:p>
      <w:pPr>
        <w:pStyle w:val="5"/>
        <w:ind w:firstLine="602" w:firstLineChars="200"/>
      </w:pPr>
      <w:bookmarkStart w:id="167" w:name="_Toc92390543"/>
      <w:r>
        <w:t>2.完善自然保护地体系</w:t>
      </w:r>
      <w:bookmarkEnd w:id="167"/>
    </w:p>
    <w:p>
      <w:pPr>
        <w:ind w:firstLine="560"/>
        <w:rPr>
          <w:sz w:val="21"/>
          <w:szCs w:val="21"/>
        </w:rPr>
      </w:pPr>
      <w:bookmarkStart w:id="168" w:name="_Toc22439"/>
      <w:r>
        <w:t>按照《甘肃省委办公厅、省政府办公厅关于印发〈甘肃省建立以国家公园为主体的自然保护地体系实施意见〉的通知》精神，宁县结合实际，完成全县自然保护地现状调查，完成自然保护地整合优化预案编制，并与生态保护红线衔接。到2025年，完成全县自然保护地整合优化和勘界立标，落实国家制定的自然保护地内建设项目负面清单，提出全县自然保护地总体布局和发展规划，完善自然保护地管理监督制度，提升自然生态空间承载力，初步建成自然保护地体系。加强子午岭省级自然保护区建设与管理</w:t>
      </w:r>
      <w:bookmarkEnd w:id="168"/>
      <w:bookmarkStart w:id="169" w:name="_Toc3247"/>
      <w:r>
        <w:t>；开展生态系统保护与修复</w:t>
      </w:r>
      <w:bookmarkEnd w:id="169"/>
      <w:bookmarkStart w:id="170" w:name="_Toc29246"/>
      <w:r>
        <w:rPr>
          <w:sz w:val="21"/>
          <w:szCs w:val="21"/>
        </w:rPr>
        <w:t>；</w:t>
      </w:r>
      <w:r>
        <w:t>加强生物多样性调查与监管</w:t>
      </w:r>
      <w:bookmarkEnd w:id="170"/>
      <w:r>
        <w:t>。</w:t>
      </w:r>
    </w:p>
    <w:p>
      <w:pPr>
        <w:pStyle w:val="5"/>
        <w:ind w:firstLine="602" w:firstLineChars="200"/>
      </w:pPr>
      <w:bookmarkStart w:id="171" w:name="_Toc92390544"/>
      <w:r>
        <w:t>3.优化国土空间布局</w:t>
      </w:r>
      <w:bookmarkEnd w:id="171"/>
    </w:p>
    <w:p>
      <w:pPr>
        <w:ind w:firstLine="560"/>
        <w:rPr>
          <w:kern w:val="0"/>
        </w:rPr>
      </w:pPr>
      <w:r>
        <w:rPr>
          <w:kern w:val="0"/>
        </w:rPr>
        <w:t>全面落实国家区域战略和主体功能区战略，严守生态保护红线，优化空间布局，提高空间利用效率，加快宁县重点开发区发展</w:t>
      </w:r>
      <w:r>
        <w:rPr>
          <w:spacing w:val="-6"/>
          <w:kern w:val="0"/>
        </w:rPr>
        <w:t>。立足交通、数据信息、资源等区位优势，引导人口和经济</w:t>
      </w:r>
      <w:r>
        <w:rPr>
          <w:kern w:val="0"/>
        </w:rPr>
        <w:t>要素有序有效聚集，优化生产生活生态空间格局，推进以人为核心的新型城镇化，做优县城，做精特色小城镇，逐步形成优势互补、中心引领、区域联动、城乡融合的国土空间布局。</w:t>
      </w:r>
    </w:p>
    <w:p>
      <w:pPr>
        <w:ind w:firstLine="560"/>
      </w:pPr>
      <w:r>
        <w:t>围绕生态空间山清水秀、生活空间宜居舒适、生产空间集约高效的要求，以加快构建新发展格局为重点，在区域生态空间格局优化已有目标任务及阶段成效的基础上，进一步明确建设总体思路、目标指标与任务措施，部署</w:t>
      </w:r>
      <w:r>
        <w:rPr>
          <w:rFonts w:hint="eastAsia"/>
          <w:lang w:val="en-US" w:eastAsia="zh-CN"/>
        </w:rPr>
        <w:t>10</w:t>
      </w:r>
      <w:r>
        <w:t>个重点工程。</w:t>
      </w:r>
    </w:p>
    <w:tbl>
      <w:tblPr>
        <w:tblStyle w:val="15"/>
        <w:tblW w:w="8522" w:type="dxa"/>
        <w:jc w:val="center"/>
        <w:shd w:val="clear" w:color="auto" w:fill="auto"/>
        <w:tblLayout w:type="fixed"/>
        <w:tblCellMar>
          <w:top w:w="0" w:type="dxa"/>
          <w:left w:w="108" w:type="dxa"/>
          <w:bottom w:w="0" w:type="dxa"/>
          <w:right w:w="108" w:type="dxa"/>
        </w:tblCellMar>
      </w:tblPr>
      <w:tblGrid>
        <w:gridCol w:w="8522"/>
      </w:tblGrid>
      <w:tr>
        <w:tblPrEx>
          <w:shd w:val="clear" w:color="auto" w:fill="auto"/>
          <w:tblCellMar>
            <w:top w:w="0" w:type="dxa"/>
            <w:left w:w="108" w:type="dxa"/>
            <w:bottom w:w="0" w:type="dxa"/>
            <w:right w:w="108" w:type="dxa"/>
          </w:tblCellMar>
        </w:tblPrEx>
        <w:trPr>
          <w:trHeight w:val="558" w:hRule="atLeast"/>
          <w:jc w:val="center"/>
        </w:trPr>
        <w:tc>
          <w:tcPr>
            <w:tcW w:w="8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b/>
                <w:szCs w:val="28"/>
              </w:rPr>
            </w:pPr>
            <w:r>
              <w:rPr>
                <w:b/>
                <w:szCs w:val="28"/>
              </w:rPr>
              <w:t>专栏3  生态空间体系建设项目</w:t>
            </w:r>
          </w:p>
        </w:tc>
      </w:tr>
      <w:tr>
        <w:tblPrEx>
          <w:shd w:val="clear" w:color="auto" w:fill="auto"/>
          <w:tblCellMar>
            <w:top w:w="0" w:type="dxa"/>
            <w:left w:w="108" w:type="dxa"/>
            <w:bottom w:w="0" w:type="dxa"/>
            <w:right w:w="108" w:type="dxa"/>
          </w:tblCellMar>
        </w:tblPrEx>
        <w:trPr>
          <w:trHeight w:val="779" w:hRule="atLeast"/>
          <w:jc w:val="center"/>
        </w:trPr>
        <w:tc>
          <w:tcPr>
            <w:tcW w:w="8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0"/>
              <w:rPr>
                <w:kern w:val="0"/>
                <w:sz w:val="24"/>
                <w:szCs w:val="24"/>
              </w:rPr>
            </w:pPr>
            <w:r>
              <w:rPr>
                <w:kern w:val="0"/>
                <w:sz w:val="24"/>
                <w:szCs w:val="24"/>
              </w:rPr>
              <w:t>宁县马莲河流域水</w:t>
            </w:r>
            <w:r>
              <w:rPr>
                <w:rFonts w:hint="eastAsia"/>
                <w:kern w:val="0"/>
                <w:sz w:val="24"/>
                <w:szCs w:val="24"/>
                <w:lang w:eastAsia="zh-CN"/>
              </w:rPr>
              <w:t>污染防治项目；</w:t>
            </w:r>
            <w:r>
              <w:rPr>
                <w:kern w:val="0"/>
                <w:sz w:val="24"/>
                <w:szCs w:val="24"/>
              </w:rPr>
              <w:t>宁县蒲河流域水</w:t>
            </w:r>
            <w:r>
              <w:rPr>
                <w:rFonts w:hint="eastAsia"/>
                <w:kern w:val="0"/>
                <w:sz w:val="24"/>
                <w:szCs w:val="24"/>
                <w:lang w:eastAsia="zh-CN"/>
              </w:rPr>
              <w:t>污染防治项目</w:t>
            </w:r>
            <w:r>
              <w:rPr>
                <w:kern w:val="0"/>
                <w:sz w:val="24"/>
                <w:szCs w:val="24"/>
              </w:rPr>
              <w:t>；</w:t>
            </w:r>
            <w:r>
              <w:rPr>
                <w:rFonts w:hint="eastAsia"/>
                <w:kern w:val="0"/>
                <w:sz w:val="24"/>
                <w:szCs w:val="24"/>
                <w:lang w:eastAsia="zh-CN"/>
              </w:rPr>
              <w:t>污水处理场站尾水人工湿地工程项目；饮用水源地规范化建设及环境保护工程项目；重点流域水生态环境状况调查项目；和盛镇污水处理站提标改造工程；</w:t>
            </w:r>
            <w:r>
              <w:rPr>
                <w:kern w:val="0"/>
                <w:sz w:val="24"/>
                <w:szCs w:val="24"/>
              </w:rPr>
              <w:t>宁县小流域综合治理项目；宁县国土绿化项目；宁县三北防护林建设项目；小盘河引水入宁工程。</w:t>
            </w:r>
          </w:p>
        </w:tc>
      </w:tr>
    </w:tbl>
    <w:p>
      <w:pPr>
        <w:pStyle w:val="4"/>
        <w:ind w:firstLine="643" w:firstLineChars="200"/>
        <w:rPr>
          <w:rFonts w:hint="eastAsia" w:ascii="楷体_GB2312" w:hAnsi="楷体_GB2312" w:eastAsia="楷体_GB2312" w:cs="楷体_GB2312"/>
        </w:rPr>
      </w:pPr>
      <w:bookmarkStart w:id="172" w:name="_Toc92390545"/>
      <w:r>
        <w:rPr>
          <w:rFonts w:hint="eastAsia" w:ascii="楷体_GB2312" w:hAnsi="楷体_GB2312" w:eastAsia="楷体_GB2312" w:cs="楷体_GB2312"/>
        </w:rPr>
        <w:t>（四）建设生态经济体系</w:t>
      </w:r>
      <w:bookmarkEnd w:id="172"/>
    </w:p>
    <w:p>
      <w:pPr>
        <w:ind w:firstLine="560"/>
      </w:pPr>
      <w:r>
        <w:t>围绕产业生态化、生态产业化的要求，以优化调整产业结构、能源结构、交通运输结构、农业投入结构为重点，在区域生态经济发展已有目标任务及阶段成效的基础上，立足资源禀赋和产业基础，坚定践行绿色发展理念，大力推进产业转型升级，加快新旧动能转换，着力构建现代化经济体系，绿色产业发展水平持续提升。</w:t>
      </w:r>
    </w:p>
    <w:p>
      <w:pPr>
        <w:ind w:firstLine="560"/>
      </w:pPr>
      <w:r>
        <w:t>坚持节约优先，加强源头管控，提升生态环境保护工作与国土空间规划衔接性，有序开展生态环境保护分区分类精准管制，积极促进经济结构调整和转型升级，提高经济发展的生态效率，不断改变产业结构偏重、能源结构偏煤、产业布局不优的现状，协同推动经济高质量发展和生态环境高水平保护，促进形成人与自然和谐相处的绿色发展格局。</w:t>
      </w:r>
    </w:p>
    <w:p>
      <w:pPr>
        <w:pStyle w:val="5"/>
        <w:ind w:firstLine="602" w:firstLineChars="200"/>
      </w:pPr>
      <w:bookmarkStart w:id="173" w:name="_Toc92390546"/>
      <w:r>
        <w:t>1.优化调整产业结构</w:t>
      </w:r>
      <w:bookmarkEnd w:id="173"/>
    </w:p>
    <w:p>
      <w:pPr>
        <w:ind w:firstLine="560"/>
        <w:rPr>
          <w:b/>
          <w:bCs/>
        </w:rPr>
      </w:pPr>
      <w:r>
        <w:t>协同提升经济发展和生态环境质量，推进布局与结构调整，推动传统产业行业深度治理和绿色化循环化低碳化改造，大幅提升产业清洁化水平，促进我国产业迈向全球价值链中高端，形成我国生态环境质量改善的强大内生动力。</w:t>
      </w:r>
      <w:bookmarkStart w:id="174" w:name="_Toc14461"/>
      <w:bookmarkStart w:id="175" w:name="_Toc25856"/>
      <w:r>
        <w:t>优化产业结构，促进产业绿色升级</w:t>
      </w:r>
      <w:bookmarkEnd w:id="174"/>
      <w:bookmarkEnd w:id="175"/>
      <w:r>
        <w:t>；</w:t>
      </w:r>
      <w:bookmarkStart w:id="176" w:name="_Toc26574"/>
      <w:bookmarkStart w:id="177" w:name="_Toc12404"/>
      <w:r>
        <w:t>优化能源结构，提升能源清洁化水平</w:t>
      </w:r>
      <w:bookmarkEnd w:id="176"/>
      <w:bookmarkEnd w:id="177"/>
      <w:bookmarkStart w:id="178" w:name="_Toc8809"/>
      <w:bookmarkStart w:id="179" w:name="_Toc4518"/>
      <w:r>
        <w:t>；优化运输结构，完善绿色综合交通体系</w:t>
      </w:r>
      <w:bookmarkEnd w:id="178"/>
      <w:bookmarkEnd w:id="179"/>
      <w:bookmarkStart w:id="180" w:name="_Toc28104"/>
      <w:bookmarkStart w:id="181" w:name="_Toc7980"/>
      <w:r>
        <w:t>；优化农业结构，提高农业绿色发展水平</w:t>
      </w:r>
      <w:bookmarkEnd w:id="180"/>
      <w:bookmarkEnd w:id="181"/>
      <w:r>
        <w:t>。</w:t>
      </w:r>
    </w:p>
    <w:p>
      <w:pPr>
        <w:pStyle w:val="5"/>
        <w:ind w:firstLine="602" w:firstLineChars="200"/>
      </w:pPr>
      <w:bookmarkStart w:id="182" w:name="_Toc92390547"/>
      <w:r>
        <w:t>2.大力发展生态产业</w:t>
      </w:r>
      <w:bookmarkEnd w:id="182"/>
    </w:p>
    <w:p>
      <w:pPr>
        <w:ind w:firstLine="560"/>
      </w:pPr>
      <w:bookmarkStart w:id="183" w:name="_Toc14155"/>
      <w:r>
        <w:t>大力发展绿色现代农业；融合发展文化旅游产业；积极发展现代物流产业，完善现代物流产业布局，强化物流服务供给，积极发展“互联网+”物流；发展绿色新能源产业。</w:t>
      </w:r>
    </w:p>
    <w:bookmarkEnd w:id="183"/>
    <w:p>
      <w:pPr>
        <w:pStyle w:val="5"/>
        <w:ind w:firstLine="602" w:firstLineChars="200"/>
      </w:pPr>
      <w:bookmarkStart w:id="184" w:name="_Toc92390548"/>
      <w:r>
        <w:t>3.积极调整能源结构</w:t>
      </w:r>
      <w:bookmarkEnd w:id="184"/>
    </w:p>
    <w:p>
      <w:pPr>
        <w:ind w:firstLine="560"/>
      </w:pPr>
      <w:r>
        <w:t>构建绿色低碳能源体系，助力实现“碳达峰、碳中和”目标；发挥示范引领作用，多措并举开展能源结构调整；进行能源消费总量和强度“双控”，制定节能审查负面清单，</w:t>
      </w:r>
      <w:r>
        <w:rPr>
          <w:szCs w:val="28"/>
        </w:rPr>
        <w:t>编制区域节能报告、制定负面清单、实行分类管理</w:t>
      </w:r>
      <w:bookmarkStart w:id="185" w:name="_Toc21204"/>
      <w:r>
        <w:rPr>
          <w:szCs w:val="28"/>
        </w:rPr>
        <w:t>；</w:t>
      </w:r>
      <w:r>
        <w:t>控制煤炭消费总量</w:t>
      </w:r>
      <w:bookmarkEnd w:id="185"/>
      <w:r>
        <w:t>，推进能源结构调整</w:t>
      </w:r>
      <w:bookmarkStart w:id="186" w:name="_Toc15946"/>
      <w:r>
        <w:t>；大力推进冬季清洁取暖</w:t>
      </w:r>
      <w:bookmarkEnd w:id="186"/>
      <w:bookmarkStart w:id="187" w:name="_Toc6316"/>
      <w:r>
        <w:t>；推进建筑节能和供热体制改革</w:t>
      </w:r>
      <w:bookmarkEnd w:id="187"/>
      <w:r>
        <w:t>。</w:t>
      </w:r>
    </w:p>
    <w:p>
      <w:pPr>
        <w:pStyle w:val="5"/>
        <w:ind w:firstLine="602" w:firstLineChars="200"/>
      </w:pPr>
      <w:bookmarkStart w:id="188" w:name="_Toc92390549"/>
      <w:r>
        <w:t>4.推动产业循环发展</w:t>
      </w:r>
      <w:bookmarkEnd w:id="188"/>
    </w:p>
    <w:p>
      <w:pPr>
        <w:ind w:firstLine="560"/>
        <w:rPr>
          <w:kern w:val="0"/>
        </w:rPr>
      </w:pPr>
      <w:r>
        <w:t>推动行业清洁化生产。按照石化、煤炭、石油和天然气等行业清洁生产评价指标体系要求，实施全县所涉相关企业开展清洁化生产，落实源头预防、过程控制和末端治理的全过程控制理念，实现“节能、降耗、减污、增效”。推进园区循环化改造。以化工绿色发展为主题，建设以高端石化产品为主导的新型化工产业基地，以长庆桥化工园区为依托，建设以高端石化产品为主导的新型化工产业基地，建成一批技术水平先进、环境友好、产品附加值高的深加工项目。</w:t>
      </w:r>
      <w:bookmarkStart w:id="189" w:name="_Toc26600"/>
      <w:bookmarkEnd w:id="189"/>
      <w:bookmarkStart w:id="190" w:name="_Toc45788096"/>
      <w:bookmarkEnd w:id="190"/>
      <w:bookmarkStart w:id="191" w:name="_Toc24726"/>
      <w:bookmarkEnd w:id="191"/>
      <w:bookmarkStart w:id="192" w:name="_Toc22698"/>
      <w:bookmarkEnd w:id="192"/>
      <w:bookmarkStart w:id="193" w:name="_Toc15206"/>
      <w:bookmarkEnd w:id="193"/>
      <w:bookmarkStart w:id="194" w:name="_Toc16995"/>
      <w:bookmarkEnd w:id="194"/>
      <w:bookmarkStart w:id="195" w:name="_Toc26000"/>
      <w:bookmarkEnd w:id="195"/>
      <w:bookmarkStart w:id="196" w:name="_Toc4438"/>
      <w:bookmarkEnd w:id="196"/>
      <w:bookmarkStart w:id="197" w:name="_Toc6325"/>
      <w:bookmarkEnd w:id="197"/>
      <w:bookmarkStart w:id="198" w:name="_Toc55562812"/>
      <w:bookmarkEnd w:id="198"/>
      <w:r>
        <w:t>促进农业绿色循环发展</w:t>
      </w:r>
      <w:r>
        <w:rPr>
          <w:kern w:val="0"/>
        </w:rPr>
        <w:t>。树立绿色、循环、低碳发展理念，着力发展资源节约型和环境友好型农业。大力推进农业节能减排，大力推广节地、节水、节肥、节药、节能农业生产技术，大力发展设施农业，农田综合种养，农机农艺结合等节约型农业。</w:t>
      </w:r>
    </w:p>
    <w:p>
      <w:pPr>
        <w:ind w:firstLine="560"/>
      </w:pPr>
      <w:r>
        <w:t>围绕产业生态化、生态产业化的要求，以优化调整产业结构、能源结构、交通运输结构、农业投入结构为重点，在区域生态经济发展已有目标任务及阶段成效的基础上，进一步明确建设总体思路、目标指标与任务措施，部署2个重点工程。</w:t>
      </w:r>
    </w:p>
    <w:tbl>
      <w:tblPr>
        <w:tblStyle w:val="15"/>
        <w:tblW w:w="8522" w:type="dxa"/>
        <w:jc w:val="center"/>
        <w:shd w:val="clear" w:color="auto" w:fill="auto"/>
        <w:tblLayout w:type="fixed"/>
        <w:tblCellMar>
          <w:top w:w="0" w:type="dxa"/>
          <w:left w:w="108" w:type="dxa"/>
          <w:bottom w:w="0" w:type="dxa"/>
          <w:right w:w="108" w:type="dxa"/>
        </w:tblCellMar>
      </w:tblPr>
      <w:tblGrid>
        <w:gridCol w:w="8522"/>
      </w:tblGrid>
      <w:tr>
        <w:tblPrEx>
          <w:shd w:val="clear" w:color="auto" w:fill="auto"/>
          <w:tblCellMar>
            <w:top w:w="0" w:type="dxa"/>
            <w:left w:w="108" w:type="dxa"/>
            <w:bottom w:w="0" w:type="dxa"/>
            <w:right w:w="108" w:type="dxa"/>
          </w:tblCellMar>
        </w:tblPrEx>
        <w:trPr>
          <w:trHeight w:val="558" w:hRule="atLeast"/>
          <w:jc w:val="center"/>
        </w:trPr>
        <w:tc>
          <w:tcPr>
            <w:tcW w:w="8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b/>
                <w:szCs w:val="28"/>
              </w:rPr>
            </w:pPr>
            <w:r>
              <w:rPr>
                <w:b/>
                <w:szCs w:val="28"/>
              </w:rPr>
              <w:t>专栏4  生态经济体系建设项目</w:t>
            </w:r>
          </w:p>
        </w:tc>
      </w:tr>
      <w:tr>
        <w:tblPrEx>
          <w:shd w:val="clear" w:color="auto" w:fill="auto"/>
          <w:tblCellMar>
            <w:top w:w="0" w:type="dxa"/>
            <w:left w:w="108" w:type="dxa"/>
            <w:bottom w:w="0" w:type="dxa"/>
            <w:right w:w="108" w:type="dxa"/>
          </w:tblCellMar>
        </w:tblPrEx>
        <w:trPr>
          <w:trHeight w:val="779" w:hRule="atLeast"/>
          <w:jc w:val="center"/>
        </w:trPr>
        <w:tc>
          <w:tcPr>
            <w:tcW w:w="8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0"/>
              <w:rPr>
                <w:kern w:val="0"/>
                <w:sz w:val="24"/>
                <w:szCs w:val="24"/>
              </w:rPr>
            </w:pPr>
            <w:r>
              <w:rPr>
                <w:kern w:val="0"/>
                <w:sz w:val="24"/>
                <w:szCs w:val="24"/>
              </w:rPr>
              <w:t>庆阳海创年处理9.6万吨油田废弃物处置及资源化利用项目；年产40万吨乙二醇及年产500万吨煤炭分级分质清洁综合利用项目。</w:t>
            </w:r>
          </w:p>
        </w:tc>
      </w:tr>
    </w:tbl>
    <w:p>
      <w:pPr>
        <w:pStyle w:val="4"/>
        <w:ind w:firstLine="643" w:firstLineChars="200"/>
        <w:rPr>
          <w:rFonts w:hint="eastAsia" w:ascii="楷体_GB2312" w:hAnsi="楷体_GB2312" w:eastAsia="楷体_GB2312" w:cs="楷体_GB2312"/>
        </w:rPr>
      </w:pPr>
      <w:bookmarkStart w:id="199" w:name="_Toc92390550"/>
      <w:r>
        <w:rPr>
          <w:rFonts w:hint="eastAsia" w:ascii="楷体_GB2312" w:hAnsi="楷体_GB2312" w:eastAsia="楷体_GB2312" w:cs="楷体_GB2312"/>
        </w:rPr>
        <w:t>（五）建设生态生活体系</w:t>
      </w:r>
      <w:bookmarkEnd w:id="199"/>
    </w:p>
    <w:p>
      <w:pPr>
        <w:pStyle w:val="5"/>
        <w:ind w:firstLine="602" w:firstLineChars="200"/>
      </w:pPr>
      <w:bookmarkStart w:id="200" w:name="_Toc92390551"/>
      <w:r>
        <w:t>1.加强生态环境基础设施建设</w:t>
      </w:r>
      <w:bookmarkEnd w:id="200"/>
    </w:p>
    <w:p>
      <w:pPr>
        <w:ind w:firstLine="560"/>
      </w:pPr>
      <w:bookmarkStart w:id="201" w:name="_Toc22724"/>
      <w:r>
        <w:t>因地制宜开展农村生活污水治理</w:t>
      </w:r>
      <w:bookmarkEnd w:id="201"/>
      <w:r>
        <w:t>。</w:t>
      </w:r>
      <w:r>
        <w:rPr>
          <w:szCs w:val="28"/>
        </w:rPr>
        <w:t>按照《宁县农村生活污水治理专项规划（2020-2035）》要求，有序推进农村生活污水治理设施建设，到2025年，全县农村生活污水治理的村庄数达到147个，农村生活污水治理村庄覆盖率达到57.2%，农村生活污水处理设施覆盖率达到7%。积极推动农村生活污水处理设施第三方标准化运维管理，建立“半小时响应服务圈”，到2030年，日处理设计规模30吨及以上农村生活污水处理设施基本实现标准化运维。</w:t>
      </w:r>
    </w:p>
    <w:p>
      <w:pPr>
        <w:ind w:firstLine="560"/>
      </w:pPr>
      <w:r>
        <w:t>提升城乡生活垃圾处理水平。</w:t>
      </w:r>
      <w:r>
        <w:rPr>
          <w:szCs w:val="28"/>
        </w:rPr>
        <w:t>加快建立与生活垃圾分类投放、分类收集、分类运输相匹配的分类处理系统，完善垃圾收运站场建设。进一步完善农村生活垃圾收集转运处理体系，积极推进农村生活垃圾分类减量，建立健全生活垃圾收集转运处理治理工作长效机制，补齐处理能力短板。综合治理残膜污染，推进地膜使用减量化，完善废旧农膜回收利用体系。完善农业废弃物综合利用体系，持续加强秸秆、尾菜还田利用。做好餐厨垃圾资源化利用和无害化处理。</w:t>
      </w:r>
    </w:p>
    <w:p>
      <w:pPr>
        <w:ind w:firstLine="560"/>
      </w:pPr>
      <w:r>
        <w:t>完善城乡生态绿地体系建设。大力推进县城增绿。</w:t>
      </w:r>
      <w:r>
        <w:rPr>
          <w:szCs w:val="28"/>
        </w:rPr>
        <w:t>按照“见缝插绿”原则，把森林融入县城，让县民走进森林，大力推进县城小森林建设，充分利用城区现有可绿化空地，挖掘绿化潜力，加快建设森林公园、湿地公园、社区公园。</w:t>
      </w:r>
      <w:r>
        <w:t>着力提升乡村绿化水平。</w:t>
      </w:r>
      <w:r>
        <w:rPr>
          <w:szCs w:val="28"/>
        </w:rPr>
        <w:t>以村内道路、公共场所、农户庭前屋后和村庄周边为重点，着力建设进村绿化生态路、乡村森林公园、庭院绿化示范区和环境保护林、风景林，保护好“风水林”。</w:t>
      </w:r>
    </w:p>
    <w:p>
      <w:pPr>
        <w:pStyle w:val="5"/>
        <w:ind w:firstLine="602" w:firstLineChars="200"/>
      </w:pPr>
      <w:bookmarkStart w:id="202" w:name="_Toc92390552"/>
      <w:r>
        <w:t>2.推进生态县城与美丽乡村建设</w:t>
      </w:r>
      <w:bookmarkEnd w:id="202"/>
    </w:p>
    <w:p>
      <w:pPr>
        <w:ind w:firstLine="560"/>
      </w:pPr>
      <w:bookmarkStart w:id="203" w:name="_Toc22083"/>
      <w:r>
        <w:t>加大农村环境整治力度</w:t>
      </w:r>
      <w:bookmarkEnd w:id="203"/>
      <w:r>
        <w:t>。</w:t>
      </w:r>
      <w:r>
        <w:rPr>
          <w:szCs w:val="28"/>
        </w:rPr>
        <w:t>依据《甘肃省水污染防治行动计划工作方案》、住房城乡建设部等《关于全面推进农村垃圾治理的指导意见》职责分工，积极推进农村污水处理统一规划、建设、管理，积极推进城镇污水、垃圾处理设施和服务向农村延伸，开展农村厕所无害化改造。因地制宜开展治理，完善农村生活垃圾“户保洁、组收集、村转运、镇处理”模式，鼓励就地资源化，加快整治“垃圾围村”、“垃圾围坝”等问题，切实防止城镇垃圾向农村转移。</w:t>
      </w:r>
    </w:p>
    <w:p>
      <w:pPr>
        <w:ind w:firstLine="560"/>
      </w:pPr>
      <w:bookmarkStart w:id="204" w:name="_Toc17440"/>
      <w:r>
        <w:t>加强农业面源综合治理</w:t>
      </w:r>
      <w:bookmarkEnd w:id="204"/>
      <w:r>
        <w:t>。</w:t>
      </w:r>
      <w:bookmarkStart w:id="205" w:name="_Toc19294"/>
      <w:bookmarkStart w:id="206" w:name="_Toc5847"/>
      <w:bookmarkStart w:id="207" w:name="_Toc467144270"/>
      <w:r>
        <w:t>综合防治规模化畜禽养殖场污染</w:t>
      </w:r>
      <w:bookmarkEnd w:id="205"/>
      <w:bookmarkEnd w:id="206"/>
      <w:bookmarkEnd w:id="207"/>
      <w:r>
        <w:t>。</w:t>
      </w:r>
      <w:r>
        <w:rPr>
          <w:szCs w:val="28"/>
        </w:rPr>
        <w:t>严格畜禽养殖场（小区）建设项目的环保审批。结合全县畜牧业发展实际，划定畜禽养殖禁养区，并依法关闭或搬迁禁养区的畜禽养殖场（小区）和养殖专业户。</w:t>
      </w:r>
      <w:bookmarkStart w:id="208" w:name="_Toc13282"/>
      <w:bookmarkStart w:id="209" w:name="_Toc16321"/>
      <w:r>
        <w:t>合理使用农药化肥</w:t>
      </w:r>
      <w:bookmarkEnd w:id="208"/>
      <w:bookmarkEnd w:id="209"/>
      <w:r>
        <w:t>。</w:t>
      </w:r>
      <w:r>
        <w:rPr>
          <w:szCs w:val="28"/>
        </w:rPr>
        <w:t>大力实施化肥农药使用量零增长行动，推进化肥农药减量增效，推行农作物病虫害专业化统防统治和绿色防控。到2025年，实现全县测土配方施肥技术覆盖率达到95%以上，主要农作物化肥使用量零增长，利用率达到40%。</w:t>
      </w:r>
      <w:bookmarkStart w:id="210" w:name="_Toc21939"/>
      <w:bookmarkStart w:id="211" w:name="_Toc467144272"/>
      <w:bookmarkStart w:id="212" w:name="_Toc12557"/>
      <w:r>
        <w:t>加强农药使用的环境管理</w:t>
      </w:r>
      <w:bookmarkEnd w:id="210"/>
      <w:bookmarkEnd w:id="211"/>
      <w:bookmarkEnd w:id="212"/>
      <w:r>
        <w:t>。</w:t>
      </w:r>
      <w:r>
        <w:rPr>
          <w:szCs w:val="28"/>
        </w:rPr>
        <w:t>开展新型农药引进、筛选、试验、示范、推广，推荐适宜高效低风险农药新品种及配套使用技术，优化农药品种结构，降低化学农药使用风险。到2025年，主要农作物农药使用量零增长，利用率达到40%。</w:t>
      </w:r>
      <w:bookmarkStart w:id="213" w:name="_Toc16643"/>
      <w:bookmarkStart w:id="214" w:name="_Toc16662"/>
      <w:r>
        <w:t>加强农资废弃包装物、农膜、尾菜的环境管理</w:t>
      </w:r>
      <w:bookmarkEnd w:id="213"/>
      <w:bookmarkEnd w:id="214"/>
      <w:r>
        <w:t>。</w:t>
      </w:r>
      <w:r>
        <w:rPr>
          <w:szCs w:val="28"/>
        </w:rPr>
        <w:t>指导农业生产者合理使用农膜，严厉打击违法生产和销售不符合国家标准农膜的行为，杜绝超薄膜的生产、销售和使用。2025年，全县废旧农膜回收率达到80%以上。</w:t>
      </w:r>
    </w:p>
    <w:p>
      <w:pPr>
        <w:pStyle w:val="5"/>
        <w:ind w:firstLine="602" w:firstLineChars="200"/>
      </w:pPr>
      <w:bookmarkStart w:id="215" w:name="_Toc92390553"/>
      <w:r>
        <w:t>3.培育生态生活方式</w:t>
      </w:r>
      <w:bookmarkEnd w:id="215"/>
    </w:p>
    <w:p>
      <w:pPr>
        <w:ind w:firstLine="560"/>
      </w:pPr>
      <w:r>
        <w:t>推行绿色县政服务。大力发展绿色县政服务，重点针对政务服务、医疗、教育、文化和体育公共服务设施，推行绿色县政新技术，实现公共服务设施低碳绿色化布局。</w:t>
      </w:r>
      <w:r>
        <w:rPr>
          <w:color w:val="000000"/>
        </w:rPr>
        <w:t>推进绿色政府建设，强化政府绿色采购要求，优先选择列入国家、省、县“环境标志产品政府采购清单”和“节能产品政府采购清单”的产品。到2025年，政府采购节能环保产品和环境标志产品所占比例达到80%以上。开展以节约、节能为主题的“绿色办公”活动，建设节约型机关。</w:t>
      </w:r>
    </w:p>
    <w:p>
      <w:pPr>
        <w:ind w:firstLine="560"/>
      </w:pPr>
      <w:r>
        <w:t>构建低碳交通体系。实施公交优先发展战略，加大县城公共交通投入，扶持公交企业节能环保型车辆、清洁能源车辆的购置换代，加快公共交通收费实行一票通、一网通，降低公共交通出行成本。着力改善县城慢行空间环境，建设与公交站点无缝接驳的自行车道和步行连廊，在大型居住区、大型社区、学校、风景区等人流密集区推广自行车共享服务，建立公共交通、共享自行车、步行联合等多方式组合协调的低碳公共交通体系。到2023年，全县公共交通出行分担率达到50%以上。</w:t>
      </w:r>
    </w:p>
    <w:p>
      <w:pPr>
        <w:ind w:firstLine="560"/>
      </w:pPr>
      <w:r>
        <w:t>推进全民低碳生活。引领公众践行《公民生态环境行为规范（试行）》，倡导简约适度、绿色低碳的生活方式。践行绿色消费，引导形成绿色消费观念，鼓励公众优先购买和使用环境友好型产品。推动完善节水器具、节电灯具、节能家电等产品的推广机制，鼓励公众购买绿色家具和环保建材产品。</w:t>
      </w:r>
    </w:p>
    <w:p>
      <w:pPr>
        <w:ind w:firstLine="560"/>
      </w:pPr>
      <w:r>
        <w:t>围绕生活方式生态化、绿色化、低碳化转变的要求，以加快环境基础设施建设、建设优美人居环境、培育绿色低碳消费与绿色低碳生活方式等为重点，在区域生活方式生态化转变已有目标任务及阶段成效的基础上，进一步明确建设总体思路、目标指标与任务措施，部署</w:t>
      </w:r>
      <w:r>
        <w:rPr>
          <w:rFonts w:hint="eastAsia"/>
          <w:lang w:val="en-US" w:eastAsia="zh-CN"/>
        </w:rPr>
        <w:t>3</w:t>
      </w:r>
      <w:r>
        <w:t>个重点工程。</w:t>
      </w:r>
    </w:p>
    <w:tbl>
      <w:tblPr>
        <w:tblStyle w:val="15"/>
        <w:tblW w:w="8522" w:type="dxa"/>
        <w:jc w:val="center"/>
        <w:shd w:val="clear" w:color="auto" w:fill="auto"/>
        <w:tblLayout w:type="fixed"/>
        <w:tblCellMar>
          <w:top w:w="0" w:type="dxa"/>
          <w:left w:w="108" w:type="dxa"/>
          <w:bottom w:w="0" w:type="dxa"/>
          <w:right w:w="108" w:type="dxa"/>
        </w:tblCellMar>
      </w:tblPr>
      <w:tblGrid>
        <w:gridCol w:w="8522"/>
      </w:tblGrid>
      <w:tr>
        <w:tblPrEx>
          <w:shd w:val="clear" w:color="auto" w:fill="auto"/>
          <w:tblCellMar>
            <w:top w:w="0" w:type="dxa"/>
            <w:left w:w="108" w:type="dxa"/>
            <w:bottom w:w="0" w:type="dxa"/>
            <w:right w:w="108" w:type="dxa"/>
          </w:tblCellMar>
        </w:tblPrEx>
        <w:trPr>
          <w:trHeight w:val="558" w:hRule="atLeast"/>
          <w:jc w:val="center"/>
        </w:trPr>
        <w:tc>
          <w:tcPr>
            <w:tcW w:w="8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b/>
                <w:szCs w:val="28"/>
              </w:rPr>
            </w:pPr>
            <w:r>
              <w:rPr>
                <w:b/>
                <w:szCs w:val="28"/>
              </w:rPr>
              <w:t>专栏5  生态生活体系建设项目</w:t>
            </w:r>
          </w:p>
        </w:tc>
      </w:tr>
      <w:tr>
        <w:tblPrEx>
          <w:shd w:val="clear" w:color="auto" w:fill="auto"/>
          <w:tblCellMar>
            <w:top w:w="0" w:type="dxa"/>
            <w:left w:w="108" w:type="dxa"/>
            <w:bottom w:w="0" w:type="dxa"/>
            <w:right w:w="108" w:type="dxa"/>
          </w:tblCellMar>
        </w:tblPrEx>
        <w:trPr>
          <w:trHeight w:val="779" w:hRule="atLeast"/>
          <w:jc w:val="center"/>
        </w:trPr>
        <w:tc>
          <w:tcPr>
            <w:tcW w:w="85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80"/>
              <w:rPr>
                <w:kern w:val="0"/>
                <w:sz w:val="24"/>
                <w:szCs w:val="24"/>
              </w:rPr>
            </w:pPr>
            <w:r>
              <w:rPr>
                <w:kern w:val="0"/>
                <w:sz w:val="24"/>
                <w:szCs w:val="24"/>
              </w:rPr>
              <w:t>宁县农村生活污水治理项目；宁县污水处理厂中水利用工程；宁县农村环境综合整治项目。</w:t>
            </w:r>
          </w:p>
        </w:tc>
      </w:tr>
    </w:tbl>
    <w:p>
      <w:pPr>
        <w:pStyle w:val="4"/>
        <w:ind w:firstLine="643" w:firstLineChars="200"/>
        <w:rPr>
          <w:rFonts w:hint="eastAsia" w:ascii="楷体_GB2312" w:hAnsi="楷体_GB2312" w:eastAsia="楷体_GB2312" w:cs="楷体_GB2312"/>
        </w:rPr>
      </w:pPr>
      <w:bookmarkStart w:id="216" w:name="_Toc92390554"/>
      <w:r>
        <w:rPr>
          <w:rFonts w:hint="eastAsia" w:ascii="楷体_GB2312" w:hAnsi="楷体_GB2312" w:eastAsia="楷体_GB2312" w:cs="楷体_GB2312"/>
        </w:rPr>
        <w:t>（六）建设生态文化体系</w:t>
      </w:r>
      <w:bookmarkEnd w:id="216"/>
    </w:p>
    <w:p>
      <w:pPr>
        <w:pStyle w:val="5"/>
        <w:ind w:firstLine="602" w:firstLineChars="200"/>
      </w:pPr>
      <w:bookmarkStart w:id="217" w:name="_Toc92390555"/>
      <w:r>
        <w:t>1.建设生态文明载体</w:t>
      </w:r>
      <w:bookmarkEnd w:id="217"/>
    </w:p>
    <w:p>
      <w:pPr>
        <w:ind w:firstLine="560"/>
      </w:pPr>
      <w:r>
        <w:t>充分利用传统媒体主渠道作用，做好生态文明宣传角度。</w:t>
      </w:r>
      <w:r>
        <w:rPr>
          <w:szCs w:val="28"/>
        </w:rPr>
        <w:t>充分发挥书籍、刊物、报纸、电视、广播等传统媒体的主渠道作用以及机场、汽车站、火车站、公交车站、广场、镇政府驻地、村庄主要出入口等户外广告中生态文明建设相关内容，积极宣扬生态文明建设理念。做好各级党政机关及企事业单位生态文明理念宣传工作。做好校园生态文明理念宣传工作。做好社区生态文明理念宣传工作。</w:t>
      </w:r>
    </w:p>
    <w:p>
      <w:pPr>
        <w:ind w:firstLine="560"/>
      </w:pPr>
      <w:r>
        <w:t>积极拓展生态文明宣传教育新媒体。</w:t>
      </w:r>
      <w:r>
        <w:rPr>
          <w:szCs w:val="28"/>
        </w:rPr>
        <w:t>充分利用数字时代红利，在县政务服务网、环保政务微博、门户网站、微信公众号、微博、APP等网络新型媒体，广泛开展生态文明理念宣传。在宁县政务服网管网设立“生态文明示范县建设专栏”，完善生态文明示范县建设相关政策文件，及时更新生态文明示范县建设进程，宣传普及生态文明建设理念，推广生态文明知识。</w:t>
      </w:r>
    </w:p>
    <w:p>
      <w:pPr>
        <w:ind w:firstLine="560"/>
      </w:pPr>
      <w:r>
        <w:t>深入探索互动体验式生态文明新媒体。</w:t>
      </w:r>
      <w:r>
        <w:rPr>
          <w:szCs w:val="28"/>
        </w:rPr>
        <w:t>探索在宁县污水处理厂、垃圾处理处理厂等县政环保基础设施以及典型的生态环保项目形成一批普及污染物减排、节约用水、生态产业技术发展以及环保知识宣教基地。依托宁县</w:t>
      </w:r>
      <w:r>
        <w:rPr>
          <w:color w:val="333333"/>
          <w:shd w:val="clear" w:color="auto" w:fill="FFFFFF"/>
        </w:rPr>
        <w:t>印象义渠全域莲花池</w:t>
      </w:r>
      <w:r>
        <w:rPr>
          <w:szCs w:val="28"/>
        </w:rPr>
        <w:t>、</w:t>
      </w:r>
      <w:r>
        <w:rPr>
          <w:color w:val="333333"/>
          <w:shd w:val="clear" w:color="auto" w:fill="FFFFFF"/>
        </w:rPr>
        <w:t>古豳文化旅游区</w:t>
      </w:r>
      <w:r>
        <w:rPr>
          <w:szCs w:val="28"/>
        </w:rPr>
        <w:t>、</w:t>
      </w:r>
      <w:r>
        <w:rPr>
          <w:color w:val="333333"/>
          <w:shd w:val="clear" w:color="auto" w:fill="FFFFFF"/>
        </w:rPr>
        <w:t>桂花园森林公园</w:t>
      </w:r>
      <w:r>
        <w:rPr>
          <w:szCs w:val="28"/>
        </w:rPr>
        <w:t>、</w:t>
      </w:r>
      <w:r>
        <w:rPr>
          <w:color w:val="333333"/>
          <w:shd w:val="clear" w:color="auto" w:fill="FFFFFF"/>
        </w:rPr>
        <w:t>政平古文化旅游村</w:t>
      </w:r>
      <w:r>
        <w:rPr>
          <w:szCs w:val="28"/>
        </w:rPr>
        <w:t>等文化风景区中开展主题教育活动，以气候变化、动植物资源、水资源保护与利用、生态修复等为切入点，深化人民群众对生态文明建设的认识，提高公众对自然生态环境的认知，感知文化、自然与社会进步的关系，树立生态文明的观念。</w:t>
      </w:r>
    </w:p>
    <w:p>
      <w:pPr>
        <w:pStyle w:val="5"/>
        <w:ind w:firstLine="602" w:firstLineChars="200"/>
      </w:pPr>
      <w:bookmarkStart w:id="218" w:name="_Toc92390556"/>
      <w:r>
        <w:t>2.加强生态文明宣传</w:t>
      </w:r>
      <w:bookmarkEnd w:id="218"/>
    </w:p>
    <w:p>
      <w:pPr>
        <w:ind w:firstLine="560"/>
      </w:pPr>
      <w:r>
        <w:t>开设生态文明培训班。</w:t>
      </w:r>
      <w:r>
        <w:rPr>
          <w:szCs w:val="28"/>
        </w:rPr>
        <w:t>以政府为主导，积极调动环保专业机构、专家、环保企业、公益组织等社会力量，充分利用宣教基地、社区和公共文化设施等平台建立定期或不定期针对各类人群的“绿色课堂”、“绿色讲座”，发放生态消费指南，全面普及环保知识。开发和建设一批满足社区居民学习需求的环境教育课程资源。</w:t>
      </w:r>
    </w:p>
    <w:p>
      <w:pPr>
        <w:ind w:firstLine="560"/>
      </w:pPr>
      <w:r>
        <w:t>完善生态文化宣传手段。</w:t>
      </w:r>
      <w:r>
        <w:rPr>
          <w:szCs w:val="28"/>
        </w:rPr>
        <w:t>开设宁县官网中“生态建设”专栏内容，完善公示生态文明建设重大政策文件，展示反映生态文明建设工程及取得成果的简报，普及生态文明和环境保护知识。建设社区交流平台。</w:t>
      </w:r>
    </w:p>
    <w:p>
      <w:pPr>
        <w:ind w:firstLine="560"/>
      </w:pPr>
      <w:r>
        <w:t>设立公众论坛。</w:t>
      </w:r>
      <w:r>
        <w:rPr>
          <w:szCs w:val="28"/>
        </w:rPr>
        <w:t>创建网络论坛、官方微博群加强与公众交流互动。各级环保部门要增加环境管理的透明度，加大社会舆论监督力度，充分发挥新闻媒体的监督作用，拓宽和畅通群众举报投诉渠道。</w:t>
      </w:r>
    </w:p>
    <w:p>
      <w:pPr>
        <w:pStyle w:val="5"/>
        <w:ind w:firstLine="602" w:firstLineChars="200"/>
      </w:pPr>
      <w:bookmarkStart w:id="219" w:name="_Toc92390557"/>
      <w:r>
        <w:t>3.加强生态文明公建共享</w:t>
      </w:r>
      <w:bookmarkEnd w:id="219"/>
    </w:p>
    <w:p>
      <w:pPr>
        <w:ind w:firstLine="560"/>
      </w:pPr>
      <w:r>
        <w:t>提高生态文明意识。加强政府生态行为意识，强化党政机关生态文化培训、加强新入职公务员生态文化培训、开展生态文明学习调研。加强企业生态行为意识。加强企业生态文化教育。建立企业生态环境保护的群众参与机制与志愿者队伍，鼓励员工投身参与企业的生态转型。计划到2025年，规模以上企业开展环保公益活动比例实现90%以上。开展农村生态文化教育。加强农村生态文化教育，培身一个有较高生态意识的新型农民群体，并建立认知文化、体制文化、生态文化规范和准则等。加强社区生态文化建设。以创建生态社区为契机建设社区生态文化，针对不同社区类型制定相应规划，广泛邀请居民建言献策，参与共建。加强学校生态行为意识。将生态文明纳入教师的业务培训，制定差异化生态文明教育方式。</w:t>
      </w:r>
    </w:p>
    <w:p>
      <w:pPr>
        <w:ind w:firstLine="560"/>
      </w:pPr>
      <w:r>
        <w:t>广泛开展生态文化主题活动。开展绿色机关建设工作。深入开展“绿色机关”创建活动，打造“绿色办公室”，全县每年开展一次“生态文明型机关”和“绿色部门”评选活动。积极开展“绿色校园”创建活动。积极开展“绿色校园”创建活动。到2025年，全县创建“绿色校园”比例达到80%以上。积极开展生态文化社会实践活动。鼓励群众性环保组织活动。充分调动各部门、各行业在生态文明建设中的主体作用，扎实开展各类生态文明创建活动。深入推进国家生态县、生态区、生态村等活动。</w:t>
      </w:r>
    </w:p>
    <w:p>
      <w:pPr>
        <w:pStyle w:val="5"/>
        <w:ind w:firstLine="602" w:firstLineChars="200"/>
      </w:pPr>
      <w:bookmarkStart w:id="220" w:name="_Toc92390558"/>
      <w:r>
        <w:t>4.打造生态文化品牌</w:t>
      </w:r>
      <w:bookmarkEnd w:id="220"/>
    </w:p>
    <w:p>
      <w:pPr>
        <w:ind w:firstLine="560"/>
      </w:pPr>
      <w:r>
        <w:t>彰显历史特色生态文化。依托公刘拓荒、秦直道修建、昭君出塞等经典传颂故事以及秦腔、眉户、道情戏曲等文化资源，策划推出一批特色鲜明、观赏性强、互动性强的演艺节目等文化产品；依托公刘邑、泥阳故城、定安故城等古城遗址和早胜石家墓群，秦直道、梁公庙、凝寿寺、政平唐塔和张氏书房、普照寺铜钟等，建设一大批遗址展览等，整合各类历史文化资源，形成历史文化空问网络。</w:t>
      </w:r>
    </w:p>
    <w:p>
      <w:pPr>
        <w:ind w:firstLine="560"/>
      </w:pPr>
      <w:r>
        <w:t>守护好红色文化基因库“绿色化”建设。</w:t>
      </w:r>
      <w:r>
        <w:rPr>
          <w:kern w:val="0"/>
        </w:rPr>
        <w:t>实施“三百”工程，推动红色资源保护利用传承。清点盘查革命文物、红色遗址遗迹、史料文献等红色文化资源，加快认定、定级、建账和建档工作，建立保护目录和大数据库。重点实施革命文物保护工程，制定革命旧址保护修缮五年行动计划和馆藏革命文物保护修复计划，推进以宁县革命历史纪念馆、王孝锡纪念馆为核心的革命文物集中连片保护利用工作。</w:t>
      </w:r>
    </w:p>
    <w:p>
      <w:pPr>
        <w:ind w:firstLine="560"/>
        <w:rPr>
          <w:rFonts w:hint="eastAsia"/>
          <w:kern w:val="0"/>
          <w:lang w:eastAsia="zh-CN"/>
        </w:rPr>
      </w:pPr>
      <w:r>
        <w:t>共建陕甘宁红色文化区生态保护。共同保护传承弘扬红色基因。</w:t>
      </w:r>
      <w:r>
        <w:rPr>
          <w:kern w:val="0"/>
        </w:rPr>
        <w:t>坚持“不忘初心、牢记使命”，围绕陕甘宁革命老区铭刻的红色故事、延续的红色血脉、凝聚的红色思想等最宝贵的红色资源，协同推进长征国家文化公园建设，共同传承好弘扬好陕甘宁革命老区光荣传统，共同走好新时代长征路。</w:t>
      </w:r>
      <w:r>
        <w:t>联手打造红色旅游精品。</w:t>
      </w:r>
      <w:r>
        <w:rPr>
          <w:kern w:val="0"/>
        </w:rPr>
        <w:t>依托陕甘宁革命老区、红军长征路线，充分发挥宁县红色旅游资源优势，抢抓银西高铁、银百高速重大机遇，依托延安—庆阳—固原—吴忠—榆林边区红色体验旅游路线，推动红色旅游发展，形成文化旅游深度融合、教育培训良性互动的红色产业体系，促进红色文化资源优势加快转化为发展优势</w:t>
      </w:r>
      <w:r>
        <w:rPr>
          <w:rFonts w:hint="eastAsia"/>
          <w:kern w:val="0"/>
          <w:lang w:eastAsia="zh-CN"/>
        </w:rPr>
        <w:t>。</w:t>
      </w:r>
      <w:bookmarkStart w:id="221" w:name="_Toc92390559"/>
    </w:p>
    <w:p>
      <w:pPr>
        <w:ind w:firstLine="560"/>
      </w:pPr>
    </w:p>
    <w:p>
      <w:pPr>
        <w:ind w:left="0" w:leftChars="0" w:firstLine="0" w:firstLineChars="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四、重点工程与效益分析</w:t>
      </w:r>
      <w:bookmarkEnd w:id="221"/>
    </w:p>
    <w:p>
      <w:pPr>
        <w:pStyle w:val="4"/>
        <w:ind w:firstLine="643" w:firstLineChars="200"/>
        <w:rPr>
          <w:rFonts w:hint="eastAsia" w:ascii="楷体_GB2312" w:hAnsi="楷体_GB2312" w:eastAsia="楷体_GB2312" w:cs="楷体_GB2312"/>
        </w:rPr>
      </w:pPr>
      <w:bookmarkStart w:id="222" w:name="_Toc92390560"/>
      <w:r>
        <w:rPr>
          <w:rFonts w:hint="eastAsia" w:ascii="楷体_GB2312" w:hAnsi="楷体_GB2312" w:eastAsia="楷体_GB2312" w:cs="楷体_GB2312"/>
        </w:rPr>
        <w:t>（一）工程内容与投资估算</w:t>
      </w:r>
      <w:bookmarkEnd w:id="222"/>
    </w:p>
    <w:p>
      <w:pPr>
        <w:ind w:firstLine="560"/>
        <w:rPr>
          <w:szCs w:val="28"/>
        </w:rPr>
      </w:pPr>
      <w:r>
        <w:rPr>
          <w:szCs w:val="28"/>
        </w:rPr>
        <w:t>围绕规划重点领域和监管重点，以大工程带动大治理，提出了在“十四五”期间能够对生态文明建设工作全局性有推进效益、操作性强的重点工程项目。</w:t>
      </w:r>
      <w:r>
        <w:t>结合主要任务，“十四五”时期我县共实施六大类工程，共计</w:t>
      </w:r>
      <w:r>
        <w:rPr>
          <w:rFonts w:hint="eastAsia"/>
          <w:b/>
          <w:bCs/>
          <w:lang w:val="en-US" w:eastAsia="zh-CN"/>
        </w:rPr>
        <w:t>23</w:t>
      </w:r>
      <w:r>
        <w:rPr>
          <w:b/>
          <w:bCs/>
        </w:rPr>
        <w:t>个</w:t>
      </w:r>
      <w:r>
        <w:t>重点项目</w:t>
      </w:r>
      <w:r>
        <w:rPr>
          <w:szCs w:val="28"/>
        </w:rPr>
        <w:t>，总投资</w:t>
      </w:r>
      <w:r>
        <w:rPr>
          <w:rFonts w:hint="eastAsia"/>
          <w:b/>
          <w:bCs/>
          <w:szCs w:val="28"/>
          <w:lang w:val="en-US" w:eastAsia="zh-CN"/>
        </w:rPr>
        <w:t>545550</w:t>
      </w:r>
      <w:r>
        <w:rPr>
          <w:b/>
          <w:bCs/>
          <w:szCs w:val="28"/>
        </w:rPr>
        <w:t>万元</w:t>
      </w:r>
      <w:r>
        <w:rPr>
          <w:szCs w:val="28"/>
        </w:rPr>
        <w:t>。</w:t>
      </w:r>
    </w:p>
    <w:tbl>
      <w:tblPr>
        <w:tblStyle w:val="15"/>
        <w:tblW w:w="8522" w:type="dxa"/>
        <w:jc w:val="center"/>
        <w:shd w:val="clear" w:color="auto" w:fill="auto"/>
        <w:tblLayout w:type="fixed"/>
        <w:tblCellMar>
          <w:top w:w="0" w:type="dxa"/>
          <w:left w:w="108" w:type="dxa"/>
          <w:bottom w:w="0" w:type="dxa"/>
          <w:right w:w="108" w:type="dxa"/>
        </w:tblCellMar>
      </w:tblPr>
      <w:tblGrid>
        <w:gridCol w:w="842"/>
        <w:gridCol w:w="2291"/>
        <w:gridCol w:w="1133"/>
        <w:gridCol w:w="1958"/>
        <w:gridCol w:w="2298"/>
      </w:tblGrid>
      <w:tr>
        <w:tblPrEx>
          <w:tblCellMar>
            <w:top w:w="0" w:type="dxa"/>
            <w:left w:w="108" w:type="dxa"/>
            <w:bottom w:w="0" w:type="dxa"/>
            <w:right w:w="108" w:type="dxa"/>
          </w:tblCellMar>
        </w:tblPrEx>
        <w:trPr>
          <w:trHeight w:val="558" w:hRule="atLeast"/>
          <w:jc w:val="center"/>
        </w:trPr>
        <w:tc>
          <w:tcPr>
            <w:tcW w:w="852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b/>
                <w:szCs w:val="28"/>
              </w:rPr>
            </w:pPr>
            <w:r>
              <w:rPr>
                <w:b/>
                <w:szCs w:val="28"/>
              </w:rPr>
              <w:t>专栏6  宁县国家生态文明建设示范县项目汇总</w:t>
            </w:r>
          </w:p>
        </w:tc>
      </w:tr>
      <w:tr>
        <w:tblPrEx>
          <w:shd w:val="clear" w:color="auto" w:fill="auto"/>
          <w:tblCellMar>
            <w:top w:w="0" w:type="dxa"/>
            <w:left w:w="108" w:type="dxa"/>
            <w:bottom w:w="0" w:type="dxa"/>
            <w:right w:w="108" w:type="dxa"/>
          </w:tblCellMar>
        </w:tblPrEx>
        <w:trPr>
          <w:trHeight w:val="779" w:hRule="atLeast"/>
          <w:jc w:val="center"/>
        </w:trPr>
        <w:tc>
          <w:tcPr>
            <w:tcW w:w="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b/>
                <w:bCs/>
                <w:kern w:val="0"/>
                <w:sz w:val="24"/>
                <w:szCs w:val="24"/>
              </w:rPr>
            </w:pPr>
            <w:r>
              <w:rPr>
                <w:b/>
                <w:bCs/>
                <w:kern w:val="0"/>
                <w:sz w:val="24"/>
                <w:szCs w:val="24"/>
              </w:rPr>
              <w:t>序号</w:t>
            </w:r>
          </w:p>
        </w:tc>
        <w:tc>
          <w:tcPr>
            <w:tcW w:w="2291" w:type="dxa"/>
            <w:tcBorders>
              <w:top w:val="single" w:color="auto" w:sz="4" w:space="0"/>
              <w:left w:val="nil"/>
              <w:bottom w:val="single" w:color="auto" w:sz="4" w:space="0"/>
              <w:right w:val="single" w:color="auto" w:sz="4" w:space="0"/>
            </w:tcBorders>
            <w:shd w:val="clear" w:color="auto" w:fill="auto"/>
            <w:noWrap/>
            <w:vAlign w:val="center"/>
          </w:tcPr>
          <w:p>
            <w:pPr>
              <w:widowControl/>
              <w:ind w:firstLine="0" w:firstLineChars="0"/>
              <w:jc w:val="center"/>
              <w:rPr>
                <w:b/>
                <w:bCs/>
                <w:kern w:val="0"/>
                <w:sz w:val="24"/>
                <w:szCs w:val="24"/>
              </w:rPr>
            </w:pPr>
            <w:r>
              <w:rPr>
                <w:b/>
                <w:bCs/>
                <w:kern w:val="0"/>
                <w:sz w:val="24"/>
                <w:szCs w:val="24"/>
              </w:rPr>
              <w:t>项目类型</w:t>
            </w:r>
          </w:p>
        </w:tc>
        <w:tc>
          <w:tcPr>
            <w:tcW w:w="1133" w:type="dxa"/>
            <w:tcBorders>
              <w:top w:val="single" w:color="auto" w:sz="4" w:space="0"/>
              <w:left w:val="nil"/>
              <w:bottom w:val="single" w:color="auto" w:sz="4" w:space="0"/>
              <w:right w:val="single" w:color="auto" w:sz="4" w:space="0"/>
            </w:tcBorders>
            <w:shd w:val="clear" w:color="auto" w:fill="auto"/>
            <w:noWrap/>
            <w:vAlign w:val="center"/>
          </w:tcPr>
          <w:p>
            <w:pPr>
              <w:widowControl/>
              <w:ind w:firstLine="0" w:firstLineChars="0"/>
              <w:jc w:val="center"/>
              <w:rPr>
                <w:b/>
                <w:bCs/>
                <w:kern w:val="0"/>
                <w:sz w:val="24"/>
                <w:szCs w:val="24"/>
              </w:rPr>
            </w:pPr>
            <w:r>
              <w:rPr>
                <w:b/>
                <w:bCs/>
                <w:kern w:val="0"/>
                <w:sz w:val="24"/>
                <w:szCs w:val="24"/>
              </w:rPr>
              <w:t>项目数</w:t>
            </w:r>
          </w:p>
        </w:tc>
        <w:tc>
          <w:tcPr>
            <w:tcW w:w="1958" w:type="dxa"/>
            <w:tcBorders>
              <w:top w:val="single" w:color="auto" w:sz="4" w:space="0"/>
              <w:left w:val="nil"/>
              <w:bottom w:val="single" w:color="auto" w:sz="4" w:space="0"/>
              <w:right w:val="single" w:color="auto" w:sz="4" w:space="0"/>
            </w:tcBorders>
            <w:shd w:val="clear" w:color="auto" w:fill="auto"/>
            <w:noWrap/>
            <w:vAlign w:val="center"/>
          </w:tcPr>
          <w:p>
            <w:pPr>
              <w:widowControl/>
              <w:ind w:firstLine="0" w:firstLineChars="0"/>
              <w:jc w:val="center"/>
              <w:rPr>
                <w:b/>
                <w:bCs/>
                <w:color w:val="000000"/>
              </w:rPr>
            </w:pPr>
            <w:r>
              <w:rPr>
                <w:b/>
                <w:bCs/>
                <w:color w:val="000000"/>
              </w:rPr>
              <w:t>总投资金额</w:t>
            </w:r>
          </w:p>
          <w:p>
            <w:pPr>
              <w:widowControl/>
              <w:ind w:firstLine="0" w:firstLineChars="0"/>
              <w:jc w:val="center"/>
              <w:rPr>
                <w:b/>
                <w:bCs/>
                <w:kern w:val="0"/>
                <w:sz w:val="24"/>
                <w:szCs w:val="24"/>
              </w:rPr>
            </w:pPr>
            <w:r>
              <w:rPr>
                <w:b/>
                <w:bCs/>
                <w:color w:val="000000"/>
              </w:rPr>
              <w:t>(万元）</w:t>
            </w:r>
          </w:p>
        </w:tc>
        <w:tc>
          <w:tcPr>
            <w:tcW w:w="2298" w:type="dxa"/>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b/>
                <w:bCs/>
                <w:color w:val="000000"/>
              </w:rPr>
            </w:pPr>
            <w:r>
              <w:rPr>
                <w:b/>
                <w:bCs/>
                <w:color w:val="000000"/>
              </w:rPr>
              <w:t>占总投资金额</w:t>
            </w:r>
          </w:p>
          <w:p>
            <w:pPr>
              <w:widowControl/>
              <w:ind w:firstLine="0" w:firstLineChars="0"/>
              <w:jc w:val="center"/>
              <w:rPr>
                <w:b/>
                <w:bCs/>
                <w:color w:val="000000"/>
              </w:rPr>
            </w:pPr>
            <w:r>
              <w:rPr>
                <w:b/>
                <w:bCs/>
                <w:color w:val="000000"/>
              </w:rPr>
              <w:t>比例(%）</w:t>
            </w:r>
          </w:p>
        </w:tc>
      </w:tr>
      <w:tr>
        <w:tblPrEx>
          <w:shd w:val="clear" w:color="auto" w:fill="auto"/>
          <w:tblCellMar>
            <w:top w:w="0" w:type="dxa"/>
            <w:left w:w="108" w:type="dxa"/>
            <w:bottom w:w="0" w:type="dxa"/>
            <w:right w:w="108" w:type="dxa"/>
          </w:tblCellMar>
        </w:tblPrEx>
        <w:trPr>
          <w:trHeight w:val="90" w:hRule="atLeast"/>
          <w:jc w:val="center"/>
        </w:trPr>
        <w:tc>
          <w:tcPr>
            <w:tcW w:w="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b/>
                <w:bCs/>
                <w:kern w:val="0"/>
                <w:sz w:val="24"/>
                <w:szCs w:val="24"/>
              </w:rPr>
            </w:pPr>
            <w:r>
              <w:rPr>
                <w:bCs/>
                <w:kern w:val="0"/>
                <w:sz w:val="24"/>
                <w:szCs w:val="24"/>
              </w:rPr>
              <w:t>1</w:t>
            </w:r>
          </w:p>
        </w:tc>
        <w:tc>
          <w:tcPr>
            <w:tcW w:w="2291" w:type="dxa"/>
            <w:tcBorders>
              <w:top w:val="single" w:color="auto" w:sz="4" w:space="0"/>
              <w:left w:val="nil"/>
              <w:bottom w:val="single" w:color="auto" w:sz="4" w:space="0"/>
              <w:right w:val="single" w:color="auto" w:sz="4" w:space="0"/>
            </w:tcBorders>
            <w:shd w:val="clear" w:color="auto" w:fill="auto"/>
            <w:noWrap/>
            <w:vAlign w:val="center"/>
          </w:tcPr>
          <w:p>
            <w:pPr>
              <w:widowControl/>
              <w:ind w:firstLine="0" w:firstLineChars="0"/>
              <w:jc w:val="center"/>
              <w:rPr>
                <w:b/>
                <w:bCs/>
                <w:kern w:val="0"/>
                <w:sz w:val="24"/>
                <w:szCs w:val="24"/>
              </w:rPr>
            </w:pPr>
            <w:r>
              <w:rPr>
                <w:kern w:val="0"/>
                <w:sz w:val="21"/>
                <w:szCs w:val="21"/>
              </w:rPr>
              <w:t>生态制度体系建设</w:t>
            </w:r>
          </w:p>
        </w:tc>
        <w:tc>
          <w:tcPr>
            <w:tcW w:w="1133" w:type="dxa"/>
            <w:tcBorders>
              <w:top w:val="single" w:color="auto" w:sz="4" w:space="0"/>
              <w:left w:val="nil"/>
              <w:bottom w:val="single" w:color="auto" w:sz="4" w:space="0"/>
              <w:right w:val="single" w:color="auto" w:sz="4" w:space="0"/>
            </w:tcBorders>
            <w:shd w:val="clear" w:color="auto" w:fill="auto"/>
            <w:noWrap/>
            <w:vAlign w:val="center"/>
          </w:tcPr>
          <w:p>
            <w:pPr>
              <w:widowControl/>
              <w:ind w:firstLine="0" w:firstLineChars="0"/>
              <w:jc w:val="center"/>
              <w:rPr>
                <w:b/>
                <w:bCs/>
                <w:kern w:val="0"/>
                <w:sz w:val="24"/>
                <w:szCs w:val="24"/>
              </w:rPr>
            </w:pPr>
            <w:r>
              <w:rPr>
                <w:rFonts w:eastAsia="宋体"/>
                <w:kern w:val="0"/>
                <w:sz w:val="24"/>
                <w:szCs w:val="24"/>
              </w:rPr>
              <w:t>3</w:t>
            </w:r>
          </w:p>
        </w:tc>
        <w:tc>
          <w:tcPr>
            <w:tcW w:w="1958" w:type="dxa"/>
            <w:tcBorders>
              <w:top w:val="single" w:color="auto" w:sz="4" w:space="0"/>
              <w:left w:val="nil"/>
              <w:bottom w:val="single" w:color="auto" w:sz="4" w:space="0"/>
              <w:right w:val="single" w:color="auto" w:sz="4" w:space="0"/>
            </w:tcBorders>
            <w:shd w:val="clear" w:color="auto" w:fill="auto"/>
            <w:noWrap/>
            <w:vAlign w:val="center"/>
          </w:tcPr>
          <w:p>
            <w:pPr>
              <w:widowControl/>
              <w:ind w:firstLine="0" w:firstLineChars="0"/>
              <w:jc w:val="center"/>
              <w:rPr>
                <w:rFonts w:hint="default" w:eastAsia="仿宋_GB2312"/>
                <w:b/>
                <w:bCs/>
                <w:kern w:val="0"/>
                <w:sz w:val="24"/>
                <w:szCs w:val="24"/>
                <w:lang w:val="en-US" w:eastAsia="zh-CN"/>
              </w:rPr>
            </w:pPr>
            <w:r>
              <w:rPr>
                <w:rFonts w:hint="eastAsia" w:eastAsia="等线"/>
                <w:color w:val="000000"/>
                <w:lang w:val="en-US" w:eastAsia="zh-CN"/>
              </w:rPr>
              <w:t>1460</w:t>
            </w:r>
          </w:p>
        </w:tc>
        <w:tc>
          <w:tcPr>
            <w:tcW w:w="2298" w:type="dxa"/>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hint="default" w:eastAsia="等线"/>
                <w:kern w:val="0"/>
                <w:sz w:val="24"/>
                <w:szCs w:val="24"/>
                <w:lang w:val="en-US" w:eastAsia="zh-CN"/>
              </w:rPr>
            </w:pPr>
            <w:r>
              <w:rPr>
                <w:rFonts w:eastAsia="等线"/>
                <w:color w:val="000000"/>
              </w:rPr>
              <w:t>0.</w:t>
            </w:r>
            <w:r>
              <w:rPr>
                <w:rFonts w:hint="eastAsia" w:eastAsia="等线"/>
                <w:color w:val="000000"/>
                <w:lang w:val="en-US" w:eastAsia="zh-CN"/>
              </w:rPr>
              <w:t>26</w:t>
            </w:r>
          </w:p>
        </w:tc>
      </w:tr>
      <w:tr>
        <w:tblPrEx>
          <w:shd w:val="clear" w:color="auto" w:fill="auto"/>
          <w:tblCellMar>
            <w:top w:w="0" w:type="dxa"/>
            <w:left w:w="108" w:type="dxa"/>
            <w:bottom w:w="0" w:type="dxa"/>
            <w:right w:w="108" w:type="dxa"/>
          </w:tblCellMar>
        </w:tblPrEx>
        <w:trPr>
          <w:trHeight w:val="632" w:hRule="atLeast"/>
          <w:jc w:val="center"/>
        </w:trPr>
        <w:tc>
          <w:tcPr>
            <w:tcW w:w="842"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bCs/>
                <w:kern w:val="0"/>
                <w:sz w:val="24"/>
                <w:szCs w:val="24"/>
              </w:rPr>
            </w:pPr>
            <w:r>
              <w:rPr>
                <w:bCs/>
                <w:kern w:val="0"/>
                <w:sz w:val="24"/>
                <w:szCs w:val="24"/>
              </w:rPr>
              <w:t>2</w:t>
            </w:r>
          </w:p>
        </w:tc>
        <w:tc>
          <w:tcPr>
            <w:tcW w:w="2291"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bCs/>
                <w:kern w:val="0"/>
                <w:sz w:val="24"/>
                <w:szCs w:val="24"/>
              </w:rPr>
            </w:pPr>
            <w:r>
              <w:rPr>
                <w:sz w:val="21"/>
                <w:szCs w:val="21"/>
              </w:rPr>
              <w:t>生态安全体系建设</w:t>
            </w:r>
          </w:p>
        </w:tc>
        <w:tc>
          <w:tcPr>
            <w:tcW w:w="1133"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hint="eastAsia" w:eastAsia="宋体"/>
                <w:kern w:val="0"/>
                <w:sz w:val="24"/>
                <w:szCs w:val="24"/>
                <w:lang w:eastAsia="zh-CN"/>
              </w:rPr>
            </w:pPr>
            <w:r>
              <w:rPr>
                <w:rFonts w:hint="eastAsia" w:eastAsia="宋体"/>
                <w:kern w:val="0"/>
                <w:sz w:val="24"/>
                <w:szCs w:val="24"/>
                <w:lang w:val="en-US" w:eastAsia="zh-CN"/>
              </w:rPr>
              <w:t>5</w:t>
            </w:r>
          </w:p>
        </w:tc>
        <w:tc>
          <w:tcPr>
            <w:tcW w:w="1958"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hint="default" w:eastAsia="宋体"/>
                <w:kern w:val="0"/>
                <w:sz w:val="24"/>
                <w:szCs w:val="24"/>
                <w:lang w:val="en-US" w:eastAsia="zh-CN"/>
              </w:rPr>
            </w:pPr>
            <w:r>
              <w:rPr>
                <w:rFonts w:hint="eastAsia" w:eastAsia="等线"/>
                <w:color w:val="000000"/>
                <w:lang w:val="en-US" w:eastAsia="zh-CN"/>
              </w:rPr>
              <w:t>21850</w:t>
            </w:r>
          </w:p>
        </w:tc>
        <w:tc>
          <w:tcPr>
            <w:tcW w:w="2298"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hint="default" w:eastAsia="宋体"/>
                <w:kern w:val="0"/>
                <w:sz w:val="24"/>
                <w:szCs w:val="24"/>
                <w:lang w:val="en-US" w:eastAsia="zh-CN"/>
              </w:rPr>
            </w:pPr>
            <w:r>
              <w:rPr>
                <w:rFonts w:hint="eastAsia" w:eastAsia="等线"/>
                <w:color w:val="000000"/>
                <w:lang w:val="en-US" w:eastAsia="zh-CN"/>
              </w:rPr>
              <w:t>4.96</w:t>
            </w:r>
          </w:p>
        </w:tc>
      </w:tr>
      <w:tr>
        <w:tblPrEx>
          <w:shd w:val="clear" w:color="auto" w:fill="auto"/>
          <w:tblCellMar>
            <w:top w:w="0" w:type="dxa"/>
            <w:left w:w="108" w:type="dxa"/>
            <w:bottom w:w="0" w:type="dxa"/>
            <w:right w:w="108" w:type="dxa"/>
          </w:tblCellMar>
        </w:tblPrEx>
        <w:trPr>
          <w:trHeight w:val="556" w:hRule="atLeast"/>
          <w:jc w:val="center"/>
        </w:trPr>
        <w:tc>
          <w:tcPr>
            <w:tcW w:w="842"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bCs/>
                <w:kern w:val="0"/>
                <w:sz w:val="24"/>
                <w:szCs w:val="24"/>
              </w:rPr>
            </w:pPr>
            <w:r>
              <w:rPr>
                <w:bCs/>
                <w:kern w:val="0"/>
                <w:sz w:val="24"/>
                <w:szCs w:val="24"/>
              </w:rPr>
              <w:t>3</w:t>
            </w:r>
          </w:p>
        </w:tc>
        <w:tc>
          <w:tcPr>
            <w:tcW w:w="2291"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bCs/>
                <w:kern w:val="0"/>
                <w:sz w:val="24"/>
                <w:szCs w:val="24"/>
              </w:rPr>
            </w:pPr>
            <w:r>
              <w:rPr>
                <w:sz w:val="21"/>
                <w:szCs w:val="21"/>
              </w:rPr>
              <w:t>生态空间体系建设</w:t>
            </w:r>
          </w:p>
        </w:tc>
        <w:tc>
          <w:tcPr>
            <w:tcW w:w="1133"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hint="default" w:eastAsia="宋体"/>
                <w:kern w:val="0"/>
                <w:sz w:val="24"/>
                <w:szCs w:val="24"/>
                <w:lang w:val="en-US" w:eastAsia="zh-CN"/>
              </w:rPr>
            </w:pPr>
            <w:r>
              <w:rPr>
                <w:rFonts w:hint="eastAsia" w:eastAsia="宋体"/>
                <w:kern w:val="0"/>
                <w:sz w:val="24"/>
                <w:szCs w:val="24"/>
                <w:lang w:val="en-US" w:eastAsia="zh-CN"/>
              </w:rPr>
              <w:t>10</w:t>
            </w:r>
          </w:p>
        </w:tc>
        <w:tc>
          <w:tcPr>
            <w:tcW w:w="1958"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hint="default" w:eastAsia="宋体"/>
                <w:kern w:val="0"/>
                <w:sz w:val="24"/>
                <w:szCs w:val="24"/>
                <w:lang w:val="en-US" w:eastAsia="zh-CN"/>
              </w:rPr>
            </w:pPr>
            <w:r>
              <w:rPr>
                <w:rFonts w:hint="eastAsia" w:eastAsia="等线"/>
                <w:color w:val="000000"/>
                <w:lang w:val="en-US" w:eastAsia="zh-CN"/>
              </w:rPr>
              <w:t>100640</w:t>
            </w:r>
          </w:p>
        </w:tc>
        <w:tc>
          <w:tcPr>
            <w:tcW w:w="2298"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hint="default" w:eastAsia="宋体"/>
                <w:kern w:val="0"/>
                <w:sz w:val="24"/>
                <w:szCs w:val="24"/>
                <w:lang w:val="en-US" w:eastAsia="zh-CN"/>
              </w:rPr>
            </w:pPr>
            <w:r>
              <w:rPr>
                <w:rFonts w:hint="eastAsia" w:eastAsia="等线"/>
                <w:color w:val="000000"/>
                <w:lang w:val="en-US" w:eastAsia="zh-CN"/>
              </w:rPr>
              <w:t>18.26</w:t>
            </w:r>
          </w:p>
        </w:tc>
      </w:tr>
      <w:tr>
        <w:tblPrEx>
          <w:shd w:val="clear" w:color="auto" w:fill="auto"/>
          <w:tblCellMar>
            <w:top w:w="0" w:type="dxa"/>
            <w:left w:w="108" w:type="dxa"/>
            <w:bottom w:w="0" w:type="dxa"/>
            <w:right w:w="108" w:type="dxa"/>
          </w:tblCellMar>
        </w:tblPrEx>
        <w:trPr>
          <w:trHeight w:val="570" w:hRule="atLeast"/>
          <w:jc w:val="center"/>
        </w:trPr>
        <w:tc>
          <w:tcPr>
            <w:tcW w:w="842"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bCs/>
                <w:kern w:val="0"/>
                <w:sz w:val="24"/>
                <w:szCs w:val="24"/>
              </w:rPr>
            </w:pPr>
            <w:r>
              <w:rPr>
                <w:bCs/>
                <w:kern w:val="0"/>
                <w:sz w:val="24"/>
                <w:szCs w:val="24"/>
              </w:rPr>
              <w:t>4</w:t>
            </w:r>
          </w:p>
        </w:tc>
        <w:tc>
          <w:tcPr>
            <w:tcW w:w="2291"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bCs/>
                <w:kern w:val="0"/>
                <w:sz w:val="24"/>
                <w:szCs w:val="24"/>
              </w:rPr>
            </w:pPr>
            <w:r>
              <w:rPr>
                <w:sz w:val="21"/>
                <w:szCs w:val="21"/>
              </w:rPr>
              <w:t>生态经济体系建设</w:t>
            </w:r>
          </w:p>
        </w:tc>
        <w:tc>
          <w:tcPr>
            <w:tcW w:w="1133"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eastAsia="宋体"/>
                <w:kern w:val="0"/>
                <w:sz w:val="24"/>
                <w:szCs w:val="24"/>
              </w:rPr>
            </w:pPr>
            <w:r>
              <w:rPr>
                <w:rFonts w:eastAsia="宋体"/>
                <w:kern w:val="0"/>
                <w:sz w:val="24"/>
                <w:szCs w:val="24"/>
              </w:rPr>
              <w:t>2</w:t>
            </w:r>
          </w:p>
        </w:tc>
        <w:tc>
          <w:tcPr>
            <w:tcW w:w="1958"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eastAsia="宋体"/>
                <w:kern w:val="0"/>
                <w:sz w:val="24"/>
                <w:szCs w:val="24"/>
              </w:rPr>
            </w:pPr>
            <w:r>
              <w:rPr>
                <w:rFonts w:eastAsia="等线"/>
                <w:color w:val="000000"/>
              </w:rPr>
              <w:t>418000</w:t>
            </w:r>
          </w:p>
        </w:tc>
        <w:tc>
          <w:tcPr>
            <w:tcW w:w="2298"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hint="default" w:eastAsia="宋体"/>
                <w:kern w:val="0"/>
                <w:sz w:val="24"/>
                <w:szCs w:val="24"/>
                <w:lang w:val="en-US" w:eastAsia="zh-CN"/>
              </w:rPr>
            </w:pPr>
            <w:r>
              <w:rPr>
                <w:rFonts w:hint="eastAsia" w:eastAsia="等线"/>
                <w:color w:val="000000"/>
                <w:lang w:val="en-US" w:eastAsia="zh-CN"/>
              </w:rPr>
              <w:t>75.90</w:t>
            </w:r>
          </w:p>
        </w:tc>
      </w:tr>
      <w:tr>
        <w:tblPrEx>
          <w:shd w:val="clear" w:color="auto" w:fill="auto"/>
          <w:tblCellMar>
            <w:top w:w="0" w:type="dxa"/>
            <w:left w:w="108" w:type="dxa"/>
            <w:bottom w:w="0" w:type="dxa"/>
            <w:right w:w="108" w:type="dxa"/>
          </w:tblCellMar>
        </w:tblPrEx>
        <w:trPr>
          <w:trHeight w:val="552" w:hRule="atLeast"/>
          <w:jc w:val="center"/>
        </w:trPr>
        <w:tc>
          <w:tcPr>
            <w:tcW w:w="842"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bCs/>
                <w:kern w:val="0"/>
                <w:sz w:val="24"/>
                <w:szCs w:val="24"/>
              </w:rPr>
            </w:pPr>
            <w:r>
              <w:rPr>
                <w:bCs/>
                <w:kern w:val="0"/>
                <w:sz w:val="24"/>
                <w:szCs w:val="24"/>
              </w:rPr>
              <w:t>5</w:t>
            </w:r>
          </w:p>
        </w:tc>
        <w:tc>
          <w:tcPr>
            <w:tcW w:w="2291"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bCs/>
                <w:kern w:val="0"/>
                <w:sz w:val="24"/>
                <w:szCs w:val="24"/>
              </w:rPr>
            </w:pPr>
            <w:r>
              <w:rPr>
                <w:kern w:val="0"/>
                <w:sz w:val="21"/>
                <w:szCs w:val="21"/>
              </w:rPr>
              <w:t>生态生活体系建设</w:t>
            </w:r>
          </w:p>
        </w:tc>
        <w:tc>
          <w:tcPr>
            <w:tcW w:w="1133"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hint="eastAsia" w:eastAsia="宋体"/>
                <w:kern w:val="0"/>
                <w:sz w:val="24"/>
                <w:szCs w:val="24"/>
                <w:lang w:eastAsia="zh-CN"/>
              </w:rPr>
            </w:pPr>
            <w:r>
              <w:rPr>
                <w:rFonts w:hint="eastAsia" w:eastAsia="宋体"/>
                <w:kern w:val="0"/>
                <w:sz w:val="24"/>
                <w:szCs w:val="24"/>
                <w:lang w:val="en-US" w:eastAsia="zh-CN"/>
              </w:rPr>
              <w:t>3</w:t>
            </w:r>
          </w:p>
        </w:tc>
        <w:tc>
          <w:tcPr>
            <w:tcW w:w="1958" w:type="dxa"/>
            <w:tcBorders>
              <w:top w:val="nil"/>
              <w:left w:val="nil"/>
              <w:bottom w:val="single" w:color="auto" w:sz="4" w:space="0"/>
              <w:right w:val="single" w:color="auto" w:sz="4" w:space="0"/>
            </w:tcBorders>
            <w:shd w:val="clear" w:color="auto" w:fill="auto"/>
            <w:noWrap/>
            <w:vAlign w:val="center"/>
          </w:tcPr>
          <w:p>
            <w:pPr>
              <w:widowControl/>
              <w:ind w:firstLine="0" w:firstLineChars="0"/>
              <w:jc w:val="center"/>
              <w:rPr>
                <w:rFonts w:hint="default" w:eastAsia="宋体"/>
                <w:kern w:val="0"/>
                <w:sz w:val="24"/>
                <w:szCs w:val="24"/>
                <w:lang w:val="en-US" w:eastAsia="zh-CN"/>
              </w:rPr>
            </w:pPr>
            <w:r>
              <w:rPr>
                <w:rFonts w:hint="eastAsia" w:eastAsia="等线"/>
                <w:color w:val="000000"/>
                <w:lang w:val="en-US" w:eastAsia="zh-CN"/>
              </w:rPr>
              <w:t>3600</w:t>
            </w:r>
          </w:p>
        </w:tc>
        <w:tc>
          <w:tcPr>
            <w:tcW w:w="2298" w:type="dxa"/>
            <w:tcBorders>
              <w:top w:val="nil"/>
              <w:left w:val="nil"/>
              <w:bottom w:val="single" w:color="auto" w:sz="4" w:space="0"/>
              <w:right w:val="single" w:color="auto" w:sz="4" w:space="0"/>
            </w:tcBorders>
            <w:shd w:val="clear" w:color="auto" w:fill="auto"/>
            <w:vAlign w:val="center"/>
          </w:tcPr>
          <w:p>
            <w:pPr>
              <w:widowControl/>
              <w:ind w:firstLine="0" w:firstLineChars="0"/>
              <w:jc w:val="center"/>
              <w:rPr>
                <w:rFonts w:hint="default" w:eastAsia="仿宋_GB2312"/>
                <w:kern w:val="0"/>
                <w:sz w:val="24"/>
                <w:szCs w:val="24"/>
                <w:lang w:val="en-US" w:eastAsia="zh-CN"/>
              </w:rPr>
            </w:pPr>
            <w:r>
              <w:rPr>
                <w:rFonts w:hint="eastAsia" w:eastAsia="等线"/>
                <w:color w:val="000000"/>
                <w:lang w:val="en-US" w:eastAsia="zh-CN"/>
              </w:rPr>
              <w:t>0.62</w:t>
            </w:r>
          </w:p>
        </w:tc>
      </w:tr>
      <w:tr>
        <w:tblPrEx>
          <w:shd w:val="clear" w:color="auto" w:fill="auto"/>
          <w:tblCellMar>
            <w:top w:w="0" w:type="dxa"/>
            <w:left w:w="108" w:type="dxa"/>
            <w:bottom w:w="0" w:type="dxa"/>
            <w:right w:w="108" w:type="dxa"/>
          </w:tblCellMar>
        </w:tblPrEx>
        <w:trPr>
          <w:trHeight w:val="498" w:hRule="atLeast"/>
          <w:jc w:val="center"/>
        </w:trPr>
        <w:tc>
          <w:tcPr>
            <w:tcW w:w="31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b/>
                <w:bCs/>
                <w:kern w:val="0"/>
                <w:sz w:val="24"/>
                <w:szCs w:val="24"/>
              </w:rPr>
            </w:pPr>
            <w:r>
              <w:rPr>
                <w:b/>
                <w:bCs/>
                <w:kern w:val="0"/>
                <w:sz w:val="24"/>
                <w:szCs w:val="24"/>
              </w:rPr>
              <w:t>合  计</w:t>
            </w:r>
          </w:p>
        </w:tc>
        <w:tc>
          <w:tcPr>
            <w:tcW w:w="1133" w:type="dxa"/>
            <w:tcBorders>
              <w:top w:val="single" w:color="auto" w:sz="4" w:space="0"/>
              <w:left w:val="nil"/>
              <w:bottom w:val="single" w:color="auto" w:sz="4" w:space="0"/>
              <w:right w:val="single" w:color="auto" w:sz="4" w:space="0"/>
            </w:tcBorders>
            <w:shd w:val="clear" w:color="auto" w:fill="auto"/>
            <w:noWrap/>
            <w:vAlign w:val="center"/>
          </w:tcPr>
          <w:p>
            <w:pPr>
              <w:widowControl/>
              <w:ind w:firstLine="0" w:firstLineChars="0"/>
              <w:jc w:val="center"/>
              <w:rPr>
                <w:rFonts w:hint="eastAsia" w:eastAsia="仿宋_GB2312"/>
                <w:b/>
                <w:kern w:val="0"/>
                <w:sz w:val="24"/>
                <w:szCs w:val="24"/>
                <w:lang w:eastAsia="zh-CN"/>
              </w:rPr>
            </w:pPr>
            <w:r>
              <w:rPr>
                <w:b/>
                <w:kern w:val="0"/>
                <w:sz w:val="24"/>
                <w:szCs w:val="24"/>
              </w:rPr>
              <w:t>2</w:t>
            </w:r>
            <w:r>
              <w:rPr>
                <w:rFonts w:hint="eastAsia"/>
                <w:b/>
                <w:kern w:val="0"/>
                <w:sz w:val="24"/>
                <w:szCs w:val="24"/>
                <w:lang w:val="en-US" w:eastAsia="zh-CN"/>
              </w:rPr>
              <w:t>3</w:t>
            </w:r>
          </w:p>
        </w:tc>
        <w:tc>
          <w:tcPr>
            <w:tcW w:w="1958" w:type="dxa"/>
            <w:tcBorders>
              <w:top w:val="single" w:color="auto" w:sz="4" w:space="0"/>
              <w:left w:val="nil"/>
              <w:bottom w:val="single" w:color="auto" w:sz="4" w:space="0"/>
              <w:right w:val="single" w:color="auto" w:sz="4" w:space="0"/>
            </w:tcBorders>
            <w:shd w:val="clear" w:color="auto" w:fill="auto"/>
            <w:noWrap/>
            <w:vAlign w:val="center"/>
          </w:tcPr>
          <w:p>
            <w:pPr>
              <w:widowControl/>
              <w:ind w:firstLine="0" w:firstLineChars="0"/>
              <w:jc w:val="center"/>
              <w:rPr>
                <w:rFonts w:hint="default" w:eastAsia="宋体"/>
                <w:b/>
                <w:kern w:val="0"/>
                <w:sz w:val="24"/>
                <w:szCs w:val="24"/>
                <w:lang w:val="en-US" w:eastAsia="zh-CN"/>
              </w:rPr>
            </w:pPr>
            <w:r>
              <w:rPr>
                <w:rFonts w:hint="eastAsia" w:eastAsia="宋体"/>
                <w:b/>
                <w:kern w:val="0"/>
                <w:sz w:val="24"/>
                <w:szCs w:val="24"/>
                <w:lang w:val="en-US" w:eastAsia="zh-CN"/>
              </w:rPr>
              <w:t>545550</w:t>
            </w:r>
          </w:p>
        </w:tc>
        <w:tc>
          <w:tcPr>
            <w:tcW w:w="2298" w:type="dxa"/>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b/>
                <w:kern w:val="0"/>
                <w:sz w:val="24"/>
                <w:szCs w:val="24"/>
              </w:rPr>
            </w:pPr>
            <w:r>
              <w:rPr>
                <w:rFonts w:eastAsia="等线"/>
                <w:color w:val="000000"/>
              </w:rPr>
              <w:t xml:space="preserve">100.00 </w:t>
            </w:r>
          </w:p>
        </w:tc>
      </w:tr>
    </w:tbl>
    <w:p>
      <w:pPr>
        <w:pStyle w:val="4"/>
        <w:ind w:firstLine="643" w:firstLineChars="200"/>
        <w:rPr>
          <w:rFonts w:hint="eastAsia" w:ascii="楷体_GB2312" w:hAnsi="楷体_GB2312" w:eastAsia="楷体_GB2312" w:cs="楷体_GB2312"/>
        </w:rPr>
      </w:pPr>
      <w:bookmarkStart w:id="223" w:name="_Toc92390561"/>
      <w:r>
        <w:rPr>
          <w:rFonts w:hint="eastAsia" w:ascii="楷体_GB2312" w:hAnsi="楷体_GB2312" w:eastAsia="楷体_GB2312" w:cs="楷体_GB2312"/>
        </w:rPr>
        <w:t>（二）资金来源</w:t>
      </w:r>
      <w:bookmarkEnd w:id="223"/>
    </w:p>
    <w:p>
      <w:pPr>
        <w:ind w:firstLine="560"/>
      </w:pPr>
      <w:r>
        <w:t>生态文明建设作为一项涉及全县各个领域的系统工程，所需资金投入是巨大的，宁县目前可以直接用于生态文明建设的资金有限，但这种基础性投入又是实施可持续发展战略所必须的。因此，建设过程中应当坚持多渠道筹措资金，全社会各尽所能，市场化滚动发展，才能保证重点项目建设顺利进行。生态文明建设重点项目，应优先纳入国民经济和社会发展计划，统筹安排，认真组织实施；要建立健全多元化的投融资机制，运用市场化机制，鼓励和支持社会资金投入生态文明建设，建立完善政府引导、市场推进、公众参与的多元化投入机制。要加大投入，保证重大建设项目和科技攻关项目的启动。资金主要来源包括政府财政投入、社会化投入、以奖代补、国债、试点示范专项资金等。</w:t>
      </w:r>
    </w:p>
    <w:p>
      <w:pPr>
        <w:ind w:firstLine="560"/>
      </w:pPr>
      <w:r>
        <w:t>应多渠道争取国家和省专项建设资金和贷款，努力引进国外资金和技术。各单位、各部门都要积极主动，争取上级部门的支持。根据国家政策优先支持的项目，如生态产业建设、水环境综合整治、绿色食品和有机食品等农业产业化开发项目、新能源开发利用项目等，应当给予特别优先。对于生态农业建设应以各地自筹为主，辅助以国家及省级政策性扶持性贷款与财政补助；生态工业建设主要来源于工业技改和高新技术产业化项目资金投入，辅助以国家政策性贷款扶持；城乡环境建设工程一般坚持“谁收益，谁负担”的原则，采取单位与居民集资相结合的方法，辅助以城镇维扩建设费、基础设施配套费补助，对于大型基础项目，可以先积极争取国家贷款，再以上述方式偿还；在自然保护和生态恢复方面，凡涉及自然资源开发利用的建设项目，严格遵循“谁开发、谁付费”的原则，限制治理，资金以自筹为主；在生态文化和能力建设方面，一般通过政府地方财政、上级部门补助和环保专项资金来解决。</w:t>
      </w:r>
    </w:p>
    <w:p>
      <w:pPr>
        <w:pStyle w:val="4"/>
        <w:ind w:firstLine="643" w:firstLineChars="200"/>
        <w:rPr>
          <w:rFonts w:hint="eastAsia" w:ascii="楷体_GB2312" w:hAnsi="楷体_GB2312" w:eastAsia="楷体_GB2312" w:cs="楷体_GB2312"/>
        </w:rPr>
      </w:pPr>
      <w:bookmarkStart w:id="224" w:name="_Toc92390562"/>
      <w:r>
        <w:rPr>
          <w:rFonts w:hint="eastAsia" w:ascii="楷体_GB2312" w:hAnsi="楷体_GB2312" w:eastAsia="楷体_GB2312" w:cs="楷体_GB2312"/>
        </w:rPr>
        <w:t>（三）效益分析</w:t>
      </w:r>
      <w:bookmarkEnd w:id="224"/>
    </w:p>
    <w:p>
      <w:pPr>
        <w:pStyle w:val="5"/>
        <w:ind w:firstLine="602" w:firstLineChars="200"/>
      </w:pPr>
      <w:bookmarkStart w:id="225" w:name="_Toc92390563"/>
      <w:r>
        <w:t>1.生态效益</w:t>
      </w:r>
      <w:bookmarkEnd w:id="225"/>
    </w:p>
    <w:p>
      <w:pPr>
        <w:ind w:firstLine="560"/>
        <w:rPr>
          <w:szCs w:val="28"/>
        </w:rPr>
      </w:pPr>
      <w:r>
        <w:rPr>
          <w:szCs w:val="28"/>
        </w:rPr>
        <w:t>通过本规划的实施，有效改善我县生态环境、防治水土流失、保护生物多样性，县域重要生态系统将得到进一步保护和恢复，区域生态系统服务将进一步提升；随着规划提出的污水、垃圾等基础设施建设的不断完善，工业源、农业源、生活源污染治理的推进，以及总量减排、清洁生产、循环经济的发展，区域环境质量将显著改善：</w:t>
      </w:r>
    </w:p>
    <w:p>
      <w:pPr>
        <w:ind w:firstLine="562"/>
        <w:rPr>
          <w:szCs w:val="28"/>
        </w:rPr>
      </w:pPr>
      <w:r>
        <w:rPr>
          <w:b/>
          <w:bCs/>
          <w:szCs w:val="28"/>
        </w:rPr>
        <w:t>环境质量得到显著改善。</w:t>
      </w:r>
      <w:r>
        <w:rPr>
          <w:szCs w:val="28"/>
        </w:rPr>
        <w:t>COD、氨氮、SO</w:t>
      </w:r>
      <w:r>
        <w:rPr>
          <w:szCs w:val="28"/>
          <w:vertAlign w:val="subscript"/>
        </w:rPr>
        <w:t>2</w:t>
      </w:r>
      <w:r>
        <w:rPr>
          <w:szCs w:val="28"/>
        </w:rPr>
        <w:t>、NOx、VOCs等污染物排放强度稳中有减，污染源排放达标率逐渐提升，水质、空气质量、噪声达标率明显好转，农村环境综合整治率、城镇生活污水达标处理率、城镇生活垃圾无害化处理率逐步提高。通过综合治理，至规划期末，全县水环境质量、大气环境质量、噪声环境质量总体上将达到或优于功能区标准，生活垃圾、危险废物等将得到有效的安全处理处置。</w:t>
      </w:r>
    </w:p>
    <w:p>
      <w:pPr>
        <w:ind w:firstLine="562"/>
        <w:rPr>
          <w:szCs w:val="28"/>
        </w:rPr>
      </w:pPr>
      <w:r>
        <w:rPr>
          <w:b/>
          <w:bCs/>
          <w:szCs w:val="28"/>
        </w:rPr>
        <w:t>生态安全水平不断提高。</w:t>
      </w:r>
      <w:r>
        <w:rPr>
          <w:szCs w:val="28"/>
        </w:rPr>
        <w:t>规划提出构建区域生态安全战略格局，实施地质灾害、水土流失等生态灾害治理，同时开展土壤污染和重金属污染防治，水、土、矿产、旅游资源开发过程中的生态风险得到有效控制，陇东黄土高原丘陵沟壑水土保持生态功能区建设不断完善，不断提高区域生态安全水平。</w:t>
      </w:r>
    </w:p>
    <w:p>
      <w:pPr>
        <w:ind w:firstLine="562"/>
        <w:rPr>
          <w:szCs w:val="28"/>
        </w:rPr>
      </w:pPr>
      <w:r>
        <w:rPr>
          <w:b/>
          <w:bCs/>
          <w:szCs w:val="28"/>
        </w:rPr>
        <w:t>生态文明建设水平进一步提高。</w:t>
      </w:r>
      <w:r>
        <w:rPr>
          <w:szCs w:val="28"/>
        </w:rPr>
        <w:t>通过“三大行动计划”的落实，明确了大气、水、土壤污染治理思路，对污染源、排放过程和环境介质依法统一监管，为全面改善宁县环境质量、</w:t>
      </w:r>
      <w:r>
        <w:t>建设“山青水绿天蓝、宜居、宜游”的美丽宁县，提供稳固的环境基础</w:t>
      </w:r>
      <w:r>
        <w:rPr>
          <w:szCs w:val="28"/>
        </w:rPr>
        <w:t>奠定了法治基础，将进一步提升为宁县生态文明建设水平</w:t>
      </w:r>
      <w:r>
        <w:t>。</w:t>
      </w:r>
    </w:p>
    <w:p>
      <w:pPr>
        <w:pStyle w:val="5"/>
        <w:ind w:firstLine="602" w:firstLineChars="200"/>
      </w:pPr>
      <w:bookmarkStart w:id="226" w:name="_Toc92390564"/>
      <w:r>
        <w:t>2.经济效益</w:t>
      </w:r>
      <w:bookmarkEnd w:id="226"/>
    </w:p>
    <w:p>
      <w:pPr>
        <w:ind w:firstLine="560"/>
        <w:rPr>
          <w:szCs w:val="28"/>
        </w:rPr>
      </w:pPr>
      <w:r>
        <w:rPr>
          <w:szCs w:val="28"/>
        </w:rPr>
        <w:t>从环境保护和生态文明建设的过程、内容和目标来看，本规划的实施可产生的经济效益主要体现在以下方面：</w:t>
      </w:r>
    </w:p>
    <w:p>
      <w:pPr>
        <w:ind w:firstLine="562"/>
        <w:rPr>
          <w:szCs w:val="28"/>
        </w:rPr>
      </w:pPr>
      <w:r>
        <w:rPr>
          <w:b/>
          <w:bCs/>
          <w:szCs w:val="28"/>
        </w:rPr>
        <w:t>自然资源资产得到提升。</w:t>
      </w:r>
      <w:r>
        <w:rPr>
          <w:szCs w:val="28"/>
        </w:rPr>
        <w:t>随着生态环境保护规划的实施，全县森林、湿地等生态系统面积和质量将进一步提升，水、土、矿产等资源能源利用效率将显著提升，区域自然资源资产总体将得到提升。</w:t>
      </w:r>
    </w:p>
    <w:p>
      <w:pPr>
        <w:ind w:firstLine="562"/>
        <w:rPr>
          <w:szCs w:val="28"/>
        </w:rPr>
      </w:pPr>
      <w:r>
        <w:rPr>
          <w:b/>
          <w:bCs/>
          <w:szCs w:val="28"/>
        </w:rPr>
        <w:t>促进经济增长方式转变。</w:t>
      </w:r>
      <w:r>
        <w:rPr>
          <w:szCs w:val="28"/>
        </w:rPr>
        <w:t>随着规划提出的环境保护措施、环境管理措施与机制，将进一步优化区域空间开发格局，推动区域产业结构布局的进一步优化。规划提出的提高资源利用效率以及淘汰落后产能的目标和措施，以及全面推行清洁生产、大力发展循环经济等措施，将进一步推动全县产业结构优化，推动全县经济转变发展方式，提高全县经济发展的质量，提高可持续发展能力。</w:t>
      </w:r>
    </w:p>
    <w:p>
      <w:pPr>
        <w:ind w:firstLine="562"/>
        <w:rPr>
          <w:szCs w:val="28"/>
        </w:rPr>
      </w:pPr>
      <w:r>
        <w:rPr>
          <w:b/>
          <w:bCs/>
          <w:szCs w:val="28"/>
        </w:rPr>
        <w:t>推动经济快速增长。</w:t>
      </w:r>
      <w:r>
        <w:rPr>
          <w:szCs w:val="28"/>
        </w:rPr>
        <w:t>规划提出6大类重点工程，将带来较大的环境保护投入，将成为区域发展的巨大推动力，同时随着区域环保产业快速发展，也将成为宁县经济发展的重要支撑点。随着全县生态环境的改善和经济结构的优化，区域的人文环境也将不断提升，从而在一定程度上改善了投资环境，为宁县进一步吸引投资创造了良好的条件，可以更多地吸引外资和启动地方投资，使全县经济步入快速、高效的良性经济增长轨道。</w:t>
      </w:r>
    </w:p>
    <w:p>
      <w:pPr>
        <w:pStyle w:val="5"/>
        <w:ind w:firstLine="602" w:firstLineChars="200"/>
      </w:pPr>
      <w:bookmarkStart w:id="227" w:name="_Toc92390565"/>
      <w:r>
        <w:t>3.社会效益</w:t>
      </w:r>
      <w:bookmarkEnd w:id="227"/>
    </w:p>
    <w:p>
      <w:pPr>
        <w:ind w:firstLine="560"/>
        <w:rPr>
          <w:szCs w:val="28"/>
        </w:rPr>
      </w:pPr>
      <w:r>
        <w:rPr>
          <w:szCs w:val="28"/>
        </w:rPr>
        <w:t>规划的是实施将优化人居环境，培育良好的投资环境，有助于提高经济的开放度和社会的文明度，也将有力地推动文化、科技、教育、医疗、体育和社会保障等社会事业的发展和精神文明建设，使居民的可持续发展观念和开拓进取意识普遍增强。同时，也为城乡居民创造更多的就业机会，提供更多的经济来源，生活水平、质量明显提高：</w:t>
      </w:r>
    </w:p>
    <w:p>
      <w:pPr>
        <w:ind w:firstLine="562"/>
        <w:rPr>
          <w:szCs w:val="28"/>
        </w:rPr>
      </w:pPr>
      <w:r>
        <w:rPr>
          <w:b/>
          <w:bCs/>
          <w:szCs w:val="28"/>
        </w:rPr>
        <w:t>推动城乡统筹建设，改善人居环境。</w:t>
      </w:r>
      <w:r>
        <w:rPr>
          <w:szCs w:val="28"/>
        </w:rPr>
        <w:t>通过统筹城乡发展，实现城镇与村镇在功能上的互补，创造既能充分利用和享受现代城镇生活，又具有自然和田园美景的理想家园。随着规划绿色基础设施的建设，交通、通讯、给水、排水等基础设施进一步完善，生态绿地、走廊与河道水网等各种休闲娱乐景观带进一步增加，城镇布局更加合理，将为居民提供更加舒适的生活空间。</w:t>
      </w:r>
    </w:p>
    <w:p>
      <w:pPr>
        <w:ind w:firstLine="562"/>
        <w:rPr>
          <w:rFonts w:ascii="Times New Roman" w:hAnsi="Times New Roman" w:eastAsia="仿宋_GB2312" w:cs="Times New Roman"/>
          <w:bCs w:val="0"/>
          <w:kern w:val="2"/>
          <w:sz w:val="28"/>
          <w:szCs w:val="28"/>
          <w:lang w:val="en-US" w:eastAsia="zh-CN" w:bidi="ar-SA"/>
        </w:rPr>
      </w:pPr>
      <w:r>
        <w:rPr>
          <w:rFonts w:ascii="Times New Roman" w:hAnsi="Times New Roman" w:eastAsia="仿宋_GB2312" w:cs="Times New Roman"/>
          <w:b/>
          <w:bCs/>
          <w:kern w:val="2"/>
          <w:sz w:val="28"/>
          <w:szCs w:val="28"/>
          <w:lang w:val="en-US" w:eastAsia="zh-CN" w:bidi="ar-SA"/>
        </w:rPr>
        <w:t>加强全民环境环保意识，提高居民生活质量。</w:t>
      </w:r>
      <w:r>
        <w:rPr>
          <w:rFonts w:ascii="Times New Roman" w:hAnsi="Times New Roman" w:eastAsia="仿宋_GB2312" w:cs="Times New Roman"/>
          <w:bCs w:val="0"/>
          <w:kern w:val="2"/>
          <w:sz w:val="28"/>
          <w:szCs w:val="28"/>
          <w:lang w:val="en-US" w:eastAsia="zh-CN" w:bidi="ar-SA"/>
        </w:rPr>
        <w:t>规划将通过各种媒体途径传播生态意识、绿色消费观念。广泛引导大众加强生态环境保护意识，创造出人与自然和谐的环境。随着生态文化的普及，将有效推动宁县传统文化与生态文明的有机结合，使得社会公众的文明程度和整体素质将显著提高，有利于全县树立良好的县城形象。规划工程的实施将为宁县民众提供新的就业机会，将为当地居民提供新的收入来源，同时规划提出生态补偿机制，也将有力提高生态补偿区居民的收入，为改善居民生活水平提供重要支撑。全民素质的不断提高，就业机会大大增加，将有力促进宁县实现经济发展、文化繁荣、社会稳定、人民安居乐业的美好图景。</w:t>
      </w:r>
      <w:bookmarkStart w:id="228" w:name="_Toc92390566"/>
    </w:p>
    <w:p>
      <w:pPr>
        <w:rPr>
          <w:lang w:val="en-US" w:eastAsia="zh-CN"/>
        </w:rPr>
      </w:pPr>
    </w:p>
    <w:p>
      <w:pPr>
        <w:pStyle w:val="3"/>
        <w:ind w:firstLine="883"/>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五、保障措施</w:t>
      </w:r>
      <w:bookmarkEnd w:id="228"/>
    </w:p>
    <w:p>
      <w:pPr>
        <w:pStyle w:val="4"/>
        <w:ind w:firstLine="643" w:firstLineChars="200"/>
        <w:rPr>
          <w:rFonts w:hint="eastAsia" w:ascii="楷体_GB2312" w:hAnsi="楷体_GB2312" w:eastAsia="楷体_GB2312" w:cs="楷体_GB2312"/>
        </w:rPr>
      </w:pPr>
      <w:bookmarkStart w:id="229" w:name="_Toc92390567"/>
      <w:r>
        <w:rPr>
          <w:rFonts w:hint="eastAsia" w:ascii="楷体_GB2312" w:hAnsi="楷体_GB2312" w:eastAsia="楷体_GB2312" w:cs="楷体_GB2312"/>
        </w:rPr>
        <w:t>（一）组织领导保障</w:t>
      </w:r>
      <w:bookmarkEnd w:id="229"/>
    </w:p>
    <w:p>
      <w:pPr>
        <w:adjustRightInd w:val="0"/>
        <w:snapToGrid w:val="0"/>
        <w:ind w:firstLine="560"/>
        <w:rPr>
          <w:szCs w:val="28"/>
        </w:rPr>
      </w:pPr>
      <w:r>
        <w:rPr>
          <w:szCs w:val="28"/>
        </w:rPr>
        <w:t>在县委、县政府的牵头部署下，统一组织推进我县生态文明建设工作。各委办局及各镇街严格按照庆阳县生态环境局宁县分局的要求，部门协作、上下联动，形成良性互动的推进机制，共同推进生态文明建设。在此基础上，组建国家生态文明示范县建设小组，完善生态文明建设总体协调机制。对标国家生态文明建设示范县建设指标及示范县创建要求，梳理生态安全、生态经济、生态环境、生态生活、生态文化等方面工作中的不足，统筹各部门资料报送、生态文明建设相关政策落地、落实等工作有条不紊开展，整体提升宁县生态文明建设水平。</w:t>
      </w:r>
    </w:p>
    <w:p>
      <w:pPr>
        <w:adjustRightInd w:val="0"/>
        <w:snapToGrid w:val="0"/>
        <w:ind w:firstLine="560"/>
        <w:rPr>
          <w:szCs w:val="28"/>
        </w:rPr>
      </w:pPr>
      <w:r>
        <w:rPr>
          <w:szCs w:val="28"/>
        </w:rPr>
        <w:t>建构多元协同治理模式，形成政府、市场和社会一体化的协作性治理网络，解决跨域生态环境治理中面临的困境的有效途径。健全决策与预防、参与执行、沟通协调、信息共享和互信、政绩考核与监管，以及生态补偿机制等协同治理机制，以保障跨域生态环境治理切实取得实效。</w:t>
      </w:r>
    </w:p>
    <w:p>
      <w:pPr>
        <w:adjustRightInd w:val="0"/>
        <w:snapToGrid w:val="0"/>
        <w:ind w:firstLine="560"/>
        <w:rPr>
          <w:szCs w:val="28"/>
        </w:rPr>
      </w:pPr>
      <w:r>
        <w:rPr>
          <w:szCs w:val="28"/>
        </w:rPr>
        <w:t>建立工程措施与非工程措施联动机制。坚持创新试点与长效机制相结合，坚持区内合作与跨区域联动相结合，保障生态文明建设工作有效开展。将本规划核心内容纳入“宁县国民经济和社会发展第十四个五年规划纲要”和相关规划中，与相关规划实现更好的融合，有力推动宁县生态文明建设。</w:t>
      </w:r>
    </w:p>
    <w:p>
      <w:pPr>
        <w:pStyle w:val="4"/>
        <w:ind w:firstLine="643" w:firstLineChars="200"/>
        <w:rPr>
          <w:rFonts w:hint="eastAsia" w:ascii="楷体_GB2312" w:hAnsi="楷体_GB2312" w:eastAsia="楷体_GB2312" w:cs="楷体_GB2312"/>
        </w:rPr>
      </w:pPr>
      <w:bookmarkStart w:id="230" w:name="_Toc92390568"/>
      <w:r>
        <w:rPr>
          <w:rFonts w:hint="eastAsia" w:ascii="楷体_GB2312" w:hAnsi="楷体_GB2312" w:eastAsia="楷体_GB2312" w:cs="楷体_GB2312"/>
        </w:rPr>
        <w:t>（二）监督能力保障</w:t>
      </w:r>
      <w:bookmarkEnd w:id="230"/>
    </w:p>
    <w:p>
      <w:pPr>
        <w:adjustRightInd w:val="0"/>
        <w:snapToGrid w:val="0"/>
        <w:ind w:firstLine="560"/>
        <w:rPr>
          <w:szCs w:val="28"/>
        </w:rPr>
      </w:pPr>
      <w:r>
        <w:rPr>
          <w:szCs w:val="28"/>
        </w:rPr>
        <w:t>健全监管体系。有序整合不同领域、不同部门、不同层次的监管力量，有效进行环境监管和执法工作。加强环境监察队伍建设，分片区负责环境监察和环境执法任务，建成覆盖城乡的监察网络。简化环境监督执法，推进联合执法，严厉打击企业违法排污。在污染防治、生态保护、核与辐射安全、环境影响评价、环境执法、环境监督预警等方面，制定科学规范的制度，为实施统一监管和提升执法效能提供保障。加强环境监测、预警能力。加强环境监测软硬件建设，不断提高环境监测的质量。由县环境监测站负责，按照《全国环境监测站建设标准》，环境监测能力应达到国家西北部地区二级标准，按此标准配备相应的监测用房、基本仪器、应急环境监测仪器等。逐年规划新的环境质量自动监测站建设，考核断面等主要水体断面建设水质自动监测站。增加农村生态环境监测，建成全方位、多层次、城乡全覆盖的环境监测体系。</w:t>
      </w:r>
    </w:p>
    <w:p>
      <w:pPr>
        <w:adjustRightInd w:val="0"/>
        <w:snapToGrid w:val="0"/>
        <w:ind w:firstLine="560"/>
        <w:rPr>
          <w:szCs w:val="28"/>
        </w:rPr>
      </w:pPr>
      <w:r>
        <w:rPr>
          <w:szCs w:val="28"/>
        </w:rPr>
        <w:t>创新监管手段和监管方式，研究建立生态环境监管“云平台”。利用信息化的监管方式，加强卫星遥感、无人机（船）等技术应用，充分运用大数据、“互联网+”“APP”等信息渠道，强化生态环境监管执法。加快补齐污染源执法监测短板，逐步配置执法无人机、突发事件应急无人机监测系统。强化监管执法装备配置和系统应用，按标准配齐现代化的取证设备、通讯工具、办公设备、信息化设备等执法装备，完善无人机、无人船等配置。</w:t>
      </w:r>
    </w:p>
    <w:p>
      <w:pPr>
        <w:pStyle w:val="4"/>
        <w:ind w:firstLine="643" w:firstLineChars="200"/>
        <w:rPr>
          <w:rFonts w:hint="eastAsia" w:ascii="楷体_GB2312" w:hAnsi="楷体_GB2312" w:eastAsia="楷体_GB2312" w:cs="楷体_GB2312"/>
        </w:rPr>
      </w:pPr>
      <w:bookmarkStart w:id="231" w:name="_Toc92390569"/>
      <w:r>
        <w:rPr>
          <w:rFonts w:hint="eastAsia" w:ascii="楷体_GB2312" w:hAnsi="楷体_GB2312" w:eastAsia="楷体_GB2312" w:cs="楷体_GB2312"/>
        </w:rPr>
        <w:t>（三）资金统筹保障</w:t>
      </w:r>
      <w:bookmarkEnd w:id="231"/>
    </w:p>
    <w:p>
      <w:pPr>
        <w:adjustRightInd w:val="0"/>
        <w:snapToGrid w:val="0"/>
        <w:ind w:firstLine="560"/>
        <w:rPr>
          <w:szCs w:val="28"/>
        </w:rPr>
      </w:pPr>
      <w:r>
        <w:rPr>
          <w:szCs w:val="28"/>
        </w:rPr>
        <w:t>建立长期稳定的财政投入机制。政府应加大对城乡生态环境建设的支持力度，坚持多渠道并举的原则，拓宽筹资渠道，从根本上解决生态文明建设资金的投入问题。根据生态文明建设的总体目标、建设任务及自身经济发展水平，将生态文明建设所需的经费纳入基本建设计划和年度财政预算中。设立专门的预算科目，紧密结合生态文明建设的工作重点，合理调整和整合各类专项资金，加大政府财政性投入。</w:t>
      </w:r>
    </w:p>
    <w:p>
      <w:pPr>
        <w:adjustRightInd w:val="0"/>
        <w:snapToGrid w:val="0"/>
        <w:ind w:firstLine="560"/>
        <w:rPr>
          <w:szCs w:val="28"/>
        </w:rPr>
      </w:pPr>
      <w:r>
        <w:rPr>
          <w:szCs w:val="28"/>
        </w:rPr>
        <w:t>根据实际需要制定政府主导，企业社会共担，投入与效益共享，国内外多方融资，多形式、多渠道、多层次的资金筹措和融合机制，确保生态文明建设的资金投入。积极申请山东省、青岛县生态环境保护专项资金，增加银行用于生态文明建设的贷款，并适当延长贷款偿还年限。同时设立生态环境保护与建设专项基金，鼓励社会捐助，积极争取国际国内赠款、贷款或双边合作。制定和完善投融资政策，鼓励民间资本参与生态文明建设，完善生态基础设施。提高生态文明建设资金使用效率，按照生态文明建设的总体部署，明确年度生态文明建设的建设项目和资金投入。加大资金审计和监管，统筹建设资金，确保建设项目按计划有序推进。</w:t>
      </w:r>
    </w:p>
    <w:p>
      <w:pPr>
        <w:pStyle w:val="4"/>
        <w:ind w:firstLine="643" w:firstLineChars="200"/>
        <w:rPr>
          <w:rFonts w:hint="eastAsia" w:ascii="楷体_GB2312" w:hAnsi="楷体_GB2312" w:eastAsia="楷体_GB2312" w:cs="楷体_GB2312"/>
        </w:rPr>
      </w:pPr>
      <w:bookmarkStart w:id="232" w:name="_Toc92390570"/>
      <w:r>
        <w:rPr>
          <w:rFonts w:hint="eastAsia" w:ascii="楷体_GB2312" w:hAnsi="楷体_GB2312" w:eastAsia="楷体_GB2312" w:cs="楷体_GB2312"/>
        </w:rPr>
        <w:t>（四）科技支撑保障</w:t>
      </w:r>
      <w:bookmarkEnd w:id="232"/>
    </w:p>
    <w:p>
      <w:pPr>
        <w:adjustRightInd w:val="0"/>
        <w:snapToGrid w:val="0"/>
        <w:ind w:firstLine="560"/>
        <w:rPr>
          <w:szCs w:val="28"/>
        </w:rPr>
      </w:pPr>
      <w:r>
        <w:rPr>
          <w:szCs w:val="28"/>
        </w:rPr>
        <w:t>强化科技队伍建设。营造良好的人才发展环境，按照生态文明建设的要求，加大生态环境保护相关专业人才的引进，加大对水、大气、土壤、城乡建设生态文明建设类人才的引进和培养；同时加大对高新科技人才的引进，加强科技领军、人才培养的创新人才队伍建设。建立生态文明科技保障及培训体系，持续开展生态文明专题培训，分期培训党政领导干部、企事业单位人员等，提高人员素质。</w:t>
      </w:r>
    </w:p>
    <w:p>
      <w:pPr>
        <w:adjustRightInd w:val="0"/>
        <w:snapToGrid w:val="0"/>
        <w:ind w:firstLine="560"/>
        <w:rPr>
          <w:szCs w:val="28"/>
        </w:rPr>
      </w:pPr>
      <w:r>
        <w:rPr>
          <w:szCs w:val="28"/>
        </w:rPr>
        <w:t>扩大科技合作交流与开发应用。积极与科研院所、高校开展技术合作，成立宁县生态文明专家智库，聘请在环境保护和生态文明建设领域有杰出贡献和突出成绩的专家、学者共同组建“专家咨询顾问委员会”。引进、推广新技术，提升全县科技推广与应用，形成良好的产学研联合机制。支持全县企业加强技术创新，牵头实施产业相关的重大科研项目，推动科技研发、技术转化、科技服务，引导资金、人才、技术等创新要素向企业聚集，加快建立企业主导产业技术创新的体制机制。</w:t>
      </w:r>
    </w:p>
    <w:p>
      <w:pPr>
        <w:pStyle w:val="4"/>
        <w:ind w:firstLine="643" w:firstLineChars="200"/>
        <w:rPr>
          <w:rFonts w:hint="eastAsia" w:ascii="楷体_GB2312" w:hAnsi="楷体_GB2312" w:eastAsia="楷体_GB2312" w:cs="楷体_GB2312"/>
        </w:rPr>
      </w:pPr>
      <w:bookmarkStart w:id="233" w:name="_Toc92390571"/>
      <w:r>
        <w:rPr>
          <w:rFonts w:hint="eastAsia" w:ascii="楷体_GB2312" w:hAnsi="楷体_GB2312" w:eastAsia="楷体_GB2312" w:cs="楷体_GB2312"/>
        </w:rPr>
        <w:t>（五）公众监督保障</w:t>
      </w:r>
      <w:bookmarkEnd w:id="233"/>
    </w:p>
    <w:p>
      <w:pPr>
        <w:adjustRightInd w:val="0"/>
        <w:snapToGrid w:val="0"/>
        <w:ind w:firstLine="560"/>
        <w:rPr>
          <w:szCs w:val="28"/>
        </w:rPr>
      </w:pPr>
      <w:r>
        <w:rPr>
          <w:szCs w:val="28"/>
        </w:rPr>
        <w:t>充分发挥人民群众在生态文明建设中的主体作用，坚持党的群众路线，虚心听取群众意见，建立社会参与机制，广泛动员群众参加生态文明建设的各项活动，调动他们的积极性、主动性、创造性。要发挥民间公益环保组织作用，推进宁县生态文明建设志愿者队伍和监督员队伍建设。引导企业履行社会责任，自觉控制污染、追求绿色效益。挖掘文化生态内涵，用生态环保行动激活生态文化，把生态文明理念融入每个社会成员，增强建设生态文明示范县的软实力。</w:t>
      </w:r>
    </w:p>
    <w:p>
      <w:pPr>
        <w:adjustRightInd w:val="0"/>
        <w:snapToGrid w:val="0"/>
        <w:ind w:firstLine="560"/>
        <w:rPr>
          <w:szCs w:val="28"/>
        </w:rPr>
      </w:pPr>
      <w:r>
        <w:rPr>
          <w:szCs w:val="28"/>
        </w:rPr>
        <w:t>加强舆论宣传工作，完善生态文化宣传平台，积极传播生态文化，建设生态文化宣传教育基地及公众论坛。充分利用互联网、报刊、电视、广播等多媒体，尤其是短视频、微博、微信公众号等新媒体平台增加与公众在生态环保领域的互动。定期组织开展生态文明主题活动，提升机关及社会公众对生态文明建设的参与度，形成全社会参与生态文明建设的良好社会氛围。</w:t>
      </w:r>
    </w:p>
    <w:p>
      <w:pPr>
        <w:adjustRightInd w:val="0"/>
        <w:snapToGrid w:val="0"/>
        <w:ind w:firstLine="560"/>
        <w:rPr>
          <w:szCs w:val="28"/>
        </w:rPr>
        <w:sectPr>
          <w:pgSz w:w="11906" w:h="16838"/>
          <w:pgMar w:top="1440" w:right="1800" w:bottom="1440" w:left="1800" w:header="851" w:footer="992" w:gutter="0"/>
          <w:pgNumType w:fmt="numberInDash"/>
          <w:cols w:space="425" w:num="1"/>
          <w:docGrid w:linePitch="381" w:charSpace="0"/>
        </w:sectPr>
      </w:pPr>
    </w:p>
    <w:p>
      <w:pPr>
        <w:pStyle w:val="3"/>
        <w:jc w:val="left"/>
        <w:rPr>
          <w:rFonts w:hint="eastAsia" w:ascii="方正小标宋简体" w:hAnsi="方正小标宋简体" w:eastAsia="方正小标宋简体" w:cs="方正小标宋简体"/>
          <w:sz w:val="44"/>
          <w:szCs w:val="44"/>
        </w:rPr>
      </w:pPr>
      <w:bookmarkStart w:id="234" w:name="_Toc92390572"/>
      <w:bookmarkStart w:id="235" w:name="_Toc89422898"/>
      <w:r>
        <w:rPr>
          <w:rFonts w:hint="eastAsia" w:ascii="方正小标宋简体" w:hAnsi="方正小标宋简体" w:eastAsia="方正小标宋简体" w:cs="方正小标宋简体"/>
          <w:sz w:val="44"/>
          <w:szCs w:val="44"/>
        </w:rPr>
        <w:t>附表  重点工程一览表</w:t>
      </w:r>
      <w:bookmarkEnd w:id="234"/>
      <w:bookmarkEnd w:id="235"/>
    </w:p>
    <w:tbl>
      <w:tblPr>
        <w:tblStyle w:val="15"/>
        <w:tblW w:w="14265" w:type="dxa"/>
        <w:tblInd w:w="0" w:type="dxa"/>
        <w:shd w:val="clear" w:color="auto" w:fill="auto"/>
        <w:tblLayout w:type="fixed"/>
        <w:tblCellMar>
          <w:top w:w="0" w:type="dxa"/>
          <w:left w:w="108" w:type="dxa"/>
          <w:bottom w:w="0" w:type="dxa"/>
          <w:right w:w="108" w:type="dxa"/>
        </w:tblCellMar>
      </w:tblPr>
      <w:tblGrid>
        <w:gridCol w:w="549"/>
        <w:gridCol w:w="1857"/>
        <w:gridCol w:w="6264"/>
        <w:gridCol w:w="1125"/>
        <w:gridCol w:w="1545"/>
        <w:gridCol w:w="1590"/>
        <w:gridCol w:w="1335"/>
      </w:tblGrid>
      <w:tr>
        <w:tblPrEx>
          <w:tblCellMar>
            <w:top w:w="0" w:type="dxa"/>
            <w:left w:w="108" w:type="dxa"/>
            <w:bottom w:w="0" w:type="dxa"/>
            <w:right w:w="108" w:type="dxa"/>
          </w:tblCellMar>
        </w:tblPrEx>
        <w:trPr>
          <w:trHeight w:val="400" w:hRule="atLeast"/>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1"/>
                <w:szCs w:val="21"/>
              </w:rPr>
            </w:pPr>
            <w:r>
              <w:rPr>
                <w:b/>
                <w:bCs/>
                <w:color w:val="000000"/>
                <w:kern w:val="0"/>
                <w:sz w:val="21"/>
                <w:szCs w:val="21"/>
              </w:rPr>
              <w:t>序号</w:t>
            </w:r>
          </w:p>
        </w:tc>
        <w:tc>
          <w:tcPr>
            <w:tcW w:w="185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1"/>
                <w:szCs w:val="21"/>
              </w:rPr>
            </w:pPr>
            <w:r>
              <w:rPr>
                <w:b/>
                <w:bCs/>
                <w:color w:val="000000"/>
                <w:kern w:val="0"/>
                <w:sz w:val="21"/>
                <w:szCs w:val="21"/>
              </w:rPr>
              <w:t>项目名称</w:t>
            </w:r>
          </w:p>
        </w:tc>
        <w:tc>
          <w:tcPr>
            <w:tcW w:w="626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1"/>
                <w:szCs w:val="21"/>
              </w:rPr>
            </w:pPr>
            <w:r>
              <w:rPr>
                <w:b/>
                <w:bCs/>
                <w:color w:val="000000"/>
                <w:kern w:val="0"/>
                <w:sz w:val="21"/>
                <w:szCs w:val="21"/>
              </w:rPr>
              <w:t>建设内容</w:t>
            </w:r>
          </w:p>
        </w:tc>
        <w:tc>
          <w:tcPr>
            <w:tcW w:w="112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1"/>
                <w:szCs w:val="21"/>
              </w:rPr>
            </w:pPr>
            <w:r>
              <w:rPr>
                <w:b/>
                <w:bCs/>
                <w:color w:val="000000"/>
                <w:kern w:val="0"/>
                <w:sz w:val="21"/>
                <w:szCs w:val="21"/>
              </w:rPr>
              <w:t>投资估算（万元）</w:t>
            </w:r>
          </w:p>
        </w:tc>
        <w:tc>
          <w:tcPr>
            <w:tcW w:w="15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1"/>
                <w:szCs w:val="21"/>
              </w:rPr>
            </w:pPr>
            <w:r>
              <w:rPr>
                <w:b/>
                <w:bCs/>
                <w:color w:val="000000"/>
                <w:kern w:val="0"/>
                <w:sz w:val="21"/>
                <w:szCs w:val="21"/>
              </w:rPr>
              <w:t>建设期限</w:t>
            </w:r>
          </w:p>
        </w:tc>
        <w:tc>
          <w:tcPr>
            <w:tcW w:w="15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1"/>
                <w:szCs w:val="21"/>
              </w:rPr>
            </w:pPr>
            <w:r>
              <w:rPr>
                <w:b/>
                <w:bCs/>
                <w:color w:val="000000"/>
                <w:kern w:val="0"/>
                <w:sz w:val="21"/>
                <w:szCs w:val="21"/>
              </w:rPr>
              <w:t>责任单位</w:t>
            </w:r>
          </w:p>
        </w:tc>
        <w:tc>
          <w:tcPr>
            <w:tcW w:w="133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b/>
                <w:bCs/>
                <w:color w:val="000000"/>
                <w:kern w:val="0"/>
                <w:sz w:val="21"/>
                <w:szCs w:val="21"/>
              </w:rPr>
            </w:pPr>
            <w:r>
              <w:rPr>
                <w:b/>
                <w:bCs/>
                <w:color w:val="000000"/>
                <w:kern w:val="0"/>
                <w:sz w:val="21"/>
                <w:szCs w:val="21"/>
              </w:rPr>
              <w:t>资金来源</w:t>
            </w:r>
          </w:p>
        </w:tc>
      </w:tr>
      <w:tr>
        <w:tblPrEx>
          <w:shd w:val="clear" w:color="auto" w:fill="auto"/>
          <w:tblCellMar>
            <w:top w:w="0" w:type="dxa"/>
            <w:left w:w="108" w:type="dxa"/>
            <w:bottom w:w="0" w:type="dxa"/>
            <w:right w:w="108" w:type="dxa"/>
          </w:tblCellMar>
        </w:tblPrEx>
        <w:trPr>
          <w:trHeight w:val="400"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xml:space="preserve"> </w:t>
            </w:r>
          </w:p>
        </w:tc>
        <w:tc>
          <w:tcPr>
            <w:tcW w:w="185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4"/>
                <w:szCs w:val="24"/>
              </w:rPr>
            </w:pPr>
            <w:r>
              <w:rPr>
                <w:b/>
                <w:bCs/>
                <w:color w:val="000000"/>
                <w:kern w:val="0"/>
                <w:sz w:val="24"/>
                <w:szCs w:val="24"/>
              </w:rPr>
              <w:t>合计</w:t>
            </w:r>
          </w:p>
        </w:tc>
        <w:tc>
          <w:tcPr>
            <w:tcW w:w="626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4"/>
                <w:szCs w:val="24"/>
              </w:rPr>
            </w:pP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eastAsia="等线"/>
                <w:b/>
                <w:bCs/>
                <w:color w:val="000000"/>
                <w:kern w:val="0"/>
                <w:sz w:val="24"/>
                <w:szCs w:val="24"/>
                <w:lang w:val="en-US" w:eastAsia="zh-CN"/>
              </w:rPr>
            </w:pPr>
            <w:r>
              <w:rPr>
                <w:rFonts w:hint="eastAsia" w:eastAsia="等线"/>
                <w:b/>
                <w:bCs/>
                <w:color w:val="000000"/>
                <w:kern w:val="0"/>
                <w:sz w:val="24"/>
                <w:szCs w:val="24"/>
                <w:lang w:val="en-US" w:eastAsia="zh-CN"/>
              </w:rPr>
              <w:t>545550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4"/>
                <w:szCs w:val="24"/>
              </w:rPr>
            </w:pPr>
            <w:r>
              <w:rPr>
                <w:rFonts w:eastAsia="等线"/>
                <w:b/>
                <w:bCs/>
                <w:color w:val="000000"/>
                <w:kern w:val="0"/>
                <w:sz w:val="24"/>
                <w:szCs w:val="24"/>
              </w:rPr>
              <w:t xml:space="preserve"> </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2"/>
                <w:szCs w:val="22"/>
              </w:rPr>
            </w:pPr>
            <w:r>
              <w:rPr>
                <w:rFonts w:eastAsia="等线"/>
                <w:b/>
                <w:bCs/>
                <w:color w:val="000000"/>
                <w:kern w:val="0"/>
                <w:sz w:val="22"/>
                <w:szCs w:val="22"/>
              </w:rPr>
              <w:t xml:space="preserve"> </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2"/>
                <w:szCs w:val="22"/>
              </w:rPr>
            </w:pPr>
            <w:r>
              <w:rPr>
                <w:rFonts w:eastAsia="等线"/>
                <w:b/>
                <w:bCs/>
                <w:color w:val="000000"/>
                <w:kern w:val="0"/>
                <w:sz w:val="22"/>
                <w:szCs w:val="22"/>
              </w:rPr>
              <w:t xml:space="preserve"> </w:t>
            </w:r>
          </w:p>
        </w:tc>
      </w:tr>
      <w:tr>
        <w:tblPrEx>
          <w:shd w:val="clear" w:color="auto" w:fill="auto"/>
          <w:tblCellMar>
            <w:top w:w="0" w:type="dxa"/>
            <w:left w:w="108" w:type="dxa"/>
            <w:bottom w:w="0" w:type="dxa"/>
            <w:right w:w="108" w:type="dxa"/>
          </w:tblCellMar>
        </w:tblPrEx>
        <w:trPr>
          <w:trHeight w:val="445" w:hRule="atLeast"/>
        </w:trPr>
        <w:tc>
          <w:tcPr>
            <w:tcW w:w="867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auto"/>
              <w:ind w:firstLine="0" w:firstLineChars="0"/>
              <w:rPr>
                <w:rFonts w:eastAsia="等线"/>
                <w:b/>
                <w:bCs/>
                <w:color w:val="000000"/>
                <w:kern w:val="0"/>
                <w:sz w:val="21"/>
                <w:szCs w:val="21"/>
              </w:rPr>
            </w:pPr>
            <w:r>
              <w:rPr>
                <w:b/>
                <w:bCs/>
                <w:color w:val="000000"/>
                <w:kern w:val="0"/>
                <w:sz w:val="21"/>
                <w:szCs w:val="21"/>
              </w:rPr>
              <w:t>一、生态制度建设项目</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eastAsia="等线"/>
                <w:b/>
                <w:bCs/>
                <w:color w:val="000000"/>
                <w:kern w:val="0"/>
                <w:sz w:val="21"/>
                <w:szCs w:val="21"/>
                <w:lang w:val="en-US" w:eastAsia="zh-CN"/>
              </w:rPr>
            </w:pPr>
            <w:r>
              <w:rPr>
                <w:rFonts w:hint="eastAsia" w:eastAsia="等线"/>
                <w:b/>
                <w:bCs/>
                <w:color w:val="000000"/>
                <w:kern w:val="0"/>
                <w:sz w:val="21"/>
                <w:szCs w:val="21"/>
                <w:lang w:val="en-US" w:eastAsia="zh-CN"/>
              </w:rPr>
              <w:t>1460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1"/>
                <w:szCs w:val="21"/>
              </w:rPr>
            </w:pPr>
            <w:r>
              <w:rPr>
                <w:rFonts w:eastAsia="等线"/>
                <w:b/>
                <w:bCs/>
                <w:color w:val="000000"/>
                <w:kern w:val="0"/>
                <w:sz w:val="21"/>
                <w:szCs w:val="21"/>
              </w:rPr>
              <w:t xml:space="preserve"> </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2"/>
                <w:szCs w:val="22"/>
              </w:rPr>
            </w:pPr>
            <w:r>
              <w:rPr>
                <w:rFonts w:eastAsia="等线"/>
                <w:b/>
                <w:bCs/>
                <w:color w:val="000000"/>
                <w:kern w:val="0"/>
                <w:sz w:val="22"/>
                <w:szCs w:val="22"/>
              </w:rPr>
              <w:t xml:space="preserve"> </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2"/>
                <w:szCs w:val="22"/>
              </w:rPr>
            </w:pPr>
            <w:r>
              <w:rPr>
                <w:rFonts w:eastAsia="等线"/>
                <w:b/>
                <w:bCs/>
                <w:color w:val="000000"/>
                <w:kern w:val="0"/>
                <w:sz w:val="22"/>
                <w:szCs w:val="22"/>
              </w:rPr>
              <w:t xml:space="preserve"> </w:t>
            </w:r>
          </w:p>
        </w:tc>
      </w:tr>
      <w:tr>
        <w:tblPrEx>
          <w:shd w:val="clear" w:color="auto" w:fill="auto"/>
          <w:tblCellMar>
            <w:top w:w="0" w:type="dxa"/>
            <w:left w:w="108" w:type="dxa"/>
            <w:bottom w:w="0" w:type="dxa"/>
            <w:right w:w="108" w:type="dxa"/>
          </w:tblCellMar>
        </w:tblPrEx>
        <w:trPr>
          <w:trHeight w:val="1487"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w:t>
            </w:r>
          </w:p>
        </w:tc>
        <w:tc>
          <w:tcPr>
            <w:tcW w:w="185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eastAsia="zh-CN"/>
              </w:rPr>
              <w:t>宁县生态环境</w:t>
            </w:r>
            <w:r>
              <w:rPr>
                <w:rFonts w:hint="default" w:ascii="Times New Roman" w:hAnsi="Times New Roman" w:cs="Times New Roman"/>
                <w:color w:val="000000"/>
                <w:kern w:val="0"/>
                <w:sz w:val="22"/>
                <w:szCs w:val="22"/>
              </w:rPr>
              <w:t>执法能力建设项目</w:t>
            </w:r>
          </w:p>
        </w:tc>
        <w:tc>
          <w:tcPr>
            <w:tcW w:w="626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购置执法车辆、配置移动执法终端、个人防护包、测距仪、流量计等执法装备和执法服装。通过购买第三方服务方式强化行政执法检查工作，委托社会检测机构开展执法监测，采用无人机等方式开展流域、自然保护区、企业排污等情况排查等。</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Times New Roman" w:hAnsi="Times New Roman" w:cs="Times New Roman"/>
                <w:color w:val="000000"/>
                <w:kern w:val="0"/>
                <w:sz w:val="22"/>
                <w:szCs w:val="22"/>
              </w:rPr>
            </w:pPr>
            <w:r>
              <w:rPr>
                <w:rFonts w:hint="default" w:ascii="Times New Roman" w:hAnsi="Times New Roman" w:cs="Times New Roman"/>
                <w:color w:val="000000"/>
                <w:kern w:val="0"/>
                <w:sz w:val="22"/>
                <w:szCs w:val="22"/>
                <w:lang w:val="en-US" w:eastAsia="zh-CN"/>
              </w:rPr>
              <w:t>500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Times New Roman" w:hAnsi="Times New Roman" w:eastAsia="仿宋_GB2312" w:cs="Times New Roman"/>
                <w:color w:val="000000"/>
                <w:kern w:val="0"/>
                <w:sz w:val="22"/>
                <w:szCs w:val="22"/>
                <w:lang w:eastAsia="zh-CN"/>
              </w:rPr>
            </w:pPr>
            <w:r>
              <w:rPr>
                <w:rFonts w:hint="eastAsia"/>
                <w:color w:val="000000"/>
                <w:kern w:val="0"/>
                <w:sz w:val="22"/>
                <w:szCs w:val="22"/>
                <w:lang w:eastAsia="zh-CN"/>
              </w:rPr>
              <w:t>202</w:t>
            </w:r>
            <w:r>
              <w:rPr>
                <w:rFonts w:hint="eastAsia"/>
                <w:color w:val="000000"/>
                <w:kern w:val="0"/>
                <w:sz w:val="22"/>
                <w:szCs w:val="22"/>
                <w:lang w:val="en-US" w:eastAsia="zh-CN"/>
              </w:rPr>
              <w:t>2</w:t>
            </w:r>
            <w:r>
              <w:rPr>
                <w:rFonts w:hint="eastAsia"/>
                <w:color w:val="000000"/>
                <w:kern w:val="0"/>
                <w:sz w:val="22"/>
                <w:szCs w:val="22"/>
                <w:lang w:eastAsia="zh-CN"/>
              </w:rPr>
              <w:t>-2025年</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Times New Roman" w:hAnsi="Times New Roman" w:cs="Times New Roman"/>
                <w:color w:val="000000"/>
                <w:kern w:val="0"/>
                <w:sz w:val="22"/>
                <w:szCs w:val="22"/>
              </w:rPr>
            </w:pPr>
            <w:r>
              <w:rPr>
                <w:color w:val="000000"/>
                <w:kern w:val="0"/>
                <w:sz w:val="22"/>
                <w:szCs w:val="22"/>
              </w:rPr>
              <w:t>县生态环境局</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政府投资</w:t>
            </w:r>
          </w:p>
        </w:tc>
      </w:tr>
      <w:tr>
        <w:tblPrEx>
          <w:shd w:val="clear" w:color="auto" w:fill="auto"/>
          <w:tblCellMar>
            <w:top w:w="0" w:type="dxa"/>
            <w:left w:w="108" w:type="dxa"/>
            <w:bottom w:w="0" w:type="dxa"/>
            <w:right w:w="108" w:type="dxa"/>
          </w:tblCellMar>
        </w:tblPrEx>
        <w:trPr>
          <w:trHeight w:val="820"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rFonts w:eastAsia="等线"/>
                <w:color w:val="000000"/>
                <w:kern w:val="0"/>
                <w:sz w:val="22"/>
                <w:szCs w:val="22"/>
              </w:rPr>
              <w:t>2</w:t>
            </w:r>
          </w:p>
        </w:tc>
        <w:tc>
          <w:tcPr>
            <w:tcW w:w="185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eastAsia="等线"/>
                <w:color w:val="000000"/>
                <w:kern w:val="0"/>
                <w:sz w:val="22"/>
                <w:szCs w:val="22"/>
              </w:rPr>
            </w:pPr>
            <w:r>
              <w:rPr>
                <w:color w:val="000000"/>
                <w:kern w:val="0"/>
                <w:sz w:val="22"/>
                <w:szCs w:val="22"/>
              </w:rPr>
              <w:t>宁县大气环境监管能力提升项目</w:t>
            </w:r>
          </w:p>
        </w:tc>
        <w:tc>
          <w:tcPr>
            <w:tcW w:w="626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eastAsia="等线"/>
                <w:color w:val="000000"/>
                <w:kern w:val="0"/>
                <w:sz w:val="22"/>
                <w:szCs w:val="22"/>
              </w:rPr>
            </w:pPr>
            <w:r>
              <w:rPr>
                <w:rFonts w:hint="default" w:ascii="Times New Roman" w:hAnsi="Times New Roman" w:cs="Times New Roman"/>
                <w:color w:val="000000"/>
                <w:kern w:val="0"/>
                <w:sz w:val="22"/>
                <w:szCs w:val="22"/>
              </w:rPr>
              <w:t>在宁县城区购置安装高空</w:t>
            </w:r>
            <w:r>
              <w:rPr>
                <w:rFonts w:hint="eastAsia" w:ascii="Times New Roman" w:hAnsi="Times New Roman" w:cs="Times New Roman"/>
                <w:color w:val="000000"/>
                <w:kern w:val="0"/>
                <w:sz w:val="22"/>
                <w:szCs w:val="22"/>
              </w:rPr>
              <w:t>瞭望（鹰眼）</w:t>
            </w:r>
            <w:r>
              <w:rPr>
                <w:rFonts w:hint="default" w:ascii="Times New Roman" w:hAnsi="Times New Roman" w:cs="Times New Roman"/>
                <w:color w:val="000000"/>
                <w:kern w:val="0"/>
                <w:sz w:val="22"/>
                <w:szCs w:val="22"/>
              </w:rPr>
              <w:t>检测系统设备、车载检测系统设备、建筑工地摄像头监控系统设备，并与城区网格化数字城管平台进行整合扩容。并建设乡镇环境空气质量自动站一处，配套建设其他附属工程。</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1"/>
                <w:szCs w:val="21"/>
              </w:rPr>
            </w:pPr>
            <w:r>
              <w:rPr>
                <w:rFonts w:eastAsia="等线"/>
                <w:color w:val="000000"/>
                <w:kern w:val="0"/>
                <w:sz w:val="21"/>
                <w:szCs w:val="21"/>
              </w:rPr>
              <w:t>460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1"/>
                <w:szCs w:val="21"/>
              </w:rPr>
            </w:pPr>
            <w:r>
              <w:rPr>
                <w:rFonts w:eastAsia="等线"/>
                <w:color w:val="000000"/>
                <w:kern w:val="0"/>
                <w:sz w:val="21"/>
                <w:szCs w:val="21"/>
              </w:rPr>
              <w:t>202</w:t>
            </w:r>
            <w:r>
              <w:rPr>
                <w:rFonts w:hint="eastAsia" w:eastAsia="等线"/>
                <w:color w:val="000000"/>
                <w:kern w:val="0"/>
                <w:sz w:val="21"/>
                <w:szCs w:val="21"/>
                <w:lang w:val="en-US" w:eastAsia="zh-CN"/>
              </w:rPr>
              <w:t>2</w:t>
            </w:r>
            <w:r>
              <w:rPr>
                <w:rFonts w:eastAsia="等线"/>
                <w:color w:val="000000"/>
                <w:kern w:val="0"/>
                <w:sz w:val="21"/>
                <w:szCs w:val="21"/>
              </w:rPr>
              <w:t>-2025</w:t>
            </w:r>
            <w:r>
              <w:rPr>
                <w:color w:val="000000"/>
                <w:kern w:val="0"/>
                <w:sz w:val="21"/>
                <w:szCs w:val="21"/>
              </w:rPr>
              <w:t>年</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color w:val="000000"/>
                <w:kern w:val="0"/>
                <w:sz w:val="22"/>
                <w:szCs w:val="22"/>
              </w:rPr>
              <w:t>县生态环境局</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sz w:val="22"/>
                <w:szCs w:val="22"/>
              </w:rPr>
            </w:pPr>
            <w:r>
              <w:rPr>
                <w:color w:val="000000"/>
                <w:kern w:val="0"/>
                <w:sz w:val="22"/>
                <w:szCs w:val="22"/>
              </w:rPr>
              <w:t>政府投资</w:t>
            </w:r>
          </w:p>
        </w:tc>
      </w:tr>
      <w:tr>
        <w:tblPrEx>
          <w:shd w:val="clear" w:color="auto" w:fill="auto"/>
          <w:tblCellMar>
            <w:top w:w="0" w:type="dxa"/>
            <w:left w:w="108" w:type="dxa"/>
            <w:bottom w:w="0" w:type="dxa"/>
            <w:right w:w="108" w:type="dxa"/>
          </w:tblCellMar>
        </w:tblPrEx>
        <w:trPr>
          <w:trHeight w:val="660"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rFonts w:eastAsia="等线"/>
                <w:color w:val="000000"/>
                <w:kern w:val="0"/>
                <w:sz w:val="22"/>
                <w:szCs w:val="22"/>
              </w:rPr>
              <w:t>3</w:t>
            </w:r>
          </w:p>
        </w:tc>
        <w:tc>
          <w:tcPr>
            <w:tcW w:w="185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eastAsia="zh-CN"/>
              </w:rPr>
              <w:t>宁县</w:t>
            </w:r>
            <w:r>
              <w:rPr>
                <w:rFonts w:hint="default" w:ascii="Times New Roman" w:hAnsi="Times New Roman" w:cs="Times New Roman"/>
                <w:color w:val="000000"/>
                <w:kern w:val="0"/>
                <w:sz w:val="22"/>
                <w:szCs w:val="22"/>
              </w:rPr>
              <w:t>县级生态环境监测站建设</w:t>
            </w:r>
          </w:p>
        </w:tc>
        <w:tc>
          <w:tcPr>
            <w:tcW w:w="626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根据《全国环境监测站建设标准》《全国环境监测站建设补充标准》等要求，在现有环境监测机构能力建设、仪器设备等基础上，建设配备环境监测设施，配齐基本监测仪器设备，并建设规范的监测实验室。</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lang w:val="en-US" w:eastAsia="zh-CN"/>
              </w:rPr>
              <w:t>500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color w:val="000000"/>
                <w:kern w:val="0"/>
                <w:sz w:val="22"/>
                <w:szCs w:val="22"/>
              </w:rPr>
            </w:pPr>
            <w:r>
              <w:rPr>
                <w:rFonts w:hint="eastAsia"/>
                <w:color w:val="000000"/>
                <w:kern w:val="0"/>
                <w:sz w:val="22"/>
                <w:szCs w:val="22"/>
                <w:lang w:eastAsia="zh-CN"/>
              </w:rPr>
              <w:t>202</w:t>
            </w:r>
            <w:r>
              <w:rPr>
                <w:rFonts w:hint="eastAsia"/>
                <w:color w:val="000000"/>
                <w:kern w:val="0"/>
                <w:sz w:val="22"/>
                <w:szCs w:val="22"/>
                <w:lang w:val="en-US" w:eastAsia="zh-CN"/>
              </w:rPr>
              <w:t>2</w:t>
            </w:r>
            <w:r>
              <w:rPr>
                <w:rFonts w:hint="eastAsia"/>
                <w:color w:val="000000"/>
                <w:kern w:val="0"/>
                <w:sz w:val="22"/>
                <w:szCs w:val="22"/>
                <w:lang w:eastAsia="zh-CN"/>
              </w:rPr>
              <w:t>-2025年</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县生态环境局</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政府投资</w:t>
            </w:r>
          </w:p>
        </w:tc>
      </w:tr>
      <w:tr>
        <w:tblPrEx>
          <w:shd w:val="clear" w:color="auto" w:fill="auto"/>
          <w:tblCellMar>
            <w:top w:w="0" w:type="dxa"/>
            <w:left w:w="108" w:type="dxa"/>
            <w:bottom w:w="0" w:type="dxa"/>
            <w:right w:w="108" w:type="dxa"/>
          </w:tblCellMar>
        </w:tblPrEx>
        <w:trPr>
          <w:trHeight w:val="280" w:hRule="atLeast"/>
        </w:trPr>
        <w:tc>
          <w:tcPr>
            <w:tcW w:w="867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auto"/>
              <w:ind w:firstLine="0" w:firstLineChars="0"/>
              <w:rPr>
                <w:rFonts w:eastAsia="等线"/>
                <w:b/>
                <w:bCs/>
                <w:color w:val="000000"/>
                <w:kern w:val="0"/>
                <w:sz w:val="22"/>
                <w:szCs w:val="22"/>
              </w:rPr>
            </w:pPr>
            <w:r>
              <w:rPr>
                <w:b/>
                <w:bCs/>
                <w:color w:val="000000"/>
                <w:kern w:val="0"/>
                <w:sz w:val="22"/>
                <w:szCs w:val="22"/>
              </w:rPr>
              <w:t>二、生态安全建设项目</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eastAsia="等线"/>
                <w:b/>
                <w:bCs/>
                <w:color w:val="000000"/>
                <w:kern w:val="0"/>
                <w:sz w:val="21"/>
                <w:szCs w:val="21"/>
                <w:lang w:val="en-US" w:eastAsia="zh-CN"/>
              </w:rPr>
            </w:pPr>
            <w:r>
              <w:rPr>
                <w:rFonts w:hint="eastAsia" w:eastAsia="等线"/>
                <w:b/>
                <w:bCs/>
                <w:color w:val="000000"/>
                <w:kern w:val="0"/>
                <w:sz w:val="21"/>
                <w:szCs w:val="21"/>
                <w:lang w:val="en-US" w:eastAsia="zh-CN"/>
              </w:rPr>
              <w:t>21850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1"/>
                <w:szCs w:val="21"/>
              </w:rPr>
            </w:pPr>
            <w:r>
              <w:rPr>
                <w:rFonts w:eastAsia="等线"/>
                <w:b/>
                <w:bCs/>
                <w:color w:val="000000"/>
                <w:kern w:val="0"/>
                <w:sz w:val="21"/>
                <w:szCs w:val="21"/>
              </w:rPr>
              <w:t xml:space="preserve"> </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2"/>
                <w:szCs w:val="22"/>
              </w:rPr>
            </w:pPr>
            <w:r>
              <w:rPr>
                <w:rFonts w:eastAsia="等线"/>
                <w:b/>
                <w:bCs/>
                <w:color w:val="000000"/>
                <w:kern w:val="0"/>
                <w:sz w:val="22"/>
                <w:szCs w:val="22"/>
              </w:rPr>
              <w:t xml:space="preserve"> </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 </w:t>
            </w:r>
          </w:p>
        </w:tc>
      </w:tr>
      <w:tr>
        <w:tblPrEx>
          <w:shd w:val="clear" w:color="auto" w:fill="auto"/>
          <w:tblCellMar>
            <w:top w:w="0" w:type="dxa"/>
            <w:left w:w="108" w:type="dxa"/>
            <w:bottom w:w="0" w:type="dxa"/>
            <w:right w:w="108" w:type="dxa"/>
          </w:tblCellMar>
        </w:tblPrEx>
        <w:trPr>
          <w:trHeight w:val="645"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olor w:val="000000"/>
                <w:kern w:val="0"/>
                <w:sz w:val="22"/>
                <w:szCs w:val="22"/>
                <w:lang w:eastAsia="zh-CN"/>
              </w:rPr>
            </w:pPr>
            <w:r>
              <w:rPr>
                <w:rFonts w:hint="eastAsia"/>
                <w:color w:val="000000"/>
                <w:kern w:val="0"/>
                <w:sz w:val="22"/>
                <w:szCs w:val="22"/>
                <w:lang w:eastAsia="zh-CN"/>
              </w:rPr>
              <w:t>1</w:t>
            </w:r>
          </w:p>
        </w:tc>
        <w:tc>
          <w:tcPr>
            <w:tcW w:w="185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olor w:val="000000"/>
                <w:kern w:val="0"/>
                <w:sz w:val="22"/>
                <w:szCs w:val="22"/>
                <w:lang w:val="en-US" w:eastAsia="zh-CN"/>
              </w:rPr>
            </w:pPr>
            <w:r>
              <w:rPr>
                <w:rFonts w:hint="eastAsia"/>
                <w:color w:val="000000"/>
                <w:kern w:val="0"/>
                <w:sz w:val="22"/>
                <w:szCs w:val="22"/>
                <w:lang w:val="en-US" w:eastAsia="zh-CN"/>
              </w:rPr>
              <w:t>供热燃煤锅炉超低排放改造项目</w:t>
            </w:r>
          </w:p>
        </w:tc>
        <w:tc>
          <w:tcPr>
            <w:tcW w:w="626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default"/>
                <w:color w:val="000000"/>
                <w:kern w:val="0"/>
                <w:sz w:val="22"/>
                <w:szCs w:val="22"/>
                <w:lang w:val="en-US" w:eastAsia="zh-CN"/>
              </w:rPr>
            </w:pPr>
            <w:r>
              <w:rPr>
                <w:rFonts w:hint="eastAsia"/>
                <w:color w:val="000000"/>
                <w:kern w:val="0"/>
                <w:sz w:val="22"/>
                <w:szCs w:val="22"/>
                <w:lang w:eastAsia="zh-CN"/>
              </w:rPr>
              <w:t>对建成区</w:t>
            </w:r>
            <w:r>
              <w:rPr>
                <w:rFonts w:hint="eastAsia"/>
                <w:color w:val="000000"/>
                <w:kern w:val="0"/>
                <w:sz w:val="22"/>
                <w:szCs w:val="22"/>
                <w:lang w:val="en-US" w:eastAsia="zh-CN"/>
              </w:rPr>
              <w:t>65蒸吨及以上的3台供热燃煤锅炉进行超低排放改造，确保达标排放。</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color w:val="000000"/>
                <w:kern w:val="0"/>
                <w:sz w:val="22"/>
                <w:szCs w:val="22"/>
                <w:lang w:val="en-US" w:eastAsia="zh-CN"/>
              </w:rPr>
            </w:pPr>
            <w:r>
              <w:rPr>
                <w:rFonts w:hint="eastAsia"/>
                <w:color w:val="000000"/>
                <w:kern w:val="0"/>
                <w:sz w:val="22"/>
                <w:szCs w:val="22"/>
                <w:lang w:val="en-US" w:eastAsia="zh-CN"/>
              </w:rPr>
              <w:t>5000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olor w:val="000000"/>
                <w:kern w:val="0"/>
                <w:sz w:val="22"/>
                <w:szCs w:val="22"/>
                <w:lang w:eastAsia="zh-CN"/>
              </w:rPr>
            </w:pPr>
            <w:r>
              <w:rPr>
                <w:rFonts w:hint="eastAsia"/>
                <w:color w:val="000000"/>
                <w:kern w:val="0"/>
                <w:sz w:val="22"/>
                <w:szCs w:val="22"/>
                <w:lang w:eastAsia="zh-CN"/>
              </w:rPr>
              <w:t>202</w:t>
            </w:r>
            <w:r>
              <w:rPr>
                <w:rFonts w:hint="eastAsia"/>
                <w:color w:val="000000"/>
                <w:kern w:val="0"/>
                <w:sz w:val="22"/>
                <w:szCs w:val="22"/>
                <w:lang w:val="en-US" w:eastAsia="zh-CN"/>
              </w:rPr>
              <w:t>2</w:t>
            </w:r>
            <w:r>
              <w:rPr>
                <w:rFonts w:hint="eastAsia"/>
                <w:color w:val="000000"/>
                <w:kern w:val="0"/>
                <w:sz w:val="22"/>
                <w:szCs w:val="22"/>
                <w:lang w:eastAsia="zh-CN"/>
              </w:rPr>
              <w:t>-2025年</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olor w:val="000000"/>
                <w:kern w:val="0"/>
                <w:sz w:val="22"/>
                <w:szCs w:val="22"/>
                <w:lang w:eastAsia="zh-CN"/>
              </w:rPr>
            </w:pPr>
            <w:r>
              <w:rPr>
                <w:rFonts w:hint="eastAsia"/>
                <w:color w:val="000000"/>
                <w:kern w:val="0"/>
                <w:sz w:val="22"/>
                <w:szCs w:val="22"/>
                <w:lang w:eastAsia="zh-CN"/>
              </w:rPr>
              <w:t>县住建局</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olor w:val="000000"/>
                <w:kern w:val="0"/>
                <w:sz w:val="22"/>
                <w:szCs w:val="22"/>
                <w:lang w:eastAsia="zh-CN"/>
              </w:rPr>
            </w:pPr>
            <w:r>
              <w:rPr>
                <w:rFonts w:hint="eastAsia"/>
                <w:color w:val="000000"/>
                <w:kern w:val="0"/>
                <w:sz w:val="22"/>
                <w:szCs w:val="22"/>
                <w:lang w:eastAsia="zh-CN"/>
              </w:rPr>
              <w:t>政府投资</w:t>
            </w:r>
          </w:p>
        </w:tc>
      </w:tr>
      <w:tr>
        <w:tblPrEx>
          <w:shd w:val="clear" w:color="auto" w:fill="auto"/>
          <w:tblCellMar>
            <w:top w:w="0" w:type="dxa"/>
            <w:left w:w="108" w:type="dxa"/>
            <w:bottom w:w="0" w:type="dxa"/>
            <w:right w:w="108" w:type="dxa"/>
          </w:tblCellMar>
        </w:tblPrEx>
        <w:trPr>
          <w:trHeight w:val="645"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color w:val="000000"/>
                <w:kern w:val="0"/>
                <w:sz w:val="22"/>
                <w:szCs w:val="22"/>
                <w:lang w:val="en-US" w:eastAsia="zh-CN"/>
              </w:rPr>
            </w:pPr>
            <w:r>
              <w:rPr>
                <w:rFonts w:hint="eastAsia"/>
                <w:color w:val="000000"/>
                <w:kern w:val="0"/>
                <w:sz w:val="22"/>
                <w:szCs w:val="22"/>
                <w:lang w:val="en-US" w:eastAsia="zh-CN"/>
              </w:rPr>
              <w:t>2</w:t>
            </w:r>
          </w:p>
        </w:tc>
        <w:tc>
          <w:tcPr>
            <w:tcW w:w="185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rPr>
              <w:t>农村清洁能源改造整体推进项目</w:t>
            </w:r>
          </w:p>
        </w:tc>
        <w:tc>
          <w:tcPr>
            <w:tcW w:w="626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rPr>
              <w:t>采用天然气、电等清洁能源，</w:t>
            </w:r>
            <w:r>
              <w:rPr>
                <w:rFonts w:hint="default" w:ascii="Times New Roman" w:hAnsi="Times New Roman" w:cs="Times New Roman"/>
                <w:color w:val="000000"/>
                <w:kern w:val="0"/>
                <w:sz w:val="22"/>
                <w:szCs w:val="22"/>
                <w:lang w:eastAsia="zh-CN"/>
              </w:rPr>
              <w:t>在</w:t>
            </w:r>
            <w:r>
              <w:rPr>
                <w:rFonts w:hint="default" w:ascii="Times New Roman" w:hAnsi="Times New Roman" w:cs="Times New Roman"/>
                <w:color w:val="000000"/>
                <w:kern w:val="0"/>
                <w:sz w:val="22"/>
                <w:szCs w:val="22"/>
              </w:rPr>
              <w:t>重点乡村实施炉灶炕一体化改造的整体推进项目，共涉及农户</w:t>
            </w:r>
            <w:r>
              <w:rPr>
                <w:rFonts w:hint="default" w:ascii="Times New Roman" w:hAnsi="Times New Roman" w:cs="Times New Roman"/>
                <w:color w:val="000000"/>
                <w:kern w:val="0"/>
                <w:sz w:val="22"/>
                <w:szCs w:val="22"/>
                <w:lang w:val="en-US" w:eastAsia="zh-CN"/>
              </w:rPr>
              <w:t>2000</w:t>
            </w:r>
            <w:r>
              <w:rPr>
                <w:rFonts w:hint="default" w:ascii="Times New Roman" w:hAnsi="Times New Roman" w:cs="Times New Roman"/>
                <w:color w:val="000000"/>
                <w:kern w:val="0"/>
                <w:sz w:val="22"/>
                <w:szCs w:val="22"/>
              </w:rPr>
              <w:t>户。</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1600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Times New Roman" w:hAnsi="Times New Roman" w:cs="Times New Roman"/>
                <w:color w:val="000000"/>
                <w:kern w:val="0"/>
                <w:sz w:val="22"/>
                <w:szCs w:val="22"/>
                <w:lang w:val="en-US" w:eastAsia="zh-CN"/>
              </w:rPr>
            </w:pPr>
            <w:r>
              <w:rPr>
                <w:rFonts w:eastAsia="等线"/>
                <w:color w:val="000000"/>
                <w:kern w:val="0"/>
                <w:sz w:val="22"/>
                <w:szCs w:val="22"/>
              </w:rPr>
              <w:t>2021-2025</w:t>
            </w:r>
            <w:r>
              <w:rPr>
                <w:color w:val="000000"/>
                <w:kern w:val="0"/>
                <w:sz w:val="22"/>
                <w:szCs w:val="22"/>
              </w:rPr>
              <w:t>年</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县生态环境局</w:t>
            </w:r>
          </w:p>
          <w:p>
            <w:pPr>
              <w:widowControl/>
              <w:spacing w:line="240" w:lineRule="auto"/>
              <w:ind w:firstLine="0" w:firstLineChars="0"/>
              <w:rPr>
                <w:rFonts w:hint="eastAsia" w:ascii="Times New Roman" w:hAnsi="Times New Roman" w:cs="Times New Roman"/>
                <w:color w:val="000000"/>
                <w:kern w:val="0"/>
                <w:sz w:val="22"/>
                <w:szCs w:val="22"/>
                <w:lang w:eastAsia="zh-CN"/>
              </w:rPr>
            </w:pPr>
            <w:r>
              <w:rPr>
                <w:rFonts w:hint="eastAsia" w:ascii="Times New Roman" w:hAnsi="Times New Roman" w:cs="Times New Roman"/>
                <w:color w:val="000000"/>
                <w:kern w:val="0"/>
                <w:sz w:val="22"/>
                <w:szCs w:val="22"/>
                <w:lang w:eastAsia="zh-CN"/>
              </w:rPr>
              <w:t>县农业农村局</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left="0" w:leftChars="0" w:firstLine="220" w:firstLineChars="100"/>
              <w:jc w:val="both"/>
              <w:rPr>
                <w:rFonts w:hint="eastAsia" w:ascii="Times New Roman" w:hAnsi="Times New Roman" w:cs="Times New Roman"/>
                <w:color w:val="000000"/>
                <w:kern w:val="0"/>
                <w:sz w:val="22"/>
                <w:szCs w:val="22"/>
                <w:lang w:eastAsia="zh-CN"/>
              </w:rPr>
            </w:pPr>
            <w:r>
              <w:rPr>
                <w:rFonts w:hint="eastAsia" w:ascii="Times New Roman" w:hAnsi="Times New Roman" w:cs="Times New Roman"/>
                <w:color w:val="000000"/>
                <w:kern w:val="0"/>
                <w:sz w:val="22"/>
                <w:szCs w:val="22"/>
                <w:lang w:eastAsia="zh-CN"/>
              </w:rPr>
              <w:t>政府投资</w:t>
            </w:r>
          </w:p>
        </w:tc>
      </w:tr>
      <w:tr>
        <w:tblPrEx>
          <w:shd w:val="clear" w:color="auto" w:fill="auto"/>
          <w:tblCellMar>
            <w:top w:w="0" w:type="dxa"/>
            <w:left w:w="108" w:type="dxa"/>
            <w:bottom w:w="0" w:type="dxa"/>
            <w:right w:w="108" w:type="dxa"/>
          </w:tblCellMar>
        </w:tblPrEx>
        <w:trPr>
          <w:trHeight w:val="915"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eastAsia="等线"/>
                <w:color w:val="000000"/>
                <w:kern w:val="0"/>
                <w:sz w:val="22"/>
                <w:szCs w:val="22"/>
                <w:lang w:eastAsia="zh-CN"/>
              </w:rPr>
            </w:pPr>
            <w:r>
              <w:rPr>
                <w:rFonts w:hint="eastAsia" w:eastAsia="等线"/>
                <w:color w:val="000000"/>
                <w:kern w:val="0"/>
                <w:sz w:val="22"/>
                <w:szCs w:val="22"/>
                <w:lang w:val="en-US" w:eastAsia="zh-CN"/>
              </w:rPr>
              <w:t>3</w:t>
            </w:r>
          </w:p>
        </w:tc>
        <w:tc>
          <w:tcPr>
            <w:tcW w:w="185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eastAsia="等线"/>
                <w:color w:val="000000"/>
                <w:kern w:val="0"/>
                <w:sz w:val="22"/>
                <w:szCs w:val="22"/>
              </w:rPr>
            </w:pPr>
            <w:r>
              <w:rPr>
                <w:color w:val="000000"/>
                <w:kern w:val="0"/>
                <w:sz w:val="22"/>
                <w:szCs w:val="22"/>
              </w:rPr>
              <w:t>黄河流域庆阳市森林和草原保护与修复项目</w:t>
            </w:r>
          </w:p>
        </w:tc>
        <w:tc>
          <w:tcPr>
            <w:tcW w:w="626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eastAsia="等线"/>
                <w:color w:val="000000"/>
                <w:kern w:val="0"/>
                <w:sz w:val="22"/>
                <w:szCs w:val="22"/>
              </w:rPr>
            </w:pPr>
            <w:r>
              <w:rPr>
                <w:color w:val="000000"/>
                <w:kern w:val="0"/>
                <w:sz w:val="22"/>
                <w:szCs w:val="22"/>
              </w:rPr>
              <w:t>在马莲河流域、蒲河流域、九龙河流域完成</w:t>
            </w:r>
            <w:r>
              <w:rPr>
                <w:rFonts w:hint="eastAsia" w:eastAsia="等线"/>
                <w:color w:val="000000"/>
                <w:kern w:val="0"/>
                <w:sz w:val="22"/>
                <w:szCs w:val="22"/>
                <w:lang w:val="en-US" w:eastAsia="zh-CN"/>
              </w:rPr>
              <w:t>2</w:t>
            </w:r>
            <w:r>
              <w:rPr>
                <w:rFonts w:eastAsia="等线"/>
                <w:color w:val="000000"/>
                <w:kern w:val="0"/>
                <w:sz w:val="22"/>
                <w:szCs w:val="22"/>
              </w:rPr>
              <w:t>.5</w:t>
            </w:r>
            <w:r>
              <w:rPr>
                <w:color w:val="000000"/>
                <w:kern w:val="0"/>
                <w:sz w:val="22"/>
                <w:szCs w:val="22"/>
              </w:rPr>
              <w:t>万亩人工造林。</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eastAsia="等线"/>
                <w:color w:val="000000"/>
                <w:kern w:val="0"/>
                <w:sz w:val="22"/>
                <w:szCs w:val="22"/>
                <w:lang w:val="en-US" w:eastAsia="zh-CN"/>
              </w:rPr>
            </w:pPr>
            <w:r>
              <w:rPr>
                <w:rFonts w:hint="eastAsia" w:eastAsia="等线"/>
                <w:color w:val="000000"/>
                <w:kern w:val="0"/>
                <w:sz w:val="22"/>
                <w:szCs w:val="22"/>
                <w:lang w:val="en-US" w:eastAsia="zh-CN"/>
              </w:rPr>
              <w:t>750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rFonts w:eastAsia="等线"/>
                <w:color w:val="000000"/>
                <w:kern w:val="0"/>
                <w:sz w:val="22"/>
                <w:szCs w:val="22"/>
              </w:rPr>
              <w:t>2021-2025</w:t>
            </w:r>
            <w:r>
              <w:rPr>
                <w:color w:val="000000"/>
                <w:kern w:val="0"/>
                <w:sz w:val="22"/>
                <w:szCs w:val="22"/>
              </w:rPr>
              <w:t>年</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color w:val="000000"/>
                <w:kern w:val="0"/>
                <w:sz w:val="22"/>
                <w:szCs w:val="22"/>
              </w:rPr>
              <w:t>县林草局</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sz w:val="22"/>
                <w:szCs w:val="22"/>
              </w:rPr>
            </w:pPr>
            <w:r>
              <w:rPr>
                <w:color w:val="000000"/>
                <w:kern w:val="0"/>
                <w:sz w:val="22"/>
                <w:szCs w:val="22"/>
              </w:rPr>
              <w:t>政府投资</w:t>
            </w:r>
          </w:p>
        </w:tc>
      </w:tr>
      <w:tr>
        <w:tblPrEx>
          <w:shd w:val="clear" w:color="auto" w:fill="auto"/>
          <w:tblCellMar>
            <w:top w:w="0" w:type="dxa"/>
            <w:left w:w="108" w:type="dxa"/>
            <w:bottom w:w="0" w:type="dxa"/>
            <w:right w:w="108" w:type="dxa"/>
          </w:tblCellMar>
        </w:tblPrEx>
        <w:trPr>
          <w:trHeight w:val="630"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eastAsia="等线"/>
                <w:color w:val="000000"/>
                <w:kern w:val="0"/>
                <w:sz w:val="22"/>
                <w:szCs w:val="22"/>
                <w:lang w:eastAsia="zh-CN"/>
              </w:rPr>
            </w:pPr>
            <w:r>
              <w:rPr>
                <w:rFonts w:hint="eastAsia" w:eastAsia="等线"/>
                <w:color w:val="000000"/>
                <w:kern w:val="0"/>
                <w:sz w:val="22"/>
                <w:szCs w:val="22"/>
                <w:lang w:val="en-US" w:eastAsia="zh-CN"/>
              </w:rPr>
              <w:t>4</w:t>
            </w:r>
          </w:p>
        </w:tc>
        <w:tc>
          <w:tcPr>
            <w:tcW w:w="185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color w:val="000000"/>
                <w:kern w:val="0"/>
                <w:sz w:val="22"/>
                <w:szCs w:val="22"/>
              </w:rPr>
            </w:pPr>
            <w:r>
              <w:rPr>
                <w:color w:val="000000"/>
                <w:kern w:val="0"/>
                <w:sz w:val="22"/>
                <w:szCs w:val="22"/>
              </w:rPr>
              <w:t>宁县草原生态治理项目</w:t>
            </w:r>
          </w:p>
        </w:tc>
        <w:tc>
          <w:tcPr>
            <w:tcW w:w="626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eastAsia="等线"/>
                <w:color w:val="000000"/>
                <w:kern w:val="0"/>
                <w:sz w:val="22"/>
                <w:szCs w:val="22"/>
              </w:rPr>
            </w:pPr>
            <w:r>
              <w:rPr>
                <w:color w:val="000000"/>
                <w:kern w:val="0"/>
                <w:sz w:val="22"/>
                <w:szCs w:val="22"/>
              </w:rPr>
              <w:t>修复退化草原</w:t>
            </w:r>
            <w:r>
              <w:rPr>
                <w:rFonts w:eastAsia="等线"/>
                <w:color w:val="000000"/>
                <w:kern w:val="0"/>
                <w:sz w:val="22"/>
                <w:szCs w:val="22"/>
              </w:rPr>
              <w:t>5</w:t>
            </w:r>
            <w:r>
              <w:rPr>
                <w:color w:val="000000"/>
                <w:kern w:val="0"/>
                <w:sz w:val="22"/>
                <w:szCs w:val="22"/>
              </w:rPr>
              <w:t>万亩。</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rFonts w:eastAsia="等线"/>
                <w:color w:val="000000"/>
                <w:kern w:val="0"/>
                <w:sz w:val="22"/>
                <w:szCs w:val="22"/>
              </w:rPr>
              <w:t xml:space="preserve">2500 </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rFonts w:eastAsia="等线"/>
                <w:color w:val="000000"/>
                <w:kern w:val="0"/>
                <w:sz w:val="22"/>
                <w:szCs w:val="22"/>
              </w:rPr>
              <w:t>2021-2025</w:t>
            </w:r>
            <w:r>
              <w:rPr>
                <w:color w:val="000000"/>
                <w:kern w:val="0"/>
                <w:sz w:val="22"/>
                <w:szCs w:val="22"/>
              </w:rPr>
              <w:t>年</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color w:val="000000"/>
                <w:kern w:val="0"/>
                <w:sz w:val="22"/>
                <w:szCs w:val="22"/>
              </w:rPr>
              <w:t>县林草局</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sz w:val="22"/>
                <w:szCs w:val="22"/>
              </w:rPr>
            </w:pPr>
            <w:r>
              <w:rPr>
                <w:color w:val="000000"/>
                <w:kern w:val="0"/>
                <w:sz w:val="22"/>
                <w:szCs w:val="22"/>
              </w:rPr>
              <w:t>政府投资</w:t>
            </w:r>
          </w:p>
        </w:tc>
      </w:tr>
      <w:tr>
        <w:tblPrEx>
          <w:shd w:val="clear" w:color="auto" w:fill="auto"/>
          <w:tblCellMar>
            <w:top w:w="0" w:type="dxa"/>
            <w:left w:w="108" w:type="dxa"/>
            <w:bottom w:w="0" w:type="dxa"/>
            <w:right w:w="108" w:type="dxa"/>
          </w:tblCellMar>
        </w:tblPrEx>
        <w:trPr>
          <w:trHeight w:val="290"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eastAsia="等线"/>
                <w:color w:val="000000"/>
                <w:kern w:val="0"/>
                <w:sz w:val="21"/>
                <w:szCs w:val="21"/>
                <w:lang w:eastAsia="zh-CN"/>
              </w:rPr>
            </w:pPr>
            <w:r>
              <w:rPr>
                <w:rFonts w:hint="eastAsia" w:eastAsia="等线"/>
                <w:color w:val="000000"/>
                <w:kern w:val="0"/>
                <w:sz w:val="21"/>
                <w:szCs w:val="21"/>
                <w:lang w:val="en-US" w:eastAsia="zh-CN"/>
              </w:rPr>
              <w:t>5</w:t>
            </w:r>
          </w:p>
        </w:tc>
        <w:tc>
          <w:tcPr>
            <w:tcW w:w="185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olor w:val="000000"/>
                <w:kern w:val="0"/>
                <w:sz w:val="22"/>
                <w:szCs w:val="22"/>
                <w:lang w:eastAsia="zh-CN"/>
              </w:rPr>
            </w:pPr>
            <w:r>
              <w:rPr>
                <w:rFonts w:hint="eastAsia"/>
                <w:color w:val="000000"/>
                <w:kern w:val="0"/>
                <w:sz w:val="22"/>
                <w:szCs w:val="22"/>
                <w:lang w:eastAsia="zh-CN"/>
              </w:rPr>
              <w:t>宁县创建国家生态园林县城项目</w:t>
            </w:r>
          </w:p>
        </w:tc>
        <w:tc>
          <w:tcPr>
            <w:tcW w:w="626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color w:val="000000"/>
                <w:kern w:val="0"/>
                <w:sz w:val="22"/>
                <w:szCs w:val="22"/>
                <w:lang w:eastAsia="zh-CN"/>
              </w:rPr>
            </w:pPr>
            <w:r>
              <w:rPr>
                <w:rFonts w:hint="eastAsia"/>
                <w:color w:val="000000"/>
                <w:kern w:val="0"/>
                <w:sz w:val="22"/>
                <w:szCs w:val="22"/>
                <w:lang w:eastAsia="zh-CN"/>
              </w:rPr>
              <w:t>在县城新建公园5个。</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olor w:val="000000"/>
                <w:kern w:val="0"/>
                <w:sz w:val="22"/>
                <w:szCs w:val="22"/>
                <w:lang w:eastAsia="zh-CN"/>
              </w:rPr>
            </w:pPr>
            <w:r>
              <w:rPr>
                <w:rFonts w:hint="eastAsia"/>
                <w:color w:val="000000"/>
                <w:kern w:val="0"/>
                <w:sz w:val="22"/>
                <w:szCs w:val="22"/>
                <w:lang w:eastAsia="zh-CN"/>
              </w:rPr>
              <w:t xml:space="preserve">12000 </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olor w:val="000000"/>
                <w:kern w:val="0"/>
                <w:sz w:val="22"/>
                <w:szCs w:val="22"/>
                <w:lang w:eastAsia="zh-CN"/>
              </w:rPr>
            </w:pPr>
            <w:r>
              <w:rPr>
                <w:rFonts w:hint="eastAsia"/>
                <w:color w:val="000000"/>
                <w:kern w:val="0"/>
                <w:sz w:val="22"/>
                <w:szCs w:val="22"/>
                <w:lang w:eastAsia="zh-CN"/>
              </w:rPr>
              <w:t>2021-2025年</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olor w:val="000000"/>
                <w:kern w:val="0"/>
                <w:sz w:val="22"/>
                <w:szCs w:val="22"/>
                <w:lang w:eastAsia="zh-CN"/>
              </w:rPr>
            </w:pPr>
            <w:r>
              <w:rPr>
                <w:rFonts w:hint="eastAsia"/>
                <w:color w:val="000000"/>
                <w:kern w:val="0"/>
                <w:sz w:val="22"/>
                <w:szCs w:val="22"/>
                <w:lang w:eastAsia="zh-CN"/>
              </w:rPr>
              <w:t>县城市管理综合执法局</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olor w:val="000000"/>
                <w:kern w:val="0"/>
                <w:sz w:val="22"/>
                <w:szCs w:val="22"/>
                <w:lang w:eastAsia="zh-CN"/>
              </w:rPr>
            </w:pPr>
            <w:r>
              <w:rPr>
                <w:rFonts w:hint="eastAsia"/>
                <w:color w:val="000000"/>
                <w:kern w:val="0"/>
                <w:sz w:val="22"/>
                <w:szCs w:val="22"/>
                <w:lang w:eastAsia="zh-CN"/>
              </w:rPr>
              <w:t>政府投资</w:t>
            </w:r>
          </w:p>
        </w:tc>
      </w:tr>
      <w:tr>
        <w:tblPrEx>
          <w:shd w:val="clear" w:color="auto" w:fill="auto"/>
          <w:tblCellMar>
            <w:top w:w="0" w:type="dxa"/>
            <w:left w:w="108" w:type="dxa"/>
            <w:bottom w:w="0" w:type="dxa"/>
            <w:right w:w="108" w:type="dxa"/>
          </w:tblCellMar>
        </w:tblPrEx>
        <w:trPr>
          <w:trHeight w:val="280" w:hRule="atLeast"/>
        </w:trPr>
        <w:tc>
          <w:tcPr>
            <w:tcW w:w="867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auto"/>
              <w:ind w:firstLine="0" w:firstLineChars="0"/>
              <w:rPr>
                <w:rFonts w:eastAsia="等线"/>
                <w:b/>
                <w:bCs/>
                <w:color w:val="000000"/>
                <w:kern w:val="0"/>
                <w:sz w:val="21"/>
                <w:szCs w:val="21"/>
              </w:rPr>
            </w:pPr>
            <w:r>
              <w:rPr>
                <w:b/>
                <w:bCs/>
                <w:color w:val="000000"/>
                <w:kern w:val="0"/>
                <w:sz w:val="21"/>
                <w:szCs w:val="21"/>
              </w:rPr>
              <w:t>三、生态空间建设项目</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eastAsia="等线"/>
                <w:b/>
                <w:bCs/>
                <w:color w:val="000000"/>
                <w:kern w:val="0"/>
                <w:sz w:val="21"/>
                <w:szCs w:val="21"/>
                <w:lang w:val="en-US" w:eastAsia="zh-CN"/>
              </w:rPr>
            </w:pPr>
            <w:r>
              <w:rPr>
                <w:rFonts w:hint="eastAsia" w:eastAsia="等线"/>
                <w:b/>
                <w:bCs/>
                <w:color w:val="000000"/>
                <w:kern w:val="0"/>
                <w:sz w:val="21"/>
                <w:szCs w:val="21"/>
                <w:lang w:val="en-US" w:eastAsia="zh-CN"/>
              </w:rPr>
              <w:t>100640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1"/>
                <w:szCs w:val="21"/>
              </w:rPr>
            </w:pP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1"/>
                <w:szCs w:val="21"/>
              </w:rPr>
            </w:pPr>
            <w:r>
              <w:rPr>
                <w:rFonts w:eastAsia="等线"/>
                <w:b/>
                <w:bCs/>
                <w:color w:val="000000"/>
                <w:kern w:val="0"/>
                <w:sz w:val="21"/>
                <w:szCs w:val="21"/>
              </w:rPr>
              <w:t xml:space="preserve"> </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sz w:val="21"/>
                <w:szCs w:val="21"/>
              </w:rPr>
            </w:pPr>
            <w:r>
              <w:rPr>
                <w:color w:val="000000"/>
                <w:kern w:val="0"/>
                <w:sz w:val="21"/>
                <w:szCs w:val="21"/>
              </w:rPr>
              <w:t xml:space="preserve"> </w:t>
            </w:r>
          </w:p>
        </w:tc>
      </w:tr>
      <w:tr>
        <w:tblPrEx>
          <w:shd w:val="clear" w:color="auto" w:fill="auto"/>
          <w:tblCellMar>
            <w:top w:w="0" w:type="dxa"/>
            <w:left w:w="108" w:type="dxa"/>
            <w:bottom w:w="0" w:type="dxa"/>
            <w:right w:w="108" w:type="dxa"/>
          </w:tblCellMar>
        </w:tblPrEx>
        <w:trPr>
          <w:trHeight w:val="1291"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Times New Roman" w:hAnsi="Times New Roman" w:eastAsia="仿宋_GB2312"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1</w:t>
            </w:r>
          </w:p>
        </w:tc>
        <w:tc>
          <w:tcPr>
            <w:tcW w:w="185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rPr>
              <w:t>马莲河流域水污染防治项目</w:t>
            </w:r>
          </w:p>
        </w:tc>
        <w:tc>
          <w:tcPr>
            <w:tcW w:w="626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rPr>
              <w:t>在马莲河一、二级支流涉及</w:t>
            </w:r>
            <w:r>
              <w:rPr>
                <w:rFonts w:hint="default" w:ascii="Times New Roman" w:hAnsi="Times New Roman" w:cs="Times New Roman"/>
                <w:color w:val="000000"/>
                <w:kern w:val="0"/>
                <w:sz w:val="22"/>
                <w:szCs w:val="22"/>
                <w:lang w:eastAsia="zh-CN"/>
              </w:rPr>
              <w:t>我县区域实施</w:t>
            </w:r>
            <w:r>
              <w:rPr>
                <w:rFonts w:hint="default" w:ascii="Times New Roman" w:hAnsi="Times New Roman" w:cs="Times New Roman"/>
                <w:color w:val="000000"/>
                <w:kern w:val="0"/>
                <w:sz w:val="22"/>
                <w:szCs w:val="22"/>
              </w:rPr>
              <w:t>水生态修复项目。</w:t>
            </w:r>
            <w:r>
              <w:rPr>
                <w:rFonts w:hint="default" w:ascii="Times New Roman" w:hAnsi="Times New Roman" w:cs="Times New Roman"/>
                <w:color w:val="000000"/>
                <w:kern w:val="0"/>
                <w:sz w:val="22"/>
                <w:szCs w:val="22"/>
                <w:lang w:eastAsia="zh-CN"/>
              </w:rPr>
              <w:t>水生态修复项目</w:t>
            </w:r>
            <w:r>
              <w:rPr>
                <w:rFonts w:hint="default" w:ascii="Times New Roman" w:hAnsi="Times New Roman" w:cs="Times New Roman"/>
                <w:color w:val="000000"/>
                <w:kern w:val="0"/>
                <w:sz w:val="22"/>
                <w:szCs w:val="22"/>
              </w:rPr>
              <w:t>采用“生态河堤+人工湿地+溢流坎+涵养林”的综合治理方案，主要建设人工湿地、沉淀池、溢流坎、引水管网、生态涵养林</w:t>
            </w:r>
            <w:r>
              <w:rPr>
                <w:rFonts w:hint="default" w:ascii="Times New Roman" w:hAnsi="Times New Roman" w:cs="Times New Roman"/>
                <w:color w:val="000000"/>
                <w:kern w:val="0"/>
                <w:sz w:val="22"/>
                <w:szCs w:val="22"/>
                <w:lang w:eastAsia="zh-CN"/>
              </w:rPr>
              <w:t>和</w:t>
            </w:r>
            <w:r>
              <w:rPr>
                <w:rFonts w:hint="default" w:ascii="Times New Roman" w:hAnsi="Times New Roman" w:cs="Times New Roman"/>
                <w:color w:val="000000"/>
                <w:kern w:val="0"/>
                <w:sz w:val="22"/>
                <w:szCs w:val="22"/>
              </w:rPr>
              <w:t>生态河堤</w:t>
            </w:r>
            <w:r>
              <w:rPr>
                <w:rFonts w:hint="default" w:ascii="Times New Roman" w:hAnsi="Times New Roman" w:cs="Times New Roman"/>
                <w:color w:val="000000"/>
                <w:kern w:val="0"/>
                <w:sz w:val="22"/>
                <w:szCs w:val="22"/>
                <w:lang w:eastAsia="zh-CN"/>
              </w:rPr>
              <w:t>等内容。</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6000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color w:val="000000"/>
                <w:kern w:val="0"/>
                <w:sz w:val="22"/>
                <w:szCs w:val="22"/>
                <w:lang w:val="en-US" w:eastAsia="zh-CN"/>
              </w:rPr>
            </w:pPr>
            <w:r>
              <w:rPr>
                <w:rFonts w:hint="eastAsia"/>
                <w:color w:val="000000"/>
                <w:kern w:val="0"/>
                <w:sz w:val="22"/>
                <w:szCs w:val="22"/>
                <w:lang w:eastAsia="zh-CN"/>
              </w:rPr>
              <w:t>202</w:t>
            </w:r>
            <w:r>
              <w:rPr>
                <w:rFonts w:hint="eastAsia"/>
                <w:color w:val="000000"/>
                <w:kern w:val="0"/>
                <w:sz w:val="22"/>
                <w:szCs w:val="22"/>
                <w:lang w:val="en-US" w:eastAsia="zh-CN"/>
              </w:rPr>
              <w:t>2</w:t>
            </w:r>
            <w:r>
              <w:rPr>
                <w:rFonts w:hint="eastAsia"/>
                <w:color w:val="000000"/>
                <w:kern w:val="0"/>
                <w:sz w:val="22"/>
                <w:szCs w:val="22"/>
                <w:lang w:eastAsia="zh-CN"/>
              </w:rPr>
              <w:t>-2025年</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default" w:ascii="Times New Roman" w:hAnsi="Times New Roman" w:cs="Times New Roman"/>
                <w:color w:val="000000"/>
                <w:kern w:val="0"/>
                <w:sz w:val="22"/>
                <w:szCs w:val="22"/>
                <w:lang w:val="en-US" w:eastAsia="zh-CN"/>
              </w:rPr>
            </w:pPr>
            <w:r>
              <w:rPr>
                <w:color w:val="000000"/>
                <w:kern w:val="0"/>
                <w:sz w:val="22"/>
                <w:szCs w:val="22"/>
              </w:rPr>
              <w:t>县生态环境局</w:t>
            </w:r>
            <w:r>
              <w:rPr>
                <w:rFonts w:hint="default" w:ascii="Times New Roman" w:hAnsi="Times New Roman" w:cs="Times New Roman"/>
                <w:color w:val="000000"/>
                <w:kern w:val="0"/>
                <w:sz w:val="22"/>
                <w:szCs w:val="22"/>
                <w:lang w:eastAsia="zh-CN"/>
              </w:rPr>
              <w:t>相关乡镇政府</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Times New Roman" w:hAnsi="Times New Roman" w:cs="Times New Roman"/>
                <w:color w:val="000000"/>
                <w:kern w:val="0"/>
                <w:sz w:val="22"/>
                <w:szCs w:val="22"/>
              </w:rPr>
            </w:pPr>
            <w:r>
              <w:rPr>
                <w:color w:val="000000"/>
                <w:kern w:val="0"/>
                <w:sz w:val="22"/>
                <w:szCs w:val="22"/>
              </w:rPr>
              <w:t>政府投资</w:t>
            </w:r>
          </w:p>
        </w:tc>
      </w:tr>
      <w:tr>
        <w:tblPrEx>
          <w:shd w:val="clear" w:color="auto" w:fill="auto"/>
          <w:tblCellMar>
            <w:top w:w="0" w:type="dxa"/>
            <w:left w:w="108" w:type="dxa"/>
            <w:bottom w:w="0" w:type="dxa"/>
            <w:right w:w="108" w:type="dxa"/>
          </w:tblCellMar>
        </w:tblPrEx>
        <w:trPr>
          <w:trHeight w:val="915"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Times New Roman" w:hAnsi="Times New Roman" w:eastAsia="仿宋_GB2312"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2</w:t>
            </w:r>
          </w:p>
        </w:tc>
        <w:tc>
          <w:tcPr>
            <w:tcW w:w="185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rPr>
              <w:t>蒲河流域水污染防治项目</w:t>
            </w:r>
          </w:p>
        </w:tc>
        <w:tc>
          <w:tcPr>
            <w:tcW w:w="626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eastAsia="zh-CN"/>
              </w:rPr>
              <w:t>在蒲河流域涉及我县的区域实施</w:t>
            </w:r>
            <w:r>
              <w:rPr>
                <w:rFonts w:hint="default" w:ascii="Times New Roman" w:hAnsi="Times New Roman" w:cs="Times New Roman"/>
                <w:color w:val="000000"/>
                <w:kern w:val="0"/>
                <w:sz w:val="22"/>
                <w:szCs w:val="22"/>
              </w:rPr>
              <w:t>生态屏障涵养林、河道生态治理工程。</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2000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color w:val="000000"/>
                <w:kern w:val="0"/>
                <w:sz w:val="22"/>
                <w:szCs w:val="22"/>
                <w:lang w:val="en-US" w:eastAsia="zh-CN"/>
              </w:rPr>
            </w:pPr>
            <w:r>
              <w:rPr>
                <w:rFonts w:hint="eastAsia"/>
                <w:color w:val="000000"/>
                <w:kern w:val="0"/>
                <w:sz w:val="22"/>
                <w:szCs w:val="22"/>
                <w:lang w:eastAsia="zh-CN"/>
              </w:rPr>
              <w:t>202</w:t>
            </w:r>
            <w:r>
              <w:rPr>
                <w:rFonts w:hint="eastAsia"/>
                <w:color w:val="000000"/>
                <w:kern w:val="0"/>
                <w:sz w:val="22"/>
                <w:szCs w:val="22"/>
                <w:lang w:val="en-US" w:eastAsia="zh-CN"/>
              </w:rPr>
              <w:t>2</w:t>
            </w:r>
            <w:r>
              <w:rPr>
                <w:rFonts w:hint="eastAsia"/>
                <w:color w:val="000000"/>
                <w:kern w:val="0"/>
                <w:sz w:val="22"/>
                <w:szCs w:val="22"/>
                <w:lang w:eastAsia="zh-CN"/>
              </w:rPr>
              <w:t>-2025年</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default" w:ascii="Times New Roman" w:hAnsi="Times New Roman" w:cs="Times New Roman"/>
                <w:color w:val="000000"/>
                <w:kern w:val="0"/>
                <w:sz w:val="22"/>
                <w:szCs w:val="22"/>
                <w:lang w:val="en-US" w:eastAsia="zh-CN"/>
              </w:rPr>
            </w:pPr>
            <w:r>
              <w:rPr>
                <w:color w:val="000000"/>
                <w:kern w:val="0"/>
                <w:sz w:val="22"/>
                <w:szCs w:val="22"/>
              </w:rPr>
              <w:t>县生态环境局</w:t>
            </w:r>
            <w:r>
              <w:rPr>
                <w:rFonts w:hint="default" w:ascii="Times New Roman" w:hAnsi="Times New Roman" w:cs="Times New Roman"/>
                <w:color w:val="000000"/>
                <w:kern w:val="0"/>
                <w:sz w:val="22"/>
                <w:szCs w:val="22"/>
                <w:lang w:eastAsia="zh-CN"/>
              </w:rPr>
              <w:t>相关乡镇政府</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Times New Roman" w:hAnsi="Times New Roman" w:cs="Times New Roman"/>
                <w:color w:val="000000"/>
                <w:kern w:val="0"/>
                <w:sz w:val="22"/>
                <w:szCs w:val="22"/>
              </w:rPr>
            </w:pPr>
            <w:r>
              <w:rPr>
                <w:color w:val="000000"/>
                <w:kern w:val="0"/>
                <w:sz w:val="22"/>
                <w:szCs w:val="22"/>
              </w:rPr>
              <w:t>政府投资</w:t>
            </w:r>
          </w:p>
        </w:tc>
      </w:tr>
      <w:tr>
        <w:tblPrEx>
          <w:shd w:val="clear" w:color="auto" w:fill="auto"/>
          <w:tblCellMar>
            <w:top w:w="0" w:type="dxa"/>
            <w:left w:w="108" w:type="dxa"/>
            <w:bottom w:w="0" w:type="dxa"/>
            <w:right w:w="108" w:type="dxa"/>
          </w:tblCellMar>
        </w:tblPrEx>
        <w:trPr>
          <w:trHeight w:val="975"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Times New Roman" w:hAnsi="Times New Roman" w:eastAsia="仿宋_GB2312"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3</w:t>
            </w:r>
          </w:p>
        </w:tc>
        <w:tc>
          <w:tcPr>
            <w:tcW w:w="185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rPr>
              <w:t>污水处理厂</w:t>
            </w:r>
            <w:r>
              <w:rPr>
                <w:rFonts w:hint="eastAsia" w:ascii="Times New Roman" w:hAnsi="Times New Roman" w:cs="Times New Roman"/>
                <w:color w:val="000000"/>
                <w:kern w:val="0"/>
                <w:sz w:val="22"/>
                <w:szCs w:val="22"/>
                <w:lang w:eastAsia="zh-CN"/>
              </w:rPr>
              <w:t>(</w:t>
            </w:r>
            <w:r>
              <w:rPr>
                <w:rFonts w:hint="default" w:ascii="Times New Roman" w:hAnsi="Times New Roman" w:cs="Times New Roman"/>
                <w:color w:val="000000"/>
                <w:kern w:val="0"/>
                <w:sz w:val="22"/>
                <w:szCs w:val="22"/>
              </w:rPr>
              <w:t>站</w:t>
            </w:r>
            <w:r>
              <w:rPr>
                <w:rFonts w:hint="eastAsia" w:ascii="Times New Roman" w:hAnsi="Times New Roman" w:cs="Times New Roman"/>
                <w:color w:val="000000"/>
                <w:kern w:val="0"/>
                <w:sz w:val="22"/>
                <w:szCs w:val="22"/>
                <w:lang w:eastAsia="zh-CN"/>
              </w:rPr>
              <w:t>)</w:t>
            </w:r>
            <w:r>
              <w:rPr>
                <w:rFonts w:hint="default" w:ascii="Times New Roman" w:hAnsi="Times New Roman" w:cs="Times New Roman"/>
                <w:color w:val="000000"/>
                <w:kern w:val="0"/>
                <w:sz w:val="22"/>
                <w:szCs w:val="22"/>
              </w:rPr>
              <w:t>尾水人工湿地工程</w:t>
            </w:r>
          </w:p>
        </w:tc>
        <w:tc>
          <w:tcPr>
            <w:tcW w:w="626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rPr>
              <w:t>在宁县春荣、和盛、新庄、湘乐、太昌等污水处理厂站建设尾水人工湿地工程</w:t>
            </w:r>
            <w:r>
              <w:rPr>
                <w:rFonts w:hint="default" w:ascii="Times New Roman" w:hAnsi="Times New Roman" w:cs="Times New Roman"/>
                <w:color w:val="000000"/>
                <w:kern w:val="0"/>
                <w:sz w:val="22"/>
                <w:szCs w:val="22"/>
                <w:lang w:val="en-US" w:eastAsia="zh-CN"/>
              </w:rPr>
              <w:t>5</w:t>
            </w:r>
            <w:r>
              <w:rPr>
                <w:rFonts w:hint="default" w:ascii="Times New Roman" w:hAnsi="Times New Roman" w:cs="Times New Roman"/>
                <w:color w:val="000000"/>
                <w:kern w:val="0"/>
                <w:sz w:val="22"/>
                <w:szCs w:val="22"/>
              </w:rPr>
              <w:t>处。</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6500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color w:val="000000"/>
                <w:kern w:val="0"/>
                <w:sz w:val="22"/>
                <w:szCs w:val="22"/>
                <w:lang w:val="en-US" w:eastAsia="zh-CN"/>
              </w:rPr>
            </w:pPr>
            <w:r>
              <w:rPr>
                <w:rFonts w:hint="eastAsia"/>
                <w:color w:val="000000"/>
                <w:kern w:val="0"/>
                <w:sz w:val="22"/>
                <w:szCs w:val="22"/>
                <w:lang w:eastAsia="zh-CN"/>
              </w:rPr>
              <w:t>202</w:t>
            </w:r>
            <w:r>
              <w:rPr>
                <w:rFonts w:hint="eastAsia"/>
                <w:color w:val="000000"/>
                <w:kern w:val="0"/>
                <w:sz w:val="22"/>
                <w:szCs w:val="22"/>
                <w:lang w:val="en-US" w:eastAsia="zh-CN"/>
              </w:rPr>
              <w:t>1</w:t>
            </w:r>
            <w:r>
              <w:rPr>
                <w:rFonts w:hint="eastAsia"/>
                <w:color w:val="000000"/>
                <w:kern w:val="0"/>
                <w:sz w:val="22"/>
                <w:szCs w:val="22"/>
                <w:lang w:eastAsia="zh-CN"/>
              </w:rPr>
              <w:t>-2025年</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default" w:ascii="Times New Roman" w:hAnsi="Times New Roman" w:cs="Times New Roman"/>
                <w:color w:val="000000"/>
                <w:kern w:val="0"/>
                <w:sz w:val="22"/>
                <w:szCs w:val="22"/>
                <w:lang w:val="en-US" w:eastAsia="zh-CN"/>
              </w:rPr>
            </w:pPr>
            <w:r>
              <w:rPr>
                <w:color w:val="000000"/>
                <w:kern w:val="0"/>
                <w:sz w:val="22"/>
                <w:szCs w:val="22"/>
              </w:rPr>
              <w:t>县生态环境局</w:t>
            </w:r>
            <w:r>
              <w:rPr>
                <w:rFonts w:hint="default" w:ascii="Times New Roman" w:hAnsi="Times New Roman" w:cs="Times New Roman"/>
                <w:color w:val="000000"/>
                <w:kern w:val="0"/>
                <w:sz w:val="22"/>
                <w:szCs w:val="22"/>
                <w:lang w:eastAsia="zh-CN"/>
              </w:rPr>
              <w:t>相关乡镇政府</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Times New Roman" w:hAnsi="Times New Roman" w:cs="Times New Roman"/>
                <w:color w:val="000000"/>
                <w:kern w:val="0"/>
                <w:sz w:val="22"/>
                <w:szCs w:val="22"/>
              </w:rPr>
            </w:pPr>
            <w:r>
              <w:rPr>
                <w:color w:val="000000"/>
                <w:kern w:val="0"/>
                <w:sz w:val="22"/>
                <w:szCs w:val="22"/>
              </w:rPr>
              <w:t>政府投资</w:t>
            </w:r>
          </w:p>
        </w:tc>
      </w:tr>
      <w:tr>
        <w:tblPrEx>
          <w:shd w:val="clear" w:color="auto" w:fill="auto"/>
          <w:tblCellMar>
            <w:top w:w="0" w:type="dxa"/>
            <w:left w:w="108" w:type="dxa"/>
            <w:bottom w:w="0" w:type="dxa"/>
            <w:right w:w="108" w:type="dxa"/>
          </w:tblCellMar>
        </w:tblPrEx>
        <w:trPr>
          <w:trHeight w:val="1005"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Times New Roman" w:hAnsi="Times New Roman" w:eastAsia="仿宋_GB2312"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4</w:t>
            </w:r>
          </w:p>
        </w:tc>
        <w:tc>
          <w:tcPr>
            <w:tcW w:w="185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rPr>
              <w:t>饮用水源地规范化建设及环境保护工程</w:t>
            </w:r>
          </w:p>
        </w:tc>
        <w:tc>
          <w:tcPr>
            <w:tcW w:w="626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rPr>
              <w:t>在宁县城区、早胜镇、平子镇、白吉坡水库等</w:t>
            </w:r>
            <w:r>
              <w:rPr>
                <w:rFonts w:hint="default" w:ascii="Times New Roman" w:hAnsi="Times New Roman" w:cs="Times New Roman"/>
                <w:color w:val="000000"/>
                <w:kern w:val="0"/>
                <w:sz w:val="22"/>
                <w:szCs w:val="22"/>
                <w:lang w:val="en-US" w:eastAsia="zh-CN"/>
              </w:rPr>
              <w:t>4</w:t>
            </w:r>
            <w:r>
              <w:rPr>
                <w:rFonts w:hint="default" w:ascii="Times New Roman" w:hAnsi="Times New Roman" w:cs="Times New Roman"/>
                <w:color w:val="000000"/>
                <w:kern w:val="0"/>
                <w:sz w:val="22"/>
                <w:szCs w:val="22"/>
              </w:rPr>
              <w:t>个县级及乡镇饮用水源地实施规范化建设及环境整治保护工程。</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950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color w:val="000000"/>
                <w:kern w:val="0"/>
                <w:sz w:val="22"/>
                <w:szCs w:val="22"/>
                <w:lang w:val="en-US" w:eastAsia="zh-CN"/>
              </w:rPr>
            </w:pPr>
            <w:r>
              <w:rPr>
                <w:rFonts w:hint="eastAsia"/>
                <w:color w:val="000000"/>
                <w:kern w:val="0"/>
                <w:sz w:val="22"/>
                <w:szCs w:val="22"/>
                <w:lang w:eastAsia="zh-CN"/>
              </w:rPr>
              <w:t>202</w:t>
            </w:r>
            <w:r>
              <w:rPr>
                <w:rFonts w:hint="eastAsia"/>
                <w:color w:val="000000"/>
                <w:kern w:val="0"/>
                <w:sz w:val="22"/>
                <w:szCs w:val="22"/>
                <w:lang w:val="en-US" w:eastAsia="zh-CN"/>
              </w:rPr>
              <w:t>1</w:t>
            </w:r>
            <w:r>
              <w:rPr>
                <w:rFonts w:hint="eastAsia"/>
                <w:color w:val="000000"/>
                <w:kern w:val="0"/>
                <w:sz w:val="22"/>
                <w:szCs w:val="22"/>
                <w:lang w:eastAsia="zh-CN"/>
              </w:rPr>
              <w:t>-2025年</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default" w:ascii="Times New Roman" w:hAnsi="Times New Roman" w:cs="Times New Roman"/>
                <w:color w:val="000000"/>
                <w:kern w:val="0"/>
                <w:sz w:val="22"/>
                <w:szCs w:val="22"/>
                <w:lang w:val="en-US" w:eastAsia="zh-CN"/>
              </w:rPr>
            </w:pPr>
            <w:r>
              <w:rPr>
                <w:color w:val="000000"/>
                <w:kern w:val="0"/>
                <w:sz w:val="22"/>
                <w:szCs w:val="22"/>
              </w:rPr>
              <w:t>县生态环境局</w:t>
            </w:r>
            <w:r>
              <w:rPr>
                <w:rFonts w:hint="default" w:ascii="Times New Roman" w:hAnsi="Times New Roman" w:cs="Times New Roman"/>
                <w:color w:val="000000"/>
                <w:kern w:val="0"/>
                <w:sz w:val="22"/>
                <w:szCs w:val="22"/>
                <w:lang w:eastAsia="zh-CN"/>
              </w:rPr>
              <w:t>相关乡镇政府</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Times New Roman" w:hAnsi="Times New Roman" w:cs="Times New Roman"/>
                <w:color w:val="000000"/>
                <w:kern w:val="0"/>
                <w:sz w:val="22"/>
                <w:szCs w:val="22"/>
              </w:rPr>
            </w:pPr>
            <w:r>
              <w:rPr>
                <w:color w:val="000000"/>
                <w:kern w:val="0"/>
                <w:sz w:val="22"/>
                <w:szCs w:val="22"/>
              </w:rPr>
              <w:t>政府投资</w:t>
            </w:r>
          </w:p>
        </w:tc>
      </w:tr>
      <w:tr>
        <w:tblPrEx>
          <w:shd w:val="clear" w:color="auto" w:fill="auto"/>
          <w:tblCellMar>
            <w:top w:w="0" w:type="dxa"/>
            <w:left w:w="108" w:type="dxa"/>
            <w:bottom w:w="0" w:type="dxa"/>
            <w:right w:w="108" w:type="dxa"/>
          </w:tblCellMar>
        </w:tblPrEx>
        <w:trPr>
          <w:trHeight w:val="840"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Times New Roman" w:hAnsi="Times New Roman" w:eastAsia="仿宋_GB2312"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5</w:t>
            </w:r>
          </w:p>
        </w:tc>
        <w:tc>
          <w:tcPr>
            <w:tcW w:w="185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rPr>
              <w:t>重点流域水生态环境状况调查项目</w:t>
            </w:r>
          </w:p>
        </w:tc>
        <w:tc>
          <w:tcPr>
            <w:tcW w:w="626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rPr>
              <w:t>针对马莲河、蒲河地表水汇水范围内的生态系统</w:t>
            </w:r>
            <w:r>
              <w:rPr>
                <w:rFonts w:hint="eastAsia" w:ascii="Times New Roman" w:hAnsi="Times New Roman" w:cs="Times New Roman"/>
                <w:color w:val="000000"/>
                <w:kern w:val="0"/>
                <w:sz w:val="22"/>
                <w:szCs w:val="22"/>
                <w:lang w:eastAsia="zh-CN"/>
              </w:rPr>
              <w:t>进行</w:t>
            </w:r>
            <w:r>
              <w:rPr>
                <w:rFonts w:hint="default" w:ascii="Times New Roman" w:hAnsi="Times New Roman" w:cs="Times New Roman"/>
                <w:color w:val="000000"/>
                <w:kern w:val="0"/>
                <w:sz w:val="22"/>
                <w:szCs w:val="22"/>
              </w:rPr>
              <w:t>调查，主要在流域内布设水质监测点位、</w:t>
            </w:r>
            <w:r>
              <w:rPr>
                <w:rFonts w:hint="eastAsia" w:ascii="Times New Roman" w:hAnsi="Times New Roman" w:cs="Times New Roman"/>
                <w:color w:val="000000"/>
                <w:kern w:val="0"/>
                <w:sz w:val="22"/>
                <w:szCs w:val="22"/>
                <w:lang w:eastAsia="zh-CN"/>
              </w:rPr>
              <w:t>开展</w:t>
            </w:r>
            <w:r>
              <w:rPr>
                <w:rFonts w:hint="default" w:ascii="Times New Roman" w:hAnsi="Times New Roman" w:cs="Times New Roman"/>
                <w:color w:val="000000"/>
                <w:kern w:val="0"/>
                <w:sz w:val="22"/>
                <w:szCs w:val="22"/>
              </w:rPr>
              <w:t>水质检测、流域生态系统状态调查，完成各流域水资源开发利用调查</w:t>
            </w:r>
            <w:r>
              <w:rPr>
                <w:rFonts w:hint="default" w:ascii="Times New Roman" w:hAnsi="Times New Roman" w:cs="Times New Roman"/>
                <w:color w:val="000000"/>
                <w:kern w:val="0"/>
                <w:sz w:val="22"/>
                <w:szCs w:val="22"/>
                <w:lang w:eastAsia="zh-CN"/>
              </w:rPr>
              <w:t>，同时开展</w:t>
            </w:r>
            <w:r>
              <w:rPr>
                <w:rFonts w:hint="default" w:ascii="Times New Roman" w:hAnsi="Times New Roman" w:cs="Times New Roman"/>
                <w:color w:val="000000"/>
                <w:kern w:val="0"/>
                <w:sz w:val="22"/>
                <w:szCs w:val="22"/>
              </w:rPr>
              <w:t>流域生态服务功能调查</w:t>
            </w:r>
            <w:r>
              <w:rPr>
                <w:rFonts w:hint="default" w:ascii="Times New Roman" w:hAnsi="Times New Roman" w:cs="Times New Roman"/>
                <w:color w:val="000000"/>
                <w:kern w:val="0"/>
                <w:sz w:val="22"/>
                <w:szCs w:val="22"/>
                <w:lang w:eastAsia="zh-CN"/>
              </w:rPr>
              <w:t>和</w:t>
            </w:r>
            <w:r>
              <w:rPr>
                <w:rFonts w:hint="default" w:ascii="Times New Roman" w:hAnsi="Times New Roman" w:cs="Times New Roman"/>
                <w:color w:val="000000"/>
                <w:kern w:val="0"/>
                <w:sz w:val="22"/>
                <w:szCs w:val="22"/>
              </w:rPr>
              <w:t>生态环境保护调控管理措施调查</w:t>
            </w:r>
            <w:r>
              <w:rPr>
                <w:rFonts w:hint="default" w:ascii="Times New Roman" w:hAnsi="Times New Roman" w:cs="Times New Roman"/>
                <w:color w:val="000000"/>
                <w:kern w:val="0"/>
                <w:sz w:val="22"/>
                <w:szCs w:val="22"/>
                <w:lang w:eastAsia="zh-CN"/>
              </w:rPr>
              <w:t>，</w:t>
            </w:r>
            <w:r>
              <w:rPr>
                <w:rFonts w:hint="default" w:ascii="Times New Roman" w:hAnsi="Times New Roman" w:cs="Times New Roman"/>
                <w:color w:val="000000"/>
                <w:kern w:val="0"/>
                <w:sz w:val="22"/>
                <w:szCs w:val="22"/>
              </w:rPr>
              <w:t>最终</w:t>
            </w:r>
            <w:r>
              <w:rPr>
                <w:rFonts w:hint="default" w:ascii="Times New Roman" w:hAnsi="Times New Roman" w:cs="Times New Roman"/>
                <w:color w:val="000000"/>
                <w:kern w:val="0"/>
                <w:sz w:val="22"/>
                <w:szCs w:val="22"/>
                <w:lang w:eastAsia="zh-CN"/>
              </w:rPr>
              <w:t>协助</w:t>
            </w:r>
            <w:r>
              <w:rPr>
                <w:rFonts w:hint="default" w:ascii="Times New Roman" w:hAnsi="Times New Roman" w:cs="Times New Roman"/>
                <w:color w:val="000000"/>
                <w:kern w:val="0"/>
                <w:sz w:val="22"/>
                <w:szCs w:val="22"/>
              </w:rPr>
              <w:t>完成庆阳市水生态综合评估。</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16</w:t>
            </w:r>
            <w:r>
              <w:rPr>
                <w:rFonts w:hint="default" w:ascii="Times New Roman" w:hAnsi="Times New Roman" w:cs="Times New Roman"/>
                <w:color w:val="000000"/>
                <w:kern w:val="0"/>
                <w:sz w:val="22"/>
                <w:szCs w:val="22"/>
              </w:rPr>
              <w:t>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color w:val="000000"/>
                <w:kern w:val="0"/>
                <w:sz w:val="22"/>
                <w:szCs w:val="22"/>
                <w:lang w:val="en-US" w:eastAsia="zh-CN"/>
              </w:rPr>
            </w:pPr>
            <w:r>
              <w:rPr>
                <w:rFonts w:hint="eastAsia"/>
                <w:color w:val="000000"/>
                <w:kern w:val="0"/>
                <w:sz w:val="22"/>
                <w:szCs w:val="22"/>
                <w:lang w:eastAsia="zh-CN"/>
              </w:rPr>
              <w:t>202</w:t>
            </w:r>
            <w:r>
              <w:rPr>
                <w:rFonts w:hint="eastAsia"/>
                <w:color w:val="000000"/>
                <w:kern w:val="0"/>
                <w:sz w:val="22"/>
                <w:szCs w:val="22"/>
                <w:lang w:val="en-US" w:eastAsia="zh-CN"/>
              </w:rPr>
              <w:t>2</w:t>
            </w:r>
            <w:r>
              <w:rPr>
                <w:rFonts w:hint="eastAsia"/>
                <w:color w:val="000000"/>
                <w:kern w:val="0"/>
                <w:sz w:val="22"/>
                <w:szCs w:val="22"/>
                <w:lang w:eastAsia="zh-CN"/>
              </w:rPr>
              <w:t>-202</w:t>
            </w:r>
            <w:r>
              <w:rPr>
                <w:rFonts w:hint="eastAsia"/>
                <w:color w:val="000000"/>
                <w:kern w:val="0"/>
                <w:sz w:val="22"/>
                <w:szCs w:val="22"/>
                <w:lang w:val="en-US" w:eastAsia="zh-CN"/>
              </w:rPr>
              <w:t>4</w:t>
            </w:r>
            <w:r>
              <w:rPr>
                <w:rFonts w:hint="eastAsia"/>
                <w:color w:val="000000"/>
                <w:kern w:val="0"/>
                <w:sz w:val="22"/>
                <w:szCs w:val="22"/>
                <w:lang w:eastAsia="zh-CN"/>
              </w:rPr>
              <w:t>年</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color w:val="000000"/>
                <w:kern w:val="0"/>
                <w:sz w:val="22"/>
                <w:szCs w:val="22"/>
                <w:lang w:val="en-US" w:eastAsia="zh-CN"/>
              </w:rPr>
            </w:pPr>
            <w:r>
              <w:rPr>
                <w:color w:val="000000"/>
                <w:kern w:val="0"/>
                <w:sz w:val="22"/>
                <w:szCs w:val="22"/>
              </w:rPr>
              <w:t>县生态环境局</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Times New Roman" w:hAnsi="Times New Roman" w:cs="Times New Roman"/>
                <w:color w:val="000000"/>
                <w:kern w:val="0"/>
                <w:sz w:val="22"/>
                <w:szCs w:val="22"/>
              </w:rPr>
            </w:pPr>
            <w:r>
              <w:rPr>
                <w:color w:val="000000"/>
                <w:kern w:val="0"/>
                <w:sz w:val="22"/>
                <w:szCs w:val="22"/>
              </w:rPr>
              <w:t>政府投资</w:t>
            </w:r>
          </w:p>
        </w:tc>
      </w:tr>
      <w:tr>
        <w:tblPrEx>
          <w:shd w:val="clear" w:color="auto" w:fill="auto"/>
          <w:tblCellMar>
            <w:top w:w="0" w:type="dxa"/>
            <w:left w:w="108" w:type="dxa"/>
            <w:bottom w:w="0" w:type="dxa"/>
            <w:right w:w="108" w:type="dxa"/>
          </w:tblCellMar>
        </w:tblPrEx>
        <w:trPr>
          <w:trHeight w:val="840"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Times New Roman" w:hAnsi="Times New Roman" w:eastAsia="仿宋_GB2312"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6</w:t>
            </w:r>
          </w:p>
        </w:tc>
        <w:tc>
          <w:tcPr>
            <w:tcW w:w="185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污水处理厂</w:t>
            </w:r>
            <w:r>
              <w:rPr>
                <w:rFonts w:hint="eastAsia" w:ascii="Times New Roman" w:hAnsi="Times New Roman" w:cs="Times New Roman"/>
                <w:color w:val="000000"/>
                <w:kern w:val="0"/>
                <w:sz w:val="22"/>
                <w:szCs w:val="22"/>
                <w:lang w:eastAsia="zh-CN"/>
              </w:rPr>
              <w:t>(</w:t>
            </w:r>
            <w:r>
              <w:rPr>
                <w:rFonts w:hint="default" w:ascii="Times New Roman" w:hAnsi="Times New Roman" w:cs="Times New Roman"/>
                <w:color w:val="000000"/>
                <w:kern w:val="0"/>
                <w:sz w:val="22"/>
                <w:szCs w:val="22"/>
              </w:rPr>
              <w:t>站</w:t>
            </w:r>
            <w:r>
              <w:rPr>
                <w:rFonts w:hint="eastAsia" w:ascii="Times New Roman" w:hAnsi="Times New Roman" w:cs="Times New Roman"/>
                <w:color w:val="000000"/>
                <w:kern w:val="0"/>
                <w:sz w:val="22"/>
                <w:szCs w:val="22"/>
                <w:lang w:eastAsia="zh-CN"/>
              </w:rPr>
              <w:t>)</w:t>
            </w:r>
            <w:r>
              <w:rPr>
                <w:rFonts w:hint="default" w:ascii="Times New Roman" w:hAnsi="Times New Roman" w:cs="Times New Roman"/>
                <w:color w:val="000000"/>
                <w:kern w:val="0"/>
                <w:sz w:val="22"/>
                <w:szCs w:val="22"/>
              </w:rPr>
              <w:t>建设及提标改造</w:t>
            </w:r>
          </w:p>
          <w:p>
            <w:pPr>
              <w:widowControl/>
              <w:spacing w:line="240" w:lineRule="auto"/>
              <w:ind w:firstLine="0" w:firstLineChars="0"/>
              <w:jc w:val="left"/>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rPr>
              <w:t>工程</w:t>
            </w:r>
          </w:p>
        </w:tc>
        <w:tc>
          <w:tcPr>
            <w:tcW w:w="626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default" w:ascii="Times New Roman" w:hAnsi="Times New Roman" w:cs="Times New Roman"/>
                <w:color w:val="000000"/>
                <w:kern w:val="0"/>
                <w:sz w:val="22"/>
                <w:szCs w:val="22"/>
                <w:lang w:val="en-US" w:eastAsia="zh-CN"/>
              </w:rPr>
            </w:pPr>
            <w:r>
              <w:rPr>
                <w:rFonts w:hint="eastAsia" w:ascii="Times New Roman" w:hAnsi="Times New Roman" w:cs="Times New Roman"/>
                <w:color w:val="000000"/>
                <w:kern w:val="0"/>
                <w:sz w:val="22"/>
                <w:szCs w:val="22"/>
                <w:lang w:eastAsia="zh-CN"/>
              </w:rPr>
              <w:t>完成</w:t>
            </w:r>
            <w:r>
              <w:rPr>
                <w:rFonts w:hint="default" w:ascii="Times New Roman" w:hAnsi="Times New Roman" w:cs="Times New Roman"/>
                <w:color w:val="000000"/>
                <w:kern w:val="0"/>
                <w:sz w:val="22"/>
                <w:szCs w:val="22"/>
              </w:rPr>
              <w:t>宁县和盛镇污水处理厂提标改造</w:t>
            </w:r>
            <w:r>
              <w:rPr>
                <w:rFonts w:hint="eastAsia" w:ascii="Times New Roman" w:hAnsi="Times New Roman" w:cs="Times New Roman"/>
                <w:color w:val="000000"/>
                <w:kern w:val="0"/>
                <w:sz w:val="22"/>
                <w:szCs w:val="22"/>
                <w:lang w:eastAsia="zh-CN"/>
              </w:rPr>
              <w:t>工程</w:t>
            </w:r>
            <w:r>
              <w:rPr>
                <w:rFonts w:hint="default" w:ascii="Times New Roman" w:hAnsi="Times New Roman" w:cs="Times New Roman"/>
                <w:color w:val="000000"/>
                <w:kern w:val="0"/>
                <w:sz w:val="22"/>
                <w:szCs w:val="22"/>
              </w:rPr>
              <w:t>，</w:t>
            </w:r>
            <w:r>
              <w:rPr>
                <w:rFonts w:hint="eastAsia" w:ascii="Times New Roman" w:hAnsi="Times New Roman" w:cs="Times New Roman"/>
                <w:color w:val="000000"/>
                <w:kern w:val="0"/>
                <w:sz w:val="22"/>
                <w:szCs w:val="22"/>
                <w:lang w:eastAsia="zh-CN"/>
              </w:rPr>
              <w:t>确保</w:t>
            </w:r>
            <w:r>
              <w:rPr>
                <w:rFonts w:hint="default" w:ascii="Times New Roman" w:hAnsi="Times New Roman" w:cs="Times New Roman"/>
                <w:color w:val="000000"/>
                <w:kern w:val="0"/>
                <w:sz w:val="22"/>
                <w:szCs w:val="22"/>
              </w:rPr>
              <w:t>出水</w:t>
            </w:r>
            <w:r>
              <w:rPr>
                <w:rFonts w:hint="eastAsia" w:ascii="Times New Roman" w:hAnsi="Times New Roman" w:cs="Times New Roman"/>
                <w:color w:val="000000"/>
                <w:kern w:val="0"/>
                <w:sz w:val="22"/>
                <w:szCs w:val="22"/>
                <w:lang w:eastAsia="zh-CN"/>
              </w:rPr>
              <w:t>水质达到</w:t>
            </w:r>
            <w:r>
              <w:rPr>
                <w:rFonts w:hint="default" w:ascii="Times New Roman" w:hAnsi="Times New Roman" w:cs="Times New Roman"/>
                <w:color w:val="000000"/>
                <w:kern w:val="0"/>
                <w:sz w:val="22"/>
                <w:szCs w:val="22"/>
              </w:rPr>
              <w:t>一级A排放标准</w:t>
            </w:r>
            <w:r>
              <w:rPr>
                <w:rFonts w:hint="default" w:ascii="Times New Roman" w:hAnsi="Times New Roman" w:cs="Times New Roman"/>
                <w:color w:val="000000"/>
                <w:kern w:val="0"/>
                <w:sz w:val="22"/>
                <w:szCs w:val="22"/>
                <w:lang w:eastAsia="zh-CN"/>
              </w:rPr>
              <w:t>。</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6500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color w:val="000000"/>
                <w:kern w:val="0"/>
                <w:sz w:val="22"/>
                <w:szCs w:val="22"/>
                <w:lang w:val="en-US" w:eastAsia="zh-CN"/>
              </w:rPr>
            </w:pPr>
            <w:r>
              <w:rPr>
                <w:rFonts w:hint="eastAsia"/>
                <w:color w:val="000000"/>
                <w:kern w:val="0"/>
                <w:sz w:val="22"/>
                <w:szCs w:val="22"/>
                <w:lang w:eastAsia="zh-CN"/>
              </w:rPr>
              <w:t>202</w:t>
            </w:r>
            <w:r>
              <w:rPr>
                <w:rFonts w:hint="eastAsia"/>
                <w:color w:val="000000"/>
                <w:kern w:val="0"/>
                <w:sz w:val="22"/>
                <w:szCs w:val="22"/>
                <w:lang w:val="en-US" w:eastAsia="zh-CN"/>
              </w:rPr>
              <w:t>1</w:t>
            </w:r>
            <w:r>
              <w:rPr>
                <w:rFonts w:hint="eastAsia"/>
                <w:color w:val="000000"/>
                <w:kern w:val="0"/>
                <w:sz w:val="22"/>
                <w:szCs w:val="22"/>
                <w:lang w:eastAsia="zh-CN"/>
              </w:rPr>
              <w:t>-2025年</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eastAsia="zh-CN"/>
              </w:rPr>
              <w:t>和盛镇人民</w:t>
            </w:r>
            <w:r>
              <w:rPr>
                <w:rFonts w:hint="default" w:ascii="Times New Roman" w:hAnsi="Times New Roman" w:cs="Times New Roman"/>
                <w:color w:val="000000"/>
                <w:kern w:val="0"/>
                <w:sz w:val="22"/>
                <w:szCs w:val="22"/>
              </w:rPr>
              <w:t>政府</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Times New Roman" w:hAnsi="Times New Roman" w:cs="Times New Roman"/>
                <w:color w:val="000000"/>
                <w:kern w:val="0"/>
                <w:sz w:val="22"/>
                <w:szCs w:val="22"/>
              </w:rPr>
            </w:pPr>
            <w:r>
              <w:rPr>
                <w:color w:val="000000"/>
                <w:kern w:val="0"/>
                <w:sz w:val="22"/>
                <w:szCs w:val="22"/>
              </w:rPr>
              <w:t>政府投资</w:t>
            </w:r>
          </w:p>
        </w:tc>
      </w:tr>
      <w:tr>
        <w:tblPrEx>
          <w:shd w:val="clear" w:color="auto" w:fill="auto"/>
          <w:tblCellMar>
            <w:top w:w="0" w:type="dxa"/>
            <w:left w:w="108" w:type="dxa"/>
            <w:bottom w:w="0" w:type="dxa"/>
            <w:right w:w="108" w:type="dxa"/>
          </w:tblCellMar>
        </w:tblPrEx>
        <w:trPr>
          <w:trHeight w:val="600"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eastAsia="等线"/>
                <w:color w:val="000000"/>
                <w:kern w:val="0"/>
                <w:sz w:val="21"/>
                <w:szCs w:val="21"/>
                <w:lang w:eastAsia="zh-CN"/>
              </w:rPr>
            </w:pPr>
            <w:r>
              <w:rPr>
                <w:rFonts w:hint="eastAsia" w:eastAsia="等线"/>
                <w:color w:val="000000"/>
                <w:kern w:val="0"/>
                <w:sz w:val="21"/>
                <w:szCs w:val="21"/>
                <w:lang w:val="en-US" w:eastAsia="zh-CN"/>
              </w:rPr>
              <w:t>7</w:t>
            </w:r>
          </w:p>
        </w:tc>
        <w:tc>
          <w:tcPr>
            <w:tcW w:w="185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eastAsia="等线"/>
                <w:color w:val="000000"/>
                <w:kern w:val="0"/>
                <w:sz w:val="22"/>
                <w:szCs w:val="22"/>
              </w:rPr>
            </w:pPr>
            <w:r>
              <w:rPr>
                <w:color w:val="000000"/>
                <w:kern w:val="0"/>
                <w:sz w:val="22"/>
                <w:szCs w:val="22"/>
              </w:rPr>
              <w:t>宁县小流域综合治理项目</w:t>
            </w:r>
          </w:p>
        </w:tc>
        <w:tc>
          <w:tcPr>
            <w:tcW w:w="626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eastAsia="等线"/>
                <w:color w:val="000000"/>
                <w:kern w:val="0"/>
                <w:sz w:val="22"/>
                <w:szCs w:val="22"/>
              </w:rPr>
            </w:pPr>
            <w:r>
              <w:rPr>
                <w:color w:val="000000"/>
                <w:kern w:val="0"/>
                <w:sz w:val="22"/>
                <w:szCs w:val="22"/>
              </w:rPr>
              <w:t>治理</w:t>
            </w:r>
            <w:r>
              <w:rPr>
                <w:rFonts w:eastAsia="等线"/>
                <w:color w:val="000000"/>
                <w:kern w:val="0"/>
                <w:sz w:val="22"/>
                <w:szCs w:val="22"/>
              </w:rPr>
              <w:t>6</w:t>
            </w:r>
            <w:r>
              <w:rPr>
                <w:color w:val="000000"/>
                <w:kern w:val="0"/>
                <w:sz w:val="22"/>
                <w:szCs w:val="22"/>
              </w:rPr>
              <w:t>条流域</w:t>
            </w:r>
            <w:r>
              <w:rPr>
                <w:rFonts w:eastAsia="等线"/>
                <w:color w:val="000000"/>
                <w:kern w:val="0"/>
                <w:sz w:val="22"/>
                <w:szCs w:val="22"/>
              </w:rPr>
              <w:t>93.64</w:t>
            </w:r>
            <w:r>
              <w:rPr>
                <w:color w:val="000000"/>
                <w:kern w:val="0"/>
                <w:sz w:val="22"/>
                <w:szCs w:val="22"/>
              </w:rPr>
              <w:t>平方公里，修建梯田</w:t>
            </w:r>
            <w:r>
              <w:rPr>
                <w:rFonts w:eastAsia="等线"/>
                <w:color w:val="000000"/>
                <w:kern w:val="0"/>
                <w:sz w:val="22"/>
                <w:szCs w:val="22"/>
              </w:rPr>
              <w:t>368h</w:t>
            </w:r>
            <w:r>
              <w:rPr>
                <w:rFonts w:eastAsia="Segoe UI Symbol"/>
                <w:color w:val="000000"/>
                <w:kern w:val="0"/>
                <w:sz w:val="22"/>
                <w:szCs w:val="22"/>
              </w:rPr>
              <w:t>㎡</w:t>
            </w:r>
            <w:r>
              <w:rPr>
                <w:color w:val="000000"/>
                <w:kern w:val="0"/>
                <w:sz w:val="22"/>
                <w:szCs w:val="22"/>
              </w:rPr>
              <w:t>、造林</w:t>
            </w:r>
            <w:r>
              <w:rPr>
                <w:rFonts w:eastAsia="等线"/>
                <w:color w:val="000000"/>
                <w:kern w:val="0"/>
                <w:sz w:val="22"/>
                <w:szCs w:val="22"/>
              </w:rPr>
              <w:t>7020h</w:t>
            </w:r>
            <w:r>
              <w:rPr>
                <w:rFonts w:eastAsia="Segoe UI Symbol"/>
                <w:color w:val="000000"/>
                <w:kern w:val="0"/>
                <w:sz w:val="22"/>
                <w:szCs w:val="22"/>
              </w:rPr>
              <w:t>㎡</w:t>
            </w:r>
            <w:r>
              <w:rPr>
                <w:color w:val="000000"/>
                <w:kern w:val="0"/>
                <w:sz w:val="22"/>
                <w:szCs w:val="22"/>
              </w:rPr>
              <w:t>、种草</w:t>
            </w:r>
            <w:r>
              <w:rPr>
                <w:rFonts w:eastAsia="等线"/>
                <w:color w:val="000000"/>
                <w:kern w:val="0"/>
                <w:sz w:val="22"/>
                <w:szCs w:val="22"/>
              </w:rPr>
              <w:t>740h</w:t>
            </w:r>
            <w:r>
              <w:rPr>
                <w:rFonts w:eastAsia="Segoe UI Symbol"/>
                <w:color w:val="000000"/>
                <w:kern w:val="0"/>
                <w:sz w:val="22"/>
                <w:szCs w:val="22"/>
              </w:rPr>
              <w:t>㎡</w:t>
            </w:r>
            <w:r>
              <w:rPr>
                <w:color w:val="000000"/>
                <w:kern w:val="0"/>
                <w:sz w:val="22"/>
                <w:szCs w:val="22"/>
              </w:rPr>
              <w:t>、封禁治理</w:t>
            </w:r>
            <w:r>
              <w:rPr>
                <w:rFonts w:eastAsia="等线"/>
                <w:color w:val="000000"/>
                <w:kern w:val="0"/>
                <w:sz w:val="22"/>
                <w:szCs w:val="22"/>
              </w:rPr>
              <w:t>1236</w:t>
            </w:r>
            <w:r>
              <w:rPr>
                <w:color w:val="000000"/>
                <w:kern w:val="0"/>
                <w:sz w:val="22"/>
                <w:szCs w:val="22"/>
              </w:rPr>
              <w:t>平方公里、沟头防护</w:t>
            </w:r>
            <w:r>
              <w:rPr>
                <w:rFonts w:eastAsia="等线"/>
                <w:color w:val="000000"/>
                <w:kern w:val="0"/>
                <w:sz w:val="22"/>
                <w:szCs w:val="22"/>
              </w:rPr>
              <w:t>53.28km</w:t>
            </w:r>
            <w:r>
              <w:rPr>
                <w:color w:val="000000"/>
                <w:kern w:val="0"/>
                <w:sz w:val="22"/>
                <w:szCs w:val="22"/>
              </w:rPr>
              <w:t>、水保小工程</w:t>
            </w:r>
            <w:r>
              <w:rPr>
                <w:rFonts w:eastAsia="等线"/>
                <w:color w:val="000000"/>
                <w:kern w:val="0"/>
                <w:sz w:val="22"/>
                <w:szCs w:val="22"/>
              </w:rPr>
              <w:t>663</w:t>
            </w:r>
            <w:r>
              <w:rPr>
                <w:color w:val="000000"/>
                <w:kern w:val="0"/>
                <w:sz w:val="22"/>
                <w:szCs w:val="22"/>
              </w:rPr>
              <w:t>处</w:t>
            </w:r>
            <w:r>
              <w:rPr>
                <w:rFonts w:eastAsia="等线"/>
                <w:color w:val="000000"/>
                <w:kern w:val="0"/>
                <w:sz w:val="22"/>
                <w:szCs w:val="22"/>
              </w:rPr>
              <w:t>(</w:t>
            </w:r>
            <w:r>
              <w:rPr>
                <w:color w:val="000000"/>
                <w:kern w:val="0"/>
                <w:sz w:val="22"/>
                <w:szCs w:val="22"/>
              </w:rPr>
              <w:t>座</w:t>
            </w:r>
            <w:r>
              <w:rPr>
                <w:rFonts w:eastAsia="等线"/>
                <w:color w:val="000000"/>
                <w:kern w:val="0"/>
                <w:sz w:val="22"/>
                <w:szCs w:val="22"/>
              </w:rPr>
              <w:t>)</w:t>
            </w:r>
            <w:r>
              <w:rPr>
                <w:color w:val="000000"/>
                <w:kern w:val="0"/>
                <w:sz w:val="22"/>
                <w:szCs w:val="22"/>
              </w:rPr>
              <w:t>。</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rFonts w:eastAsia="等线"/>
                <w:color w:val="000000"/>
                <w:kern w:val="0"/>
                <w:sz w:val="22"/>
                <w:szCs w:val="22"/>
              </w:rPr>
              <w:t>3280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rFonts w:eastAsia="等线"/>
                <w:color w:val="000000"/>
                <w:kern w:val="0"/>
                <w:sz w:val="22"/>
                <w:szCs w:val="22"/>
              </w:rPr>
              <w:t>2021-2025</w:t>
            </w:r>
            <w:r>
              <w:rPr>
                <w:color w:val="000000"/>
                <w:kern w:val="0"/>
                <w:sz w:val="22"/>
                <w:szCs w:val="22"/>
              </w:rPr>
              <w:t>年</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sz w:val="22"/>
                <w:szCs w:val="22"/>
              </w:rPr>
            </w:pPr>
            <w:r>
              <w:rPr>
                <w:color w:val="000000"/>
                <w:kern w:val="0"/>
                <w:sz w:val="22"/>
                <w:szCs w:val="22"/>
              </w:rPr>
              <w:t>县自然资源局</w:t>
            </w:r>
          </w:p>
          <w:p>
            <w:pPr>
              <w:widowControl/>
              <w:spacing w:line="240" w:lineRule="auto"/>
              <w:ind w:firstLine="0" w:firstLineChars="0"/>
              <w:jc w:val="center"/>
              <w:rPr>
                <w:rFonts w:hint="eastAsia" w:eastAsia="仿宋_GB2312"/>
                <w:color w:val="000000"/>
                <w:kern w:val="0"/>
                <w:sz w:val="22"/>
                <w:szCs w:val="22"/>
                <w:lang w:eastAsia="zh-CN"/>
              </w:rPr>
            </w:pPr>
            <w:r>
              <w:rPr>
                <w:rFonts w:hint="eastAsia"/>
                <w:color w:val="000000"/>
                <w:kern w:val="0"/>
                <w:sz w:val="22"/>
                <w:szCs w:val="22"/>
                <w:lang w:eastAsia="zh-CN"/>
              </w:rPr>
              <w:t>县水保局</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sz w:val="22"/>
                <w:szCs w:val="22"/>
              </w:rPr>
            </w:pPr>
            <w:r>
              <w:rPr>
                <w:color w:val="000000"/>
                <w:kern w:val="0"/>
                <w:sz w:val="22"/>
                <w:szCs w:val="22"/>
              </w:rPr>
              <w:t>政府投资</w:t>
            </w:r>
          </w:p>
        </w:tc>
      </w:tr>
      <w:tr>
        <w:tblPrEx>
          <w:shd w:val="clear" w:color="auto" w:fill="auto"/>
          <w:tblCellMar>
            <w:top w:w="0" w:type="dxa"/>
            <w:left w:w="108" w:type="dxa"/>
            <w:bottom w:w="0" w:type="dxa"/>
            <w:right w:w="108" w:type="dxa"/>
          </w:tblCellMar>
        </w:tblPrEx>
        <w:trPr>
          <w:trHeight w:val="660"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eastAsia="等线"/>
                <w:color w:val="000000"/>
                <w:kern w:val="0"/>
                <w:sz w:val="21"/>
                <w:szCs w:val="21"/>
                <w:lang w:eastAsia="zh-CN"/>
              </w:rPr>
            </w:pPr>
            <w:r>
              <w:rPr>
                <w:rFonts w:hint="eastAsia" w:eastAsia="等线"/>
                <w:color w:val="000000"/>
                <w:kern w:val="0"/>
                <w:sz w:val="21"/>
                <w:szCs w:val="21"/>
                <w:lang w:val="en-US" w:eastAsia="zh-CN"/>
              </w:rPr>
              <w:t>8</w:t>
            </w:r>
          </w:p>
        </w:tc>
        <w:tc>
          <w:tcPr>
            <w:tcW w:w="185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eastAsia="等线"/>
                <w:color w:val="000000"/>
                <w:kern w:val="0"/>
                <w:sz w:val="22"/>
                <w:szCs w:val="22"/>
              </w:rPr>
            </w:pPr>
            <w:r>
              <w:rPr>
                <w:color w:val="000000"/>
                <w:kern w:val="0"/>
                <w:sz w:val="22"/>
                <w:szCs w:val="22"/>
              </w:rPr>
              <w:t>宁县国土绿化项目</w:t>
            </w:r>
          </w:p>
        </w:tc>
        <w:tc>
          <w:tcPr>
            <w:tcW w:w="626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eastAsia="等线"/>
                <w:color w:val="000000"/>
                <w:kern w:val="0"/>
                <w:sz w:val="22"/>
                <w:szCs w:val="22"/>
              </w:rPr>
            </w:pPr>
            <w:r>
              <w:rPr>
                <w:color w:val="000000"/>
                <w:kern w:val="0"/>
                <w:sz w:val="22"/>
                <w:szCs w:val="22"/>
              </w:rPr>
              <w:t>每年完成</w:t>
            </w:r>
            <w:r>
              <w:rPr>
                <w:rFonts w:eastAsia="等线"/>
                <w:color w:val="000000"/>
                <w:kern w:val="0"/>
                <w:sz w:val="22"/>
                <w:szCs w:val="22"/>
              </w:rPr>
              <w:t>5</w:t>
            </w:r>
            <w:r>
              <w:rPr>
                <w:color w:val="000000"/>
                <w:kern w:val="0"/>
                <w:sz w:val="22"/>
                <w:szCs w:val="22"/>
              </w:rPr>
              <w:t>万亩人工造林，共计完成</w:t>
            </w:r>
            <w:r>
              <w:rPr>
                <w:rFonts w:eastAsia="等线"/>
                <w:color w:val="000000"/>
                <w:kern w:val="0"/>
                <w:sz w:val="22"/>
                <w:szCs w:val="22"/>
              </w:rPr>
              <w:t>25</w:t>
            </w:r>
            <w:r>
              <w:rPr>
                <w:color w:val="000000"/>
                <w:kern w:val="0"/>
                <w:sz w:val="22"/>
                <w:szCs w:val="22"/>
              </w:rPr>
              <w:t>万亩人工造林。</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rFonts w:eastAsia="等线"/>
                <w:color w:val="000000"/>
                <w:kern w:val="0"/>
                <w:sz w:val="22"/>
                <w:szCs w:val="22"/>
              </w:rPr>
              <w:t>9000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rFonts w:eastAsia="等线"/>
                <w:color w:val="000000"/>
                <w:kern w:val="0"/>
                <w:sz w:val="22"/>
                <w:szCs w:val="22"/>
              </w:rPr>
              <w:t>2021-2025</w:t>
            </w:r>
            <w:r>
              <w:rPr>
                <w:color w:val="000000"/>
                <w:kern w:val="0"/>
                <w:sz w:val="22"/>
                <w:szCs w:val="22"/>
              </w:rPr>
              <w:t>年</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eastAsia="仿宋_GB2312"/>
                <w:color w:val="000000"/>
                <w:kern w:val="0"/>
                <w:sz w:val="22"/>
                <w:szCs w:val="22"/>
                <w:lang w:eastAsia="zh-CN"/>
              </w:rPr>
            </w:pPr>
            <w:r>
              <w:rPr>
                <w:color w:val="000000"/>
                <w:kern w:val="0"/>
                <w:sz w:val="22"/>
                <w:szCs w:val="22"/>
              </w:rPr>
              <w:t>县</w:t>
            </w:r>
            <w:r>
              <w:rPr>
                <w:rFonts w:hint="eastAsia"/>
                <w:color w:val="000000"/>
                <w:kern w:val="0"/>
                <w:sz w:val="22"/>
                <w:szCs w:val="22"/>
                <w:lang w:eastAsia="zh-CN"/>
              </w:rPr>
              <w:t>林草局</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sz w:val="22"/>
                <w:szCs w:val="22"/>
              </w:rPr>
            </w:pPr>
            <w:r>
              <w:rPr>
                <w:color w:val="000000"/>
                <w:kern w:val="0"/>
                <w:sz w:val="22"/>
                <w:szCs w:val="22"/>
              </w:rPr>
              <w:t>政府投资</w:t>
            </w:r>
          </w:p>
        </w:tc>
      </w:tr>
      <w:tr>
        <w:tblPrEx>
          <w:shd w:val="clear" w:color="auto" w:fill="auto"/>
          <w:tblCellMar>
            <w:top w:w="0" w:type="dxa"/>
            <w:left w:w="108" w:type="dxa"/>
            <w:bottom w:w="0" w:type="dxa"/>
            <w:right w:w="108" w:type="dxa"/>
          </w:tblCellMar>
        </w:tblPrEx>
        <w:trPr>
          <w:trHeight w:val="360"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eastAsia="等线"/>
                <w:color w:val="000000"/>
                <w:kern w:val="0"/>
                <w:sz w:val="21"/>
                <w:szCs w:val="21"/>
                <w:lang w:eastAsia="zh-CN"/>
              </w:rPr>
            </w:pPr>
            <w:r>
              <w:rPr>
                <w:rFonts w:hint="eastAsia" w:eastAsia="等线"/>
                <w:color w:val="000000"/>
                <w:kern w:val="0"/>
                <w:sz w:val="21"/>
                <w:szCs w:val="21"/>
                <w:lang w:val="en-US" w:eastAsia="zh-CN"/>
              </w:rPr>
              <w:t>9</w:t>
            </w:r>
          </w:p>
        </w:tc>
        <w:tc>
          <w:tcPr>
            <w:tcW w:w="185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eastAsia="等线"/>
                <w:color w:val="000000"/>
                <w:kern w:val="0"/>
                <w:sz w:val="22"/>
                <w:szCs w:val="22"/>
              </w:rPr>
            </w:pPr>
            <w:r>
              <w:rPr>
                <w:color w:val="000000"/>
                <w:kern w:val="0"/>
                <w:sz w:val="22"/>
                <w:szCs w:val="22"/>
              </w:rPr>
              <w:t>宁县三北防护林建设项目</w:t>
            </w:r>
          </w:p>
        </w:tc>
        <w:tc>
          <w:tcPr>
            <w:tcW w:w="626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eastAsia="等线"/>
                <w:color w:val="000000"/>
                <w:kern w:val="0"/>
                <w:sz w:val="22"/>
                <w:szCs w:val="22"/>
              </w:rPr>
            </w:pPr>
            <w:r>
              <w:rPr>
                <w:color w:val="000000"/>
                <w:kern w:val="0"/>
                <w:sz w:val="22"/>
                <w:szCs w:val="22"/>
              </w:rPr>
              <w:t>每年完成人工造林造林</w:t>
            </w:r>
            <w:r>
              <w:rPr>
                <w:rFonts w:eastAsia="等线"/>
                <w:color w:val="000000"/>
                <w:kern w:val="0"/>
                <w:sz w:val="22"/>
                <w:szCs w:val="22"/>
              </w:rPr>
              <w:t>3000</w:t>
            </w:r>
            <w:r>
              <w:rPr>
                <w:color w:val="000000"/>
                <w:kern w:val="0"/>
                <w:sz w:val="22"/>
                <w:szCs w:val="22"/>
              </w:rPr>
              <w:t>亩，退化林修复</w:t>
            </w:r>
            <w:r>
              <w:rPr>
                <w:rFonts w:eastAsia="等线"/>
                <w:color w:val="000000"/>
                <w:kern w:val="0"/>
                <w:sz w:val="22"/>
                <w:szCs w:val="22"/>
              </w:rPr>
              <w:t>2000</w:t>
            </w:r>
            <w:r>
              <w:rPr>
                <w:color w:val="000000"/>
                <w:kern w:val="0"/>
                <w:sz w:val="22"/>
                <w:szCs w:val="22"/>
              </w:rPr>
              <w:t>亩，总计完成人工造林</w:t>
            </w:r>
            <w:r>
              <w:rPr>
                <w:rFonts w:eastAsia="等线"/>
                <w:color w:val="000000"/>
                <w:kern w:val="0"/>
                <w:sz w:val="22"/>
                <w:szCs w:val="22"/>
              </w:rPr>
              <w:t>1.5</w:t>
            </w:r>
            <w:r>
              <w:rPr>
                <w:color w:val="000000"/>
                <w:kern w:val="0"/>
                <w:sz w:val="22"/>
                <w:szCs w:val="22"/>
              </w:rPr>
              <w:t>万亩，退化林修复</w:t>
            </w:r>
            <w:r>
              <w:rPr>
                <w:rFonts w:eastAsia="等线"/>
                <w:color w:val="000000"/>
                <w:kern w:val="0"/>
                <w:sz w:val="22"/>
                <w:szCs w:val="22"/>
              </w:rPr>
              <w:t>1</w:t>
            </w:r>
            <w:r>
              <w:rPr>
                <w:color w:val="000000"/>
                <w:kern w:val="0"/>
                <w:sz w:val="22"/>
                <w:szCs w:val="22"/>
              </w:rPr>
              <w:t>万亩</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rFonts w:eastAsia="等线"/>
                <w:color w:val="000000"/>
                <w:kern w:val="0"/>
                <w:sz w:val="22"/>
                <w:szCs w:val="22"/>
              </w:rPr>
              <w:t>1250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rFonts w:eastAsia="等线"/>
                <w:color w:val="000000"/>
                <w:kern w:val="0"/>
                <w:sz w:val="22"/>
                <w:szCs w:val="22"/>
              </w:rPr>
              <w:t>2021-2025</w:t>
            </w:r>
            <w:r>
              <w:rPr>
                <w:color w:val="000000"/>
                <w:kern w:val="0"/>
                <w:sz w:val="22"/>
                <w:szCs w:val="22"/>
              </w:rPr>
              <w:t>年</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color w:val="000000"/>
                <w:kern w:val="0"/>
                <w:sz w:val="22"/>
                <w:szCs w:val="22"/>
              </w:rPr>
              <w:t>县林草局</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sz w:val="22"/>
                <w:szCs w:val="22"/>
              </w:rPr>
            </w:pPr>
            <w:r>
              <w:rPr>
                <w:color w:val="000000"/>
                <w:kern w:val="0"/>
                <w:sz w:val="22"/>
                <w:szCs w:val="22"/>
              </w:rPr>
              <w:t>政府投资</w:t>
            </w:r>
          </w:p>
        </w:tc>
      </w:tr>
      <w:tr>
        <w:tblPrEx>
          <w:shd w:val="clear" w:color="auto" w:fill="auto"/>
          <w:tblCellMar>
            <w:top w:w="0" w:type="dxa"/>
            <w:left w:w="108" w:type="dxa"/>
            <w:bottom w:w="0" w:type="dxa"/>
            <w:right w:w="108" w:type="dxa"/>
          </w:tblCellMar>
        </w:tblPrEx>
        <w:trPr>
          <w:trHeight w:val="840"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eastAsia="等线"/>
                <w:color w:val="000000"/>
                <w:kern w:val="0"/>
                <w:sz w:val="21"/>
                <w:szCs w:val="21"/>
                <w:lang w:val="en-US" w:eastAsia="zh-CN"/>
              </w:rPr>
            </w:pPr>
            <w:r>
              <w:rPr>
                <w:rFonts w:hint="eastAsia" w:eastAsia="等线"/>
                <w:color w:val="000000"/>
                <w:kern w:val="0"/>
                <w:sz w:val="21"/>
                <w:szCs w:val="21"/>
                <w:lang w:val="en-US" w:eastAsia="zh-CN"/>
              </w:rPr>
              <w:t>10</w:t>
            </w:r>
          </w:p>
        </w:tc>
        <w:tc>
          <w:tcPr>
            <w:tcW w:w="185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eastAsia="等线"/>
                <w:color w:val="000000"/>
                <w:kern w:val="0"/>
                <w:sz w:val="22"/>
                <w:szCs w:val="22"/>
              </w:rPr>
            </w:pPr>
            <w:r>
              <w:rPr>
                <w:color w:val="000000"/>
                <w:kern w:val="0"/>
                <w:sz w:val="22"/>
                <w:szCs w:val="22"/>
              </w:rPr>
              <w:t>小盘河引水入宁工程</w:t>
            </w:r>
          </w:p>
        </w:tc>
        <w:tc>
          <w:tcPr>
            <w:tcW w:w="626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eastAsia="等线"/>
                <w:color w:val="000000"/>
                <w:kern w:val="0"/>
                <w:sz w:val="22"/>
                <w:szCs w:val="22"/>
              </w:rPr>
            </w:pPr>
            <w:r>
              <w:rPr>
                <w:color w:val="000000"/>
                <w:kern w:val="0"/>
                <w:sz w:val="22"/>
                <w:szCs w:val="22"/>
              </w:rPr>
              <w:t>新建输水管道</w:t>
            </w:r>
            <w:r>
              <w:rPr>
                <w:rFonts w:eastAsia="等线"/>
                <w:color w:val="000000"/>
                <w:kern w:val="0"/>
                <w:sz w:val="22"/>
                <w:szCs w:val="22"/>
              </w:rPr>
              <w:t>2</w:t>
            </w:r>
            <w:r>
              <w:rPr>
                <w:color w:val="000000"/>
                <w:kern w:val="0"/>
                <w:sz w:val="22"/>
                <w:szCs w:val="22"/>
              </w:rPr>
              <w:t>条，长度</w:t>
            </w:r>
            <w:r>
              <w:rPr>
                <w:rFonts w:eastAsia="等线"/>
                <w:color w:val="000000"/>
                <w:kern w:val="0"/>
                <w:sz w:val="22"/>
                <w:szCs w:val="22"/>
              </w:rPr>
              <w:t>39.325</w:t>
            </w:r>
            <w:r>
              <w:rPr>
                <w:color w:val="000000"/>
                <w:kern w:val="0"/>
                <w:sz w:val="22"/>
                <w:szCs w:val="22"/>
              </w:rPr>
              <w:t>公里（包括至县城方向的输水干管（一级泵站至县城蓄水池段）长</w:t>
            </w:r>
            <w:r>
              <w:rPr>
                <w:rFonts w:eastAsia="等线"/>
                <w:color w:val="000000"/>
                <w:kern w:val="0"/>
                <w:sz w:val="22"/>
                <w:szCs w:val="22"/>
              </w:rPr>
              <w:t>37.435</w:t>
            </w:r>
            <w:r>
              <w:rPr>
                <w:color w:val="000000"/>
                <w:kern w:val="0"/>
                <w:sz w:val="22"/>
                <w:szCs w:val="22"/>
              </w:rPr>
              <w:t>公里，长庆桥输水干管长</w:t>
            </w:r>
            <w:r>
              <w:rPr>
                <w:rFonts w:eastAsia="等线"/>
                <w:color w:val="000000"/>
                <w:kern w:val="0"/>
                <w:sz w:val="22"/>
                <w:szCs w:val="22"/>
              </w:rPr>
              <w:t>1.08</w:t>
            </w:r>
            <w:r>
              <w:rPr>
                <w:color w:val="000000"/>
                <w:kern w:val="0"/>
                <w:sz w:val="22"/>
                <w:szCs w:val="22"/>
              </w:rPr>
              <w:t>公里，新庄镇输水支管长</w:t>
            </w:r>
            <w:r>
              <w:rPr>
                <w:rFonts w:eastAsia="等线"/>
                <w:color w:val="000000"/>
                <w:kern w:val="0"/>
                <w:sz w:val="22"/>
                <w:szCs w:val="22"/>
              </w:rPr>
              <w:t>0.81</w:t>
            </w:r>
            <w:r>
              <w:rPr>
                <w:color w:val="000000"/>
                <w:kern w:val="0"/>
                <w:sz w:val="22"/>
                <w:szCs w:val="22"/>
              </w:rPr>
              <w:t>公里）；县城配水干管</w:t>
            </w:r>
            <w:r>
              <w:rPr>
                <w:rFonts w:eastAsia="等线"/>
                <w:color w:val="000000"/>
                <w:kern w:val="0"/>
                <w:sz w:val="22"/>
                <w:szCs w:val="22"/>
              </w:rPr>
              <w:t>1</w:t>
            </w:r>
            <w:r>
              <w:rPr>
                <w:color w:val="000000"/>
                <w:kern w:val="0"/>
                <w:sz w:val="22"/>
                <w:szCs w:val="22"/>
              </w:rPr>
              <w:t>条，长</w:t>
            </w:r>
            <w:r>
              <w:rPr>
                <w:rFonts w:eastAsia="等线"/>
                <w:color w:val="000000"/>
                <w:kern w:val="0"/>
                <w:sz w:val="22"/>
                <w:szCs w:val="22"/>
              </w:rPr>
              <w:t>7.62</w:t>
            </w:r>
            <w:r>
              <w:rPr>
                <w:color w:val="000000"/>
                <w:kern w:val="0"/>
                <w:sz w:val="22"/>
                <w:szCs w:val="22"/>
              </w:rPr>
              <w:t>公里，新建加压泵站</w:t>
            </w:r>
            <w:r>
              <w:rPr>
                <w:rFonts w:eastAsia="等线"/>
                <w:color w:val="000000"/>
                <w:kern w:val="0"/>
                <w:sz w:val="22"/>
                <w:szCs w:val="22"/>
              </w:rPr>
              <w:t>3</w:t>
            </w:r>
            <w:r>
              <w:rPr>
                <w:color w:val="000000"/>
                <w:kern w:val="0"/>
                <w:sz w:val="22"/>
                <w:szCs w:val="22"/>
              </w:rPr>
              <w:t>座，新建蓄水池</w:t>
            </w:r>
            <w:r>
              <w:rPr>
                <w:rFonts w:eastAsia="等线"/>
                <w:color w:val="000000"/>
                <w:kern w:val="0"/>
                <w:sz w:val="22"/>
                <w:szCs w:val="22"/>
              </w:rPr>
              <w:t>6</w:t>
            </w:r>
            <w:r>
              <w:rPr>
                <w:color w:val="000000"/>
                <w:kern w:val="0"/>
                <w:sz w:val="22"/>
                <w:szCs w:val="22"/>
              </w:rPr>
              <w:t>座，总容积为</w:t>
            </w:r>
            <w:r>
              <w:rPr>
                <w:rFonts w:eastAsia="等线"/>
                <w:color w:val="000000"/>
                <w:kern w:val="0"/>
                <w:sz w:val="22"/>
                <w:szCs w:val="22"/>
              </w:rPr>
              <w:t>3.41</w:t>
            </w:r>
            <w:r>
              <w:rPr>
                <w:color w:val="000000"/>
                <w:kern w:val="0"/>
                <w:sz w:val="22"/>
                <w:szCs w:val="22"/>
              </w:rPr>
              <w:t>万立方米。</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rFonts w:eastAsia="等线"/>
                <w:color w:val="000000"/>
                <w:kern w:val="0"/>
                <w:sz w:val="22"/>
                <w:szCs w:val="22"/>
              </w:rPr>
              <w:t>65000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rFonts w:eastAsia="等线"/>
                <w:color w:val="000000"/>
                <w:kern w:val="0"/>
                <w:sz w:val="22"/>
                <w:szCs w:val="22"/>
              </w:rPr>
              <w:t>2021-2023</w:t>
            </w:r>
            <w:r>
              <w:rPr>
                <w:color w:val="000000"/>
                <w:kern w:val="0"/>
                <w:sz w:val="22"/>
                <w:szCs w:val="22"/>
              </w:rPr>
              <w:t>年</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color w:val="000000"/>
                <w:kern w:val="0"/>
                <w:sz w:val="22"/>
                <w:szCs w:val="22"/>
              </w:rPr>
              <w:t>县水务局</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sz w:val="22"/>
                <w:szCs w:val="22"/>
              </w:rPr>
            </w:pPr>
            <w:r>
              <w:rPr>
                <w:color w:val="000000"/>
                <w:kern w:val="0"/>
                <w:sz w:val="22"/>
                <w:szCs w:val="22"/>
              </w:rPr>
              <w:t>政府投资</w:t>
            </w:r>
          </w:p>
        </w:tc>
      </w:tr>
      <w:tr>
        <w:tblPrEx>
          <w:shd w:val="clear" w:color="auto" w:fill="auto"/>
          <w:tblCellMar>
            <w:top w:w="0" w:type="dxa"/>
            <w:left w:w="108" w:type="dxa"/>
            <w:bottom w:w="0" w:type="dxa"/>
            <w:right w:w="108" w:type="dxa"/>
          </w:tblCellMar>
        </w:tblPrEx>
        <w:trPr>
          <w:trHeight w:val="380" w:hRule="atLeast"/>
        </w:trPr>
        <w:tc>
          <w:tcPr>
            <w:tcW w:w="867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auto"/>
              <w:ind w:firstLine="0" w:firstLineChars="0"/>
              <w:rPr>
                <w:rFonts w:eastAsia="等线"/>
                <w:b/>
                <w:bCs/>
                <w:color w:val="000000"/>
                <w:kern w:val="0"/>
                <w:sz w:val="21"/>
                <w:szCs w:val="21"/>
              </w:rPr>
            </w:pPr>
            <w:r>
              <w:rPr>
                <w:b/>
                <w:bCs/>
                <w:color w:val="000000"/>
                <w:kern w:val="0"/>
                <w:sz w:val="21"/>
                <w:szCs w:val="21"/>
              </w:rPr>
              <w:t>四、生态经济建设项目</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eastAsia="等线"/>
                <w:b/>
                <w:bCs/>
                <w:color w:val="000000"/>
                <w:kern w:val="0"/>
                <w:sz w:val="21"/>
                <w:szCs w:val="21"/>
                <w:lang w:val="en-US" w:eastAsia="zh-CN"/>
              </w:rPr>
            </w:pPr>
            <w:r>
              <w:rPr>
                <w:rFonts w:eastAsia="等线"/>
                <w:b/>
                <w:bCs/>
                <w:color w:val="000000"/>
                <w:kern w:val="0"/>
                <w:sz w:val="21"/>
                <w:szCs w:val="21"/>
              </w:rPr>
              <w:t>418000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1"/>
                <w:szCs w:val="21"/>
              </w:rPr>
            </w:pPr>
            <w:r>
              <w:rPr>
                <w:rFonts w:eastAsia="等线"/>
                <w:b/>
                <w:bCs/>
                <w:color w:val="000000"/>
                <w:kern w:val="0"/>
                <w:sz w:val="21"/>
                <w:szCs w:val="21"/>
              </w:rPr>
              <w:t xml:space="preserve"> </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2"/>
                <w:szCs w:val="22"/>
              </w:rPr>
            </w:pPr>
            <w:r>
              <w:rPr>
                <w:rFonts w:eastAsia="等线"/>
                <w:b/>
                <w:bCs/>
                <w:color w:val="000000"/>
                <w:kern w:val="0"/>
                <w:sz w:val="22"/>
                <w:szCs w:val="22"/>
              </w:rPr>
              <w:t xml:space="preserve"> </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sz w:val="22"/>
                <w:szCs w:val="22"/>
              </w:rPr>
            </w:pPr>
            <w:r>
              <w:rPr>
                <w:color w:val="000000"/>
                <w:kern w:val="0"/>
                <w:sz w:val="22"/>
                <w:szCs w:val="22"/>
              </w:rPr>
              <w:t xml:space="preserve"> </w:t>
            </w:r>
          </w:p>
        </w:tc>
      </w:tr>
      <w:tr>
        <w:tblPrEx>
          <w:shd w:val="clear" w:color="auto" w:fill="auto"/>
          <w:tblCellMar>
            <w:top w:w="0" w:type="dxa"/>
            <w:left w:w="108" w:type="dxa"/>
            <w:bottom w:w="0" w:type="dxa"/>
            <w:right w:w="108" w:type="dxa"/>
          </w:tblCellMar>
        </w:tblPrEx>
        <w:trPr>
          <w:trHeight w:val="600"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rFonts w:eastAsia="等线"/>
                <w:color w:val="000000"/>
                <w:kern w:val="0"/>
                <w:sz w:val="22"/>
                <w:szCs w:val="22"/>
              </w:rPr>
              <w:t>1</w:t>
            </w:r>
          </w:p>
        </w:tc>
        <w:tc>
          <w:tcPr>
            <w:tcW w:w="185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eastAsia="等线"/>
                <w:color w:val="000000"/>
                <w:kern w:val="0"/>
                <w:sz w:val="22"/>
                <w:szCs w:val="22"/>
              </w:rPr>
            </w:pPr>
            <w:r>
              <w:rPr>
                <w:color w:val="000000"/>
                <w:kern w:val="0"/>
                <w:sz w:val="22"/>
                <w:szCs w:val="22"/>
              </w:rPr>
              <w:t>庆阳海创年处理</w:t>
            </w:r>
            <w:r>
              <w:rPr>
                <w:rFonts w:eastAsia="等线"/>
                <w:color w:val="000000"/>
                <w:kern w:val="0"/>
                <w:sz w:val="22"/>
                <w:szCs w:val="22"/>
              </w:rPr>
              <w:t>9.6</w:t>
            </w:r>
            <w:r>
              <w:rPr>
                <w:color w:val="000000"/>
                <w:kern w:val="0"/>
                <w:sz w:val="22"/>
                <w:szCs w:val="22"/>
              </w:rPr>
              <w:t>万吨油田废弃物处置及资源化利用项目</w:t>
            </w:r>
          </w:p>
        </w:tc>
        <w:tc>
          <w:tcPr>
            <w:tcW w:w="626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eastAsia="等线"/>
                <w:color w:val="000000"/>
                <w:kern w:val="0"/>
                <w:sz w:val="22"/>
                <w:szCs w:val="22"/>
              </w:rPr>
            </w:pPr>
            <w:r>
              <w:rPr>
                <w:color w:val="000000"/>
                <w:kern w:val="0"/>
                <w:sz w:val="22"/>
                <w:szCs w:val="22"/>
              </w:rPr>
              <w:t>新建年处理</w:t>
            </w:r>
            <w:r>
              <w:rPr>
                <w:rFonts w:eastAsia="等线"/>
                <w:color w:val="000000"/>
                <w:kern w:val="0"/>
                <w:sz w:val="22"/>
                <w:szCs w:val="22"/>
              </w:rPr>
              <w:t>8</w:t>
            </w:r>
            <w:r>
              <w:rPr>
                <w:color w:val="000000"/>
                <w:kern w:val="0"/>
                <w:sz w:val="22"/>
                <w:szCs w:val="22"/>
              </w:rPr>
              <w:t>万吨油泥污处理厂一座、年处理</w:t>
            </w:r>
            <w:r>
              <w:rPr>
                <w:rFonts w:eastAsia="等线"/>
                <w:color w:val="000000"/>
                <w:kern w:val="0"/>
                <w:sz w:val="22"/>
                <w:szCs w:val="22"/>
              </w:rPr>
              <w:t>1.6</w:t>
            </w:r>
            <w:r>
              <w:rPr>
                <w:color w:val="000000"/>
                <w:kern w:val="0"/>
                <w:sz w:val="22"/>
                <w:szCs w:val="22"/>
              </w:rPr>
              <w:t>万吨含油沾染物（编织袋）处置工艺线一条，项目占地面积约</w:t>
            </w:r>
            <w:r>
              <w:rPr>
                <w:rFonts w:eastAsia="等线"/>
                <w:color w:val="000000"/>
                <w:kern w:val="0"/>
                <w:sz w:val="22"/>
                <w:szCs w:val="22"/>
              </w:rPr>
              <w:t>77.95</w:t>
            </w:r>
            <w:r>
              <w:rPr>
                <w:color w:val="000000"/>
                <w:kern w:val="0"/>
                <w:sz w:val="22"/>
                <w:szCs w:val="22"/>
              </w:rPr>
              <w:t>亩。</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1"/>
                <w:szCs w:val="21"/>
              </w:rPr>
            </w:pPr>
            <w:r>
              <w:rPr>
                <w:rFonts w:eastAsia="等线"/>
                <w:color w:val="000000"/>
                <w:kern w:val="0"/>
                <w:sz w:val="21"/>
                <w:szCs w:val="21"/>
              </w:rPr>
              <w:t>18000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1"/>
                <w:szCs w:val="21"/>
              </w:rPr>
            </w:pPr>
            <w:r>
              <w:rPr>
                <w:rFonts w:eastAsia="等线"/>
                <w:color w:val="000000"/>
                <w:kern w:val="0"/>
                <w:sz w:val="21"/>
                <w:szCs w:val="21"/>
              </w:rPr>
              <w:t>2021-2022</w:t>
            </w:r>
            <w:r>
              <w:rPr>
                <w:color w:val="000000"/>
                <w:kern w:val="0"/>
                <w:sz w:val="21"/>
                <w:szCs w:val="21"/>
              </w:rPr>
              <w:t>年</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color w:val="000000"/>
                <w:kern w:val="0"/>
                <w:sz w:val="22"/>
                <w:szCs w:val="22"/>
              </w:rPr>
              <w:t>庆阳海创公司</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sz w:val="22"/>
                <w:szCs w:val="22"/>
              </w:rPr>
            </w:pPr>
            <w:r>
              <w:rPr>
                <w:color w:val="000000"/>
                <w:kern w:val="0"/>
                <w:sz w:val="22"/>
                <w:szCs w:val="22"/>
              </w:rPr>
              <w:t>企业自筹</w:t>
            </w:r>
          </w:p>
        </w:tc>
      </w:tr>
      <w:tr>
        <w:tblPrEx>
          <w:shd w:val="clear" w:color="auto" w:fill="auto"/>
          <w:tblCellMar>
            <w:top w:w="0" w:type="dxa"/>
            <w:left w:w="108" w:type="dxa"/>
            <w:bottom w:w="0" w:type="dxa"/>
            <w:right w:w="108" w:type="dxa"/>
          </w:tblCellMar>
        </w:tblPrEx>
        <w:trPr>
          <w:trHeight w:val="600"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1"/>
                <w:szCs w:val="21"/>
              </w:rPr>
            </w:pPr>
            <w:r>
              <w:rPr>
                <w:rFonts w:eastAsia="等线"/>
                <w:color w:val="000000"/>
                <w:kern w:val="0"/>
                <w:sz w:val="21"/>
                <w:szCs w:val="21"/>
              </w:rPr>
              <w:t>2</w:t>
            </w:r>
          </w:p>
        </w:tc>
        <w:tc>
          <w:tcPr>
            <w:tcW w:w="185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eastAsia="等线"/>
                <w:color w:val="000000"/>
                <w:kern w:val="0"/>
                <w:sz w:val="22"/>
                <w:szCs w:val="22"/>
              </w:rPr>
            </w:pPr>
            <w:r>
              <w:rPr>
                <w:color w:val="000000"/>
                <w:kern w:val="0"/>
                <w:sz w:val="22"/>
                <w:szCs w:val="22"/>
              </w:rPr>
              <w:t>年产</w:t>
            </w:r>
            <w:r>
              <w:rPr>
                <w:rFonts w:eastAsia="等线"/>
                <w:color w:val="000000"/>
                <w:kern w:val="0"/>
                <w:sz w:val="22"/>
                <w:szCs w:val="22"/>
              </w:rPr>
              <w:t>40</w:t>
            </w:r>
            <w:r>
              <w:rPr>
                <w:color w:val="000000"/>
                <w:kern w:val="0"/>
                <w:sz w:val="22"/>
                <w:szCs w:val="22"/>
              </w:rPr>
              <w:t>万吨乙二醇及年产</w:t>
            </w:r>
            <w:r>
              <w:rPr>
                <w:rFonts w:eastAsia="等线"/>
                <w:color w:val="000000"/>
                <w:kern w:val="0"/>
                <w:sz w:val="22"/>
                <w:szCs w:val="22"/>
              </w:rPr>
              <w:t>500</w:t>
            </w:r>
            <w:r>
              <w:rPr>
                <w:color w:val="000000"/>
                <w:kern w:val="0"/>
                <w:sz w:val="22"/>
                <w:szCs w:val="22"/>
              </w:rPr>
              <w:t>万吨煤炭分级分质清洁综合利用项目</w:t>
            </w:r>
          </w:p>
        </w:tc>
        <w:tc>
          <w:tcPr>
            <w:tcW w:w="626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eastAsia="等线"/>
                <w:color w:val="000000"/>
                <w:kern w:val="0"/>
                <w:sz w:val="22"/>
                <w:szCs w:val="22"/>
              </w:rPr>
            </w:pPr>
            <w:r>
              <w:rPr>
                <w:color w:val="000000"/>
                <w:kern w:val="0"/>
                <w:sz w:val="22"/>
                <w:szCs w:val="22"/>
              </w:rPr>
              <w:t>在长庆桥工业集中区新建</w:t>
            </w:r>
            <w:r>
              <w:rPr>
                <w:rFonts w:eastAsia="等线"/>
                <w:color w:val="000000"/>
                <w:kern w:val="0"/>
                <w:sz w:val="22"/>
                <w:szCs w:val="22"/>
              </w:rPr>
              <w:t>40</w:t>
            </w:r>
            <w:r>
              <w:rPr>
                <w:color w:val="000000"/>
                <w:kern w:val="0"/>
                <w:sz w:val="22"/>
                <w:szCs w:val="22"/>
              </w:rPr>
              <w:t>万吨</w:t>
            </w:r>
            <w:r>
              <w:rPr>
                <w:rFonts w:eastAsia="等线"/>
                <w:color w:val="000000"/>
                <w:kern w:val="0"/>
                <w:sz w:val="22"/>
                <w:szCs w:val="22"/>
              </w:rPr>
              <w:t>/</w:t>
            </w:r>
            <w:r>
              <w:rPr>
                <w:color w:val="000000"/>
                <w:kern w:val="0"/>
                <w:sz w:val="22"/>
                <w:szCs w:val="22"/>
              </w:rPr>
              <w:t>年乙二醇基聚酯一体化项目，</w:t>
            </w:r>
            <w:r>
              <w:rPr>
                <w:rFonts w:eastAsia="等线"/>
                <w:color w:val="000000"/>
                <w:kern w:val="0"/>
                <w:sz w:val="22"/>
                <w:szCs w:val="22"/>
              </w:rPr>
              <w:t>40</w:t>
            </w:r>
            <w:r>
              <w:rPr>
                <w:color w:val="000000"/>
                <w:kern w:val="0"/>
                <w:sz w:val="22"/>
                <w:szCs w:val="22"/>
              </w:rPr>
              <w:t>万吨</w:t>
            </w:r>
            <w:r>
              <w:rPr>
                <w:rFonts w:eastAsia="等线"/>
                <w:color w:val="000000"/>
                <w:kern w:val="0"/>
                <w:sz w:val="22"/>
                <w:szCs w:val="22"/>
              </w:rPr>
              <w:t>/</w:t>
            </w:r>
            <w:r>
              <w:rPr>
                <w:color w:val="000000"/>
                <w:kern w:val="0"/>
                <w:sz w:val="22"/>
                <w:szCs w:val="22"/>
              </w:rPr>
              <w:t>年煤制乙二醇（</w:t>
            </w:r>
            <w:r>
              <w:rPr>
                <w:rFonts w:eastAsia="等线"/>
                <w:color w:val="000000"/>
                <w:kern w:val="0"/>
                <w:sz w:val="22"/>
                <w:szCs w:val="22"/>
              </w:rPr>
              <w:t>MEG</w:t>
            </w:r>
            <w:r>
              <w:rPr>
                <w:color w:val="000000"/>
                <w:kern w:val="0"/>
                <w:sz w:val="22"/>
                <w:szCs w:val="22"/>
              </w:rPr>
              <w:t>）装置及配套公辅工程，</w:t>
            </w:r>
            <w:r>
              <w:rPr>
                <w:rFonts w:eastAsia="等线"/>
                <w:color w:val="000000"/>
                <w:kern w:val="0"/>
                <w:sz w:val="22"/>
                <w:szCs w:val="22"/>
              </w:rPr>
              <w:t>500</w:t>
            </w:r>
            <w:r>
              <w:rPr>
                <w:color w:val="000000"/>
                <w:kern w:val="0"/>
                <w:sz w:val="22"/>
                <w:szCs w:val="22"/>
              </w:rPr>
              <w:t>万吨</w:t>
            </w:r>
            <w:r>
              <w:rPr>
                <w:rFonts w:eastAsia="等线"/>
                <w:color w:val="000000"/>
                <w:kern w:val="0"/>
                <w:sz w:val="22"/>
                <w:szCs w:val="22"/>
              </w:rPr>
              <w:t>/</w:t>
            </w:r>
            <w:r>
              <w:rPr>
                <w:color w:val="000000"/>
                <w:kern w:val="0"/>
                <w:sz w:val="22"/>
                <w:szCs w:val="22"/>
              </w:rPr>
              <w:t>年煤炭分级分质利用项目，以粉煤干馏提质为主，建设煤气净化装置、</w:t>
            </w:r>
            <w:r>
              <w:rPr>
                <w:rFonts w:eastAsia="等线"/>
                <w:color w:val="000000"/>
                <w:kern w:val="0"/>
                <w:sz w:val="22"/>
                <w:szCs w:val="22"/>
              </w:rPr>
              <w:t>LNG</w:t>
            </w:r>
            <w:r>
              <w:rPr>
                <w:color w:val="000000"/>
                <w:kern w:val="0"/>
                <w:sz w:val="22"/>
                <w:szCs w:val="22"/>
              </w:rPr>
              <w:t>装置、型煤装置，实现煤炭资源的分级分质高效综合利用。</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rFonts w:eastAsia="等线"/>
                <w:color w:val="000000"/>
                <w:kern w:val="0"/>
                <w:sz w:val="22"/>
                <w:szCs w:val="22"/>
              </w:rPr>
              <w:t xml:space="preserve">400000 </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rFonts w:eastAsia="等线"/>
                <w:color w:val="000000"/>
                <w:kern w:val="0"/>
                <w:sz w:val="22"/>
                <w:szCs w:val="22"/>
              </w:rPr>
              <w:t>202</w:t>
            </w:r>
            <w:r>
              <w:rPr>
                <w:rFonts w:hint="eastAsia" w:eastAsia="等线"/>
                <w:color w:val="000000"/>
                <w:kern w:val="0"/>
                <w:sz w:val="22"/>
                <w:szCs w:val="22"/>
                <w:lang w:val="en-US" w:eastAsia="zh-CN"/>
              </w:rPr>
              <w:t>2</w:t>
            </w:r>
            <w:r>
              <w:rPr>
                <w:rFonts w:eastAsia="等线"/>
                <w:color w:val="000000"/>
                <w:kern w:val="0"/>
                <w:sz w:val="22"/>
                <w:szCs w:val="22"/>
              </w:rPr>
              <w:t>-2025</w:t>
            </w:r>
            <w:r>
              <w:rPr>
                <w:color w:val="000000"/>
                <w:kern w:val="0"/>
                <w:sz w:val="22"/>
                <w:szCs w:val="22"/>
              </w:rPr>
              <w:t>年</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eastAsia="等线"/>
                <w:color w:val="000000"/>
                <w:kern w:val="0"/>
                <w:sz w:val="22"/>
                <w:szCs w:val="22"/>
                <w:lang w:eastAsia="zh-CN"/>
              </w:rPr>
            </w:pPr>
            <w:r>
              <w:rPr>
                <w:rFonts w:hint="eastAsia"/>
                <w:color w:val="000000"/>
                <w:kern w:val="0"/>
                <w:sz w:val="22"/>
                <w:szCs w:val="22"/>
                <w:lang w:eastAsia="zh-CN"/>
              </w:rPr>
              <w:t>长庆桥工业园区管委会</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sz w:val="22"/>
                <w:szCs w:val="22"/>
              </w:rPr>
            </w:pPr>
            <w:r>
              <w:rPr>
                <w:color w:val="000000"/>
                <w:kern w:val="0"/>
                <w:sz w:val="22"/>
                <w:szCs w:val="22"/>
              </w:rPr>
              <w:t>企业自筹</w:t>
            </w:r>
          </w:p>
        </w:tc>
      </w:tr>
      <w:tr>
        <w:tblPrEx>
          <w:shd w:val="clear" w:color="auto" w:fill="auto"/>
          <w:tblCellMar>
            <w:top w:w="0" w:type="dxa"/>
            <w:left w:w="108" w:type="dxa"/>
            <w:bottom w:w="0" w:type="dxa"/>
            <w:right w:w="108" w:type="dxa"/>
          </w:tblCellMar>
        </w:tblPrEx>
        <w:trPr>
          <w:trHeight w:val="330" w:hRule="atLeast"/>
        </w:trPr>
        <w:tc>
          <w:tcPr>
            <w:tcW w:w="867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auto"/>
              <w:ind w:firstLine="0" w:firstLineChars="0"/>
              <w:rPr>
                <w:rFonts w:eastAsia="等线"/>
                <w:b/>
                <w:bCs/>
                <w:color w:val="000000"/>
                <w:kern w:val="0"/>
                <w:sz w:val="21"/>
                <w:szCs w:val="21"/>
              </w:rPr>
            </w:pPr>
            <w:r>
              <w:rPr>
                <w:b/>
                <w:bCs/>
                <w:color w:val="000000"/>
                <w:kern w:val="0"/>
                <w:sz w:val="21"/>
                <w:szCs w:val="21"/>
              </w:rPr>
              <w:t>五、生态生活建设项目</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eastAsia="等线"/>
                <w:b/>
                <w:bCs/>
                <w:color w:val="000000"/>
                <w:kern w:val="0"/>
                <w:sz w:val="21"/>
                <w:szCs w:val="21"/>
                <w:lang w:val="en-US" w:eastAsia="zh-CN"/>
              </w:rPr>
            </w:pPr>
            <w:r>
              <w:rPr>
                <w:rFonts w:hint="eastAsia" w:eastAsia="等线"/>
                <w:b/>
                <w:bCs/>
                <w:color w:val="000000"/>
                <w:kern w:val="0"/>
                <w:sz w:val="21"/>
                <w:szCs w:val="21"/>
                <w:lang w:val="en-US" w:eastAsia="zh-CN"/>
              </w:rPr>
              <w:t>3600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1"/>
                <w:szCs w:val="21"/>
              </w:rPr>
            </w:pPr>
            <w:r>
              <w:rPr>
                <w:rFonts w:eastAsia="等线"/>
                <w:b/>
                <w:bCs/>
                <w:color w:val="000000"/>
                <w:kern w:val="0"/>
                <w:sz w:val="21"/>
                <w:szCs w:val="21"/>
              </w:rPr>
              <w:t xml:space="preserve"> </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b/>
                <w:bCs/>
                <w:color w:val="000000"/>
                <w:kern w:val="0"/>
                <w:sz w:val="21"/>
                <w:szCs w:val="21"/>
              </w:rPr>
            </w:pPr>
            <w:r>
              <w:rPr>
                <w:rFonts w:eastAsia="等线"/>
                <w:b/>
                <w:bCs/>
                <w:color w:val="000000"/>
                <w:kern w:val="0"/>
                <w:sz w:val="21"/>
                <w:szCs w:val="21"/>
              </w:rPr>
              <w:t xml:space="preserve"> </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sz w:val="21"/>
                <w:szCs w:val="21"/>
              </w:rPr>
            </w:pPr>
            <w:r>
              <w:rPr>
                <w:color w:val="000000"/>
                <w:kern w:val="0"/>
                <w:sz w:val="21"/>
                <w:szCs w:val="21"/>
              </w:rPr>
              <w:t xml:space="preserve"> </w:t>
            </w:r>
          </w:p>
        </w:tc>
      </w:tr>
      <w:tr>
        <w:tblPrEx>
          <w:shd w:val="clear" w:color="auto" w:fill="auto"/>
          <w:tblCellMar>
            <w:top w:w="0" w:type="dxa"/>
            <w:left w:w="108" w:type="dxa"/>
            <w:bottom w:w="0" w:type="dxa"/>
            <w:right w:w="108" w:type="dxa"/>
          </w:tblCellMar>
        </w:tblPrEx>
        <w:trPr>
          <w:trHeight w:val="600"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eastAsia="等线"/>
                <w:color w:val="000000"/>
                <w:kern w:val="0"/>
                <w:sz w:val="21"/>
                <w:szCs w:val="21"/>
                <w:lang w:eastAsia="zh-CN"/>
              </w:rPr>
            </w:pPr>
            <w:r>
              <w:rPr>
                <w:rFonts w:hint="eastAsia" w:eastAsia="等线"/>
                <w:color w:val="000000"/>
                <w:kern w:val="0"/>
                <w:sz w:val="21"/>
                <w:szCs w:val="21"/>
                <w:lang w:val="en-US" w:eastAsia="zh-CN"/>
              </w:rPr>
              <w:t>1</w:t>
            </w:r>
          </w:p>
        </w:tc>
        <w:tc>
          <w:tcPr>
            <w:tcW w:w="185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eastAsia="等线"/>
                <w:color w:val="000000"/>
                <w:kern w:val="0"/>
                <w:sz w:val="22"/>
                <w:szCs w:val="22"/>
              </w:rPr>
            </w:pPr>
            <w:r>
              <w:rPr>
                <w:color w:val="000000"/>
                <w:kern w:val="0"/>
                <w:sz w:val="22"/>
                <w:szCs w:val="22"/>
              </w:rPr>
              <w:t>宁县农村生活污水治理项目</w:t>
            </w:r>
          </w:p>
        </w:tc>
        <w:tc>
          <w:tcPr>
            <w:tcW w:w="626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eastAsia="等线"/>
                <w:color w:val="000000"/>
                <w:kern w:val="0"/>
                <w:sz w:val="22"/>
                <w:szCs w:val="22"/>
              </w:rPr>
            </w:pPr>
            <w:r>
              <w:rPr>
                <w:color w:val="000000"/>
                <w:kern w:val="0"/>
                <w:sz w:val="22"/>
                <w:szCs w:val="22"/>
              </w:rPr>
              <w:t>根据《宁县农村生活污水治理规划》，在</w:t>
            </w:r>
            <w:r>
              <w:rPr>
                <w:rFonts w:eastAsia="等线"/>
                <w:color w:val="000000"/>
                <w:kern w:val="0"/>
                <w:sz w:val="22"/>
                <w:szCs w:val="22"/>
              </w:rPr>
              <w:t>10</w:t>
            </w:r>
            <w:r>
              <w:rPr>
                <w:color w:val="000000"/>
                <w:kern w:val="0"/>
                <w:sz w:val="22"/>
                <w:szCs w:val="22"/>
              </w:rPr>
              <w:t>个行政村建设农村生活污水处理设施，确保农村生活污水达标排放。</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1"/>
                <w:szCs w:val="21"/>
              </w:rPr>
            </w:pPr>
            <w:r>
              <w:rPr>
                <w:rFonts w:eastAsia="等线"/>
                <w:color w:val="000000"/>
                <w:kern w:val="0"/>
                <w:sz w:val="21"/>
                <w:szCs w:val="21"/>
              </w:rPr>
              <w:t>1000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1"/>
                <w:szCs w:val="21"/>
              </w:rPr>
            </w:pPr>
            <w:r>
              <w:rPr>
                <w:rFonts w:eastAsia="等线"/>
                <w:color w:val="000000"/>
                <w:kern w:val="0"/>
                <w:sz w:val="21"/>
                <w:szCs w:val="21"/>
              </w:rPr>
              <w:t>2021-2025</w:t>
            </w:r>
            <w:r>
              <w:rPr>
                <w:color w:val="000000"/>
                <w:kern w:val="0"/>
                <w:sz w:val="21"/>
                <w:szCs w:val="21"/>
              </w:rPr>
              <w:t>年</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color w:val="000000"/>
                <w:kern w:val="0"/>
                <w:sz w:val="22"/>
                <w:szCs w:val="22"/>
              </w:rPr>
              <w:t>县生态环境局</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sz w:val="22"/>
                <w:szCs w:val="22"/>
              </w:rPr>
            </w:pPr>
            <w:r>
              <w:rPr>
                <w:color w:val="000000"/>
                <w:kern w:val="0"/>
                <w:sz w:val="22"/>
                <w:szCs w:val="22"/>
              </w:rPr>
              <w:t>政府投资</w:t>
            </w:r>
          </w:p>
        </w:tc>
      </w:tr>
      <w:tr>
        <w:tblPrEx>
          <w:shd w:val="clear" w:color="auto" w:fill="auto"/>
          <w:tblCellMar>
            <w:top w:w="0" w:type="dxa"/>
            <w:left w:w="108" w:type="dxa"/>
            <w:bottom w:w="0" w:type="dxa"/>
            <w:right w:w="108" w:type="dxa"/>
          </w:tblCellMar>
        </w:tblPrEx>
        <w:trPr>
          <w:trHeight w:val="600"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eastAsia="等线"/>
                <w:color w:val="000000"/>
                <w:kern w:val="0"/>
                <w:sz w:val="21"/>
                <w:szCs w:val="21"/>
                <w:lang w:eastAsia="zh-CN"/>
              </w:rPr>
            </w:pPr>
            <w:r>
              <w:rPr>
                <w:rFonts w:hint="eastAsia" w:eastAsia="等线"/>
                <w:color w:val="000000"/>
                <w:kern w:val="0"/>
                <w:sz w:val="21"/>
                <w:szCs w:val="21"/>
                <w:lang w:val="en-US" w:eastAsia="zh-CN"/>
              </w:rPr>
              <w:t>2</w:t>
            </w:r>
          </w:p>
        </w:tc>
        <w:tc>
          <w:tcPr>
            <w:tcW w:w="185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eastAsia="等线"/>
                <w:color w:val="000000"/>
                <w:kern w:val="0"/>
                <w:sz w:val="22"/>
                <w:szCs w:val="22"/>
              </w:rPr>
            </w:pPr>
            <w:r>
              <w:rPr>
                <w:color w:val="000000"/>
                <w:kern w:val="0"/>
                <w:sz w:val="22"/>
                <w:szCs w:val="22"/>
              </w:rPr>
              <w:t>宁县污水处理厂中水利用工程</w:t>
            </w:r>
          </w:p>
        </w:tc>
        <w:tc>
          <w:tcPr>
            <w:tcW w:w="626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eastAsia="等线"/>
                <w:color w:val="000000"/>
                <w:kern w:val="0"/>
                <w:sz w:val="22"/>
                <w:szCs w:val="22"/>
              </w:rPr>
            </w:pPr>
            <w:r>
              <w:rPr>
                <w:color w:val="000000"/>
                <w:kern w:val="0"/>
                <w:sz w:val="22"/>
                <w:szCs w:val="22"/>
              </w:rPr>
              <w:t>对污水处理厂处理后的水体再次进行深度处理，使其满足中水利用水质要求，利用中水进行园林绿化灌溉、公厕冲洗、道路冲洗等，节约和保护水资源。</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rFonts w:eastAsia="等线"/>
                <w:color w:val="000000"/>
                <w:kern w:val="0"/>
                <w:sz w:val="22"/>
                <w:szCs w:val="22"/>
              </w:rPr>
              <w:t>2000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rFonts w:eastAsia="等线"/>
                <w:color w:val="000000"/>
                <w:kern w:val="0"/>
                <w:sz w:val="22"/>
                <w:szCs w:val="22"/>
              </w:rPr>
              <w:t>202</w:t>
            </w:r>
            <w:r>
              <w:rPr>
                <w:rFonts w:hint="eastAsia" w:eastAsia="等线"/>
                <w:color w:val="000000"/>
                <w:kern w:val="0"/>
                <w:sz w:val="22"/>
                <w:szCs w:val="22"/>
                <w:lang w:val="en-US" w:eastAsia="zh-CN"/>
              </w:rPr>
              <w:t>2</w:t>
            </w:r>
            <w:r>
              <w:rPr>
                <w:rFonts w:eastAsia="等线"/>
                <w:color w:val="000000"/>
                <w:kern w:val="0"/>
                <w:sz w:val="22"/>
                <w:szCs w:val="22"/>
              </w:rPr>
              <w:t>-2025</w:t>
            </w:r>
            <w:r>
              <w:rPr>
                <w:color w:val="000000"/>
                <w:kern w:val="0"/>
                <w:sz w:val="22"/>
                <w:szCs w:val="22"/>
              </w:rPr>
              <w:t>年</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eastAsia="仿宋_GB2312"/>
                <w:color w:val="000000"/>
                <w:kern w:val="0"/>
                <w:sz w:val="22"/>
                <w:szCs w:val="22"/>
                <w:lang w:eastAsia="zh-CN"/>
              </w:rPr>
            </w:pPr>
            <w:r>
              <w:rPr>
                <w:color w:val="000000"/>
                <w:kern w:val="0"/>
                <w:sz w:val="22"/>
                <w:szCs w:val="22"/>
              </w:rPr>
              <w:t>县</w:t>
            </w:r>
            <w:r>
              <w:rPr>
                <w:rFonts w:hint="eastAsia"/>
                <w:color w:val="000000"/>
                <w:kern w:val="0"/>
                <w:sz w:val="22"/>
                <w:szCs w:val="22"/>
                <w:lang w:eastAsia="zh-CN"/>
              </w:rPr>
              <w:t>住建局</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sz w:val="22"/>
                <w:szCs w:val="22"/>
              </w:rPr>
            </w:pPr>
            <w:r>
              <w:rPr>
                <w:color w:val="000000"/>
                <w:kern w:val="0"/>
                <w:sz w:val="22"/>
                <w:szCs w:val="22"/>
              </w:rPr>
              <w:t>政府投资</w:t>
            </w:r>
          </w:p>
        </w:tc>
      </w:tr>
      <w:tr>
        <w:tblPrEx>
          <w:shd w:val="clear" w:color="auto" w:fill="auto"/>
          <w:tblCellMar>
            <w:top w:w="0" w:type="dxa"/>
            <w:left w:w="108" w:type="dxa"/>
            <w:bottom w:w="0" w:type="dxa"/>
            <w:right w:w="108" w:type="dxa"/>
          </w:tblCellMar>
        </w:tblPrEx>
        <w:trPr>
          <w:trHeight w:val="750" w:hRule="atLeast"/>
        </w:trPr>
        <w:tc>
          <w:tcPr>
            <w:tcW w:w="5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eastAsia="等线"/>
                <w:color w:val="000000"/>
                <w:kern w:val="0"/>
                <w:sz w:val="21"/>
                <w:szCs w:val="21"/>
                <w:lang w:eastAsia="zh-CN"/>
              </w:rPr>
            </w:pPr>
            <w:r>
              <w:rPr>
                <w:rFonts w:hint="eastAsia" w:eastAsia="等线"/>
                <w:color w:val="000000"/>
                <w:kern w:val="0"/>
                <w:sz w:val="21"/>
                <w:szCs w:val="21"/>
                <w:lang w:val="en-US" w:eastAsia="zh-CN"/>
              </w:rPr>
              <w:t>3</w:t>
            </w:r>
          </w:p>
        </w:tc>
        <w:tc>
          <w:tcPr>
            <w:tcW w:w="185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eastAsia="等线"/>
                <w:color w:val="000000"/>
                <w:kern w:val="0"/>
                <w:sz w:val="22"/>
                <w:szCs w:val="22"/>
              </w:rPr>
            </w:pPr>
            <w:r>
              <w:rPr>
                <w:color w:val="000000"/>
                <w:kern w:val="0"/>
                <w:sz w:val="22"/>
                <w:szCs w:val="22"/>
              </w:rPr>
              <w:t>宁县农村环境综合整治项目</w:t>
            </w:r>
          </w:p>
        </w:tc>
        <w:tc>
          <w:tcPr>
            <w:tcW w:w="626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eastAsia="仿宋_GB2312"/>
                <w:color w:val="000000"/>
                <w:kern w:val="0"/>
                <w:sz w:val="22"/>
                <w:szCs w:val="22"/>
                <w:lang w:eastAsia="zh-CN"/>
              </w:rPr>
            </w:pPr>
            <w:r>
              <w:rPr>
                <w:color w:val="000000"/>
                <w:kern w:val="0"/>
                <w:sz w:val="22"/>
                <w:szCs w:val="22"/>
              </w:rPr>
              <w:t>新建垃圾中转站，购置垃圾收集转运</w:t>
            </w:r>
            <w:r>
              <w:rPr>
                <w:rFonts w:hint="eastAsia"/>
                <w:color w:val="000000"/>
                <w:kern w:val="0"/>
                <w:sz w:val="22"/>
                <w:szCs w:val="22"/>
                <w:lang w:eastAsia="zh-CN"/>
              </w:rPr>
              <w:t>设施，确保农村生活垃圾做到减量化、无害化、资源化利用。</w:t>
            </w: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eastAsia="等线"/>
                <w:color w:val="000000"/>
                <w:kern w:val="0"/>
                <w:sz w:val="22"/>
                <w:szCs w:val="22"/>
                <w:lang w:val="en-US" w:eastAsia="zh-CN"/>
              </w:rPr>
            </w:pPr>
            <w:r>
              <w:rPr>
                <w:rFonts w:hint="eastAsia" w:eastAsia="等线"/>
                <w:color w:val="000000"/>
                <w:kern w:val="0"/>
                <w:sz w:val="22"/>
                <w:szCs w:val="22"/>
                <w:lang w:val="en-US" w:eastAsia="zh-CN"/>
              </w:rPr>
              <w:t>600</w:t>
            </w:r>
          </w:p>
        </w:tc>
        <w:tc>
          <w:tcPr>
            <w:tcW w:w="154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olor w:val="000000"/>
                <w:kern w:val="0"/>
                <w:sz w:val="22"/>
                <w:szCs w:val="22"/>
              </w:rPr>
            </w:pPr>
            <w:r>
              <w:rPr>
                <w:rFonts w:eastAsia="等线"/>
                <w:color w:val="000000"/>
                <w:kern w:val="0"/>
                <w:sz w:val="22"/>
                <w:szCs w:val="22"/>
              </w:rPr>
              <w:t>2021-2025</w:t>
            </w:r>
            <w:r>
              <w:rPr>
                <w:color w:val="000000"/>
                <w:kern w:val="0"/>
                <w:sz w:val="22"/>
                <w:szCs w:val="22"/>
              </w:rPr>
              <w:t>年</w:t>
            </w:r>
          </w:p>
        </w:tc>
        <w:tc>
          <w:tcPr>
            <w:tcW w:w="15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color w:val="000000"/>
                <w:kern w:val="0"/>
                <w:sz w:val="22"/>
                <w:szCs w:val="22"/>
                <w:lang w:eastAsia="zh-CN"/>
              </w:rPr>
            </w:pPr>
            <w:r>
              <w:rPr>
                <w:color w:val="000000"/>
                <w:kern w:val="0"/>
                <w:sz w:val="22"/>
                <w:szCs w:val="22"/>
              </w:rPr>
              <w:t>县</w:t>
            </w:r>
            <w:r>
              <w:rPr>
                <w:rFonts w:hint="eastAsia"/>
                <w:color w:val="000000"/>
                <w:kern w:val="0"/>
                <w:sz w:val="22"/>
                <w:szCs w:val="22"/>
                <w:lang w:eastAsia="zh-CN"/>
              </w:rPr>
              <w:t>住建局</w:t>
            </w:r>
          </w:p>
          <w:p>
            <w:pPr>
              <w:widowControl/>
              <w:spacing w:line="240" w:lineRule="auto"/>
              <w:ind w:firstLine="0" w:firstLineChars="0"/>
              <w:jc w:val="center"/>
              <w:rPr>
                <w:rFonts w:hint="eastAsia"/>
                <w:color w:val="000000"/>
                <w:kern w:val="0"/>
                <w:sz w:val="22"/>
                <w:szCs w:val="22"/>
                <w:lang w:eastAsia="zh-CN"/>
              </w:rPr>
            </w:pPr>
            <w:r>
              <w:rPr>
                <w:rFonts w:hint="eastAsia"/>
                <w:color w:val="000000"/>
                <w:kern w:val="0"/>
                <w:sz w:val="22"/>
                <w:szCs w:val="22"/>
                <w:lang w:eastAsia="zh-CN"/>
              </w:rPr>
              <w:t>农业农村局</w:t>
            </w:r>
          </w:p>
        </w:tc>
        <w:tc>
          <w:tcPr>
            <w:tcW w:w="133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sz w:val="22"/>
                <w:szCs w:val="22"/>
              </w:rPr>
            </w:pPr>
            <w:r>
              <w:rPr>
                <w:color w:val="000000"/>
                <w:kern w:val="0"/>
                <w:sz w:val="22"/>
                <w:szCs w:val="22"/>
              </w:rPr>
              <w:t>政府投资</w:t>
            </w:r>
          </w:p>
        </w:tc>
      </w:tr>
    </w:tbl>
    <w:p>
      <w:pPr>
        <w:ind w:firstLine="0" w:firstLineChars="0"/>
      </w:pPr>
    </w:p>
    <w:sectPr>
      <w:pgSz w:w="16838" w:h="11906" w:orient="landscape"/>
      <w:pgMar w:top="1800" w:right="1440" w:bottom="1800" w:left="1440" w:header="1077" w:footer="992" w:gutter="0"/>
      <w:pgNumType w:fmt="numberInDash"/>
      <w:cols w:space="425"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348917"/>
    </w:sdtPr>
    <w:sdtContent>
      <w:p>
        <w:pPr>
          <w:pStyle w:val="11"/>
          <w:ind w:firstLine="360"/>
          <w:jc w:val="center"/>
        </w:pPr>
        <w:r>
          <w:fldChar w:fldCharType="begin"/>
        </w:r>
        <w:r>
          <w:instrText xml:space="preserve">PAGE   \* MERGEFORMAT</w:instrText>
        </w:r>
        <w:r>
          <w:fldChar w:fldCharType="separate"/>
        </w:r>
        <w:r>
          <w:rPr>
            <w:lang w:val="zh-CN"/>
          </w:rPr>
          <w:t>2</w:t>
        </w:r>
        <w:r>
          <w:fldChar w:fldCharType="end"/>
        </w:r>
      </w:p>
    </w:sdtContent>
  </w:sdt>
  <w:p>
    <w:pPr>
      <w:pStyle w:val="11"/>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6071842"/>
    </w:sdtPr>
    <w:sdtContent>
      <w:p>
        <w:pPr>
          <w:pStyle w:val="11"/>
          <w:ind w:firstLine="360"/>
          <w:jc w:val="center"/>
        </w:pPr>
        <w:r>
          <w:fldChar w:fldCharType="begin"/>
        </w:r>
        <w:r>
          <w:instrText xml:space="preserve">PAGE   \* MERGEFORMAT</w:instrText>
        </w:r>
        <w:r>
          <w:fldChar w:fldCharType="separate"/>
        </w:r>
        <w:r>
          <w:rPr>
            <w:lang w:val="zh-CN"/>
          </w:rPr>
          <w:t>2</w:t>
        </w:r>
        <w:r>
          <w:fldChar w:fldCharType="end"/>
        </w:r>
      </w:p>
    </w:sdtContent>
  </w:sdt>
  <w:p>
    <w:pPr>
      <w:pStyle w:val="11"/>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iii</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iii</w:t>
                    </w:r>
                    <w:r>
                      <w:rPr>
                        <w:rFonts w:hint="eastAsia" w:ascii="宋体" w:hAnsi="宋体" w:eastAsia="宋体" w:cs="宋体"/>
                        <w:sz w:val="28"/>
                        <w:szCs w:val="28"/>
                      </w:rPr>
                      <w:fldChar w:fldCharType="end"/>
                    </w:r>
                  </w:p>
                </w:txbxContent>
              </v:textbox>
            </v:shape>
          </w:pict>
        </mc:Fallback>
      </mc:AlternateContent>
    </w:r>
  </w:p>
  <w:p>
    <w:pPr>
      <w:pStyle w:val="11"/>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560"/>
      </w:pPr>
      <w:r>
        <w:separator/>
      </w:r>
    </w:p>
  </w:footnote>
  <w:footnote w:type="continuationSeparator" w:id="3">
    <w:p>
      <w:pPr>
        <w:spacing w:line="360" w:lineRule="auto"/>
        <w:ind w:firstLine="560"/>
      </w:pPr>
      <w:r>
        <w:continuationSeparator/>
      </w:r>
    </w:p>
  </w:footnote>
  <w:footnote w:id="0">
    <w:p>
      <w:pPr>
        <w:pStyle w:val="13"/>
      </w:pPr>
      <w:r>
        <w:rPr>
          <w:rStyle w:val="18"/>
          <w:vertAlign w:val="baseline"/>
        </w:rPr>
        <w:footnoteRef/>
      </w:r>
      <w:r>
        <w:t xml:space="preserve"> </w:t>
      </w:r>
      <w:r>
        <w:rPr>
          <w:rFonts w:hint="eastAsia"/>
        </w:rPr>
        <w:t>“五区五廊”，即北部沙化土地综合治理区、西部生态脆弱修复区、中部绿化美化先行示范区、南部森林质量提质增效区、东部子午岭森林资源保护区和马莲河、蒲河、柔远河、葫芦河、元城河廊道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80"/>
  <w:drawingGridVerticalSpacing w:val="19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xNDliZTNiNDUzMzZmOTVmNWNmNDBhNjMyMTE1ZDEifQ=="/>
  </w:docVars>
  <w:rsids>
    <w:rsidRoot w:val="00B8423F"/>
    <w:rsid w:val="00001455"/>
    <w:rsid w:val="000023DC"/>
    <w:rsid w:val="00004EE9"/>
    <w:rsid w:val="00005121"/>
    <w:rsid w:val="000054A6"/>
    <w:rsid w:val="0000599A"/>
    <w:rsid w:val="0001015D"/>
    <w:rsid w:val="00010296"/>
    <w:rsid w:val="0001117A"/>
    <w:rsid w:val="000126D3"/>
    <w:rsid w:val="000145B5"/>
    <w:rsid w:val="00015613"/>
    <w:rsid w:val="00016161"/>
    <w:rsid w:val="000161C1"/>
    <w:rsid w:val="00020081"/>
    <w:rsid w:val="000213CE"/>
    <w:rsid w:val="000214DC"/>
    <w:rsid w:val="000222E8"/>
    <w:rsid w:val="00022DF0"/>
    <w:rsid w:val="00023101"/>
    <w:rsid w:val="00023D67"/>
    <w:rsid w:val="000240D0"/>
    <w:rsid w:val="000242F5"/>
    <w:rsid w:val="00026136"/>
    <w:rsid w:val="000274A7"/>
    <w:rsid w:val="00030EBC"/>
    <w:rsid w:val="0003124E"/>
    <w:rsid w:val="00031984"/>
    <w:rsid w:val="00034D28"/>
    <w:rsid w:val="0003505B"/>
    <w:rsid w:val="0003506C"/>
    <w:rsid w:val="00035F2F"/>
    <w:rsid w:val="00036618"/>
    <w:rsid w:val="00042A70"/>
    <w:rsid w:val="00044CFD"/>
    <w:rsid w:val="0004563D"/>
    <w:rsid w:val="00046513"/>
    <w:rsid w:val="00046627"/>
    <w:rsid w:val="00047C0D"/>
    <w:rsid w:val="00050F71"/>
    <w:rsid w:val="00051FB5"/>
    <w:rsid w:val="0005244B"/>
    <w:rsid w:val="00052525"/>
    <w:rsid w:val="00055F05"/>
    <w:rsid w:val="000566D5"/>
    <w:rsid w:val="00064247"/>
    <w:rsid w:val="0006465A"/>
    <w:rsid w:val="00064B9C"/>
    <w:rsid w:val="000660FA"/>
    <w:rsid w:val="000666E5"/>
    <w:rsid w:val="00066D51"/>
    <w:rsid w:val="00070FB6"/>
    <w:rsid w:val="00073669"/>
    <w:rsid w:val="00077847"/>
    <w:rsid w:val="00077C70"/>
    <w:rsid w:val="00077DFD"/>
    <w:rsid w:val="00080A83"/>
    <w:rsid w:val="00082F36"/>
    <w:rsid w:val="000835A9"/>
    <w:rsid w:val="0008427C"/>
    <w:rsid w:val="0008583E"/>
    <w:rsid w:val="000858FC"/>
    <w:rsid w:val="00086AAA"/>
    <w:rsid w:val="000943D4"/>
    <w:rsid w:val="000955F8"/>
    <w:rsid w:val="000A12CF"/>
    <w:rsid w:val="000A18FF"/>
    <w:rsid w:val="000A24C7"/>
    <w:rsid w:val="000A7E35"/>
    <w:rsid w:val="000B2E0B"/>
    <w:rsid w:val="000B3CDF"/>
    <w:rsid w:val="000B5B53"/>
    <w:rsid w:val="000C3CBD"/>
    <w:rsid w:val="000C4FF0"/>
    <w:rsid w:val="000C6794"/>
    <w:rsid w:val="000D004F"/>
    <w:rsid w:val="000D1D3D"/>
    <w:rsid w:val="000D5B29"/>
    <w:rsid w:val="000D71B6"/>
    <w:rsid w:val="000E1A1A"/>
    <w:rsid w:val="000E3596"/>
    <w:rsid w:val="000E3A14"/>
    <w:rsid w:val="000E5321"/>
    <w:rsid w:val="000E5898"/>
    <w:rsid w:val="000E5F74"/>
    <w:rsid w:val="000E6648"/>
    <w:rsid w:val="000F03F5"/>
    <w:rsid w:val="000F11C3"/>
    <w:rsid w:val="000F14A2"/>
    <w:rsid w:val="000F4EC8"/>
    <w:rsid w:val="000F5B16"/>
    <w:rsid w:val="000F66B8"/>
    <w:rsid w:val="000F6A88"/>
    <w:rsid w:val="000F7B74"/>
    <w:rsid w:val="00100E2E"/>
    <w:rsid w:val="001016E1"/>
    <w:rsid w:val="0010214F"/>
    <w:rsid w:val="00102CA6"/>
    <w:rsid w:val="0010371E"/>
    <w:rsid w:val="0010437E"/>
    <w:rsid w:val="00105C6A"/>
    <w:rsid w:val="00107D67"/>
    <w:rsid w:val="00110B60"/>
    <w:rsid w:val="00112D17"/>
    <w:rsid w:val="0011389C"/>
    <w:rsid w:val="00113EFA"/>
    <w:rsid w:val="00114BF0"/>
    <w:rsid w:val="00114CBB"/>
    <w:rsid w:val="00115163"/>
    <w:rsid w:val="00115FE0"/>
    <w:rsid w:val="00116A48"/>
    <w:rsid w:val="00117A08"/>
    <w:rsid w:val="00117CF9"/>
    <w:rsid w:val="0012501E"/>
    <w:rsid w:val="001267FF"/>
    <w:rsid w:val="00126BC9"/>
    <w:rsid w:val="00130233"/>
    <w:rsid w:val="00131D87"/>
    <w:rsid w:val="0013361D"/>
    <w:rsid w:val="00136758"/>
    <w:rsid w:val="001371FE"/>
    <w:rsid w:val="001375F8"/>
    <w:rsid w:val="00137F09"/>
    <w:rsid w:val="00140C56"/>
    <w:rsid w:val="00141B07"/>
    <w:rsid w:val="00141D76"/>
    <w:rsid w:val="00144014"/>
    <w:rsid w:val="00146333"/>
    <w:rsid w:val="00146905"/>
    <w:rsid w:val="0015042D"/>
    <w:rsid w:val="00151CBE"/>
    <w:rsid w:val="00153C99"/>
    <w:rsid w:val="00155473"/>
    <w:rsid w:val="001576F1"/>
    <w:rsid w:val="001578CF"/>
    <w:rsid w:val="00157D52"/>
    <w:rsid w:val="00163ED0"/>
    <w:rsid w:val="0016476A"/>
    <w:rsid w:val="00165046"/>
    <w:rsid w:val="00167690"/>
    <w:rsid w:val="00167F2E"/>
    <w:rsid w:val="00167F84"/>
    <w:rsid w:val="0017017A"/>
    <w:rsid w:val="00172E19"/>
    <w:rsid w:val="00173ABB"/>
    <w:rsid w:val="001749CF"/>
    <w:rsid w:val="00174F1B"/>
    <w:rsid w:val="00174F32"/>
    <w:rsid w:val="00175A3F"/>
    <w:rsid w:val="00175C45"/>
    <w:rsid w:val="00176436"/>
    <w:rsid w:val="00177F90"/>
    <w:rsid w:val="00180108"/>
    <w:rsid w:val="0018106D"/>
    <w:rsid w:val="001828B9"/>
    <w:rsid w:val="00183D1B"/>
    <w:rsid w:val="00185EAD"/>
    <w:rsid w:val="00185FEE"/>
    <w:rsid w:val="0018625F"/>
    <w:rsid w:val="00186A01"/>
    <w:rsid w:val="001874CC"/>
    <w:rsid w:val="0019089C"/>
    <w:rsid w:val="00191486"/>
    <w:rsid w:val="00192F8E"/>
    <w:rsid w:val="001951C3"/>
    <w:rsid w:val="0019581F"/>
    <w:rsid w:val="00195D72"/>
    <w:rsid w:val="00196165"/>
    <w:rsid w:val="00196C09"/>
    <w:rsid w:val="001A0AB8"/>
    <w:rsid w:val="001A1BAE"/>
    <w:rsid w:val="001A1DD2"/>
    <w:rsid w:val="001A40BA"/>
    <w:rsid w:val="001A40EC"/>
    <w:rsid w:val="001A4237"/>
    <w:rsid w:val="001A694A"/>
    <w:rsid w:val="001A7D87"/>
    <w:rsid w:val="001B22CE"/>
    <w:rsid w:val="001B2A97"/>
    <w:rsid w:val="001B36D3"/>
    <w:rsid w:val="001B39C6"/>
    <w:rsid w:val="001C0651"/>
    <w:rsid w:val="001C0F6B"/>
    <w:rsid w:val="001C1AEC"/>
    <w:rsid w:val="001C1B24"/>
    <w:rsid w:val="001C2252"/>
    <w:rsid w:val="001C28C9"/>
    <w:rsid w:val="001C2EE8"/>
    <w:rsid w:val="001C32E4"/>
    <w:rsid w:val="001C45D9"/>
    <w:rsid w:val="001C4E4F"/>
    <w:rsid w:val="001C55FA"/>
    <w:rsid w:val="001C59C6"/>
    <w:rsid w:val="001C7D0E"/>
    <w:rsid w:val="001D1C01"/>
    <w:rsid w:val="001D1E16"/>
    <w:rsid w:val="001D381A"/>
    <w:rsid w:val="001D3843"/>
    <w:rsid w:val="001D6967"/>
    <w:rsid w:val="001E025D"/>
    <w:rsid w:val="001E0774"/>
    <w:rsid w:val="001E30A2"/>
    <w:rsid w:val="001E3782"/>
    <w:rsid w:val="001F0B3B"/>
    <w:rsid w:val="001F1807"/>
    <w:rsid w:val="001F41A4"/>
    <w:rsid w:val="001F4873"/>
    <w:rsid w:val="001F5318"/>
    <w:rsid w:val="001F5F5C"/>
    <w:rsid w:val="0020261F"/>
    <w:rsid w:val="00205C0E"/>
    <w:rsid w:val="00207500"/>
    <w:rsid w:val="0020794C"/>
    <w:rsid w:val="00207F81"/>
    <w:rsid w:val="0021370A"/>
    <w:rsid w:val="0021432F"/>
    <w:rsid w:val="00214C7B"/>
    <w:rsid w:val="00214E5A"/>
    <w:rsid w:val="00215362"/>
    <w:rsid w:val="00215F1F"/>
    <w:rsid w:val="00217897"/>
    <w:rsid w:val="0022094D"/>
    <w:rsid w:val="00220A2A"/>
    <w:rsid w:val="00223DD7"/>
    <w:rsid w:val="00226431"/>
    <w:rsid w:val="00231118"/>
    <w:rsid w:val="00237157"/>
    <w:rsid w:val="00244320"/>
    <w:rsid w:val="00245C84"/>
    <w:rsid w:val="0024716B"/>
    <w:rsid w:val="00250D7D"/>
    <w:rsid w:val="002512C5"/>
    <w:rsid w:val="00251A43"/>
    <w:rsid w:val="00253613"/>
    <w:rsid w:val="00255028"/>
    <w:rsid w:val="0025757F"/>
    <w:rsid w:val="002614C7"/>
    <w:rsid w:val="00261689"/>
    <w:rsid w:val="0026397E"/>
    <w:rsid w:val="002650BC"/>
    <w:rsid w:val="002664AD"/>
    <w:rsid w:val="0026675A"/>
    <w:rsid w:val="00267D85"/>
    <w:rsid w:val="0027316C"/>
    <w:rsid w:val="00274E6B"/>
    <w:rsid w:val="00276523"/>
    <w:rsid w:val="002845FD"/>
    <w:rsid w:val="00284B33"/>
    <w:rsid w:val="002869CA"/>
    <w:rsid w:val="00286D06"/>
    <w:rsid w:val="00290183"/>
    <w:rsid w:val="0029163E"/>
    <w:rsid w:val="00294464"/>
    <w:rsid w:val="002955EE"/>
    <w:rsid w:val="0029605E"/>
    <w:rsid w:val="0029613F"/>
    <w:rsid w:val="00296D64"/>
    <w:rsid w:val="00296DDD"/>
    <w:rsid w:val="002A02FD"/>
    <w:rsid w:val="002A0CF5"/>
    <w:rsid w:val="002A2519"/>
    <w:rsid w:val="002A45B8"/>
    <w:rsid w:val="002B06DC"/>
    <w:rsid w:val="002B084F"/>
    <w:rsid w:val="002B243C"/>
    <w:rsid w:val="002B2E7F"/>
    <w:rsid w:val="002B4192"/>
    <w:rsid w:val="002B464B"/>
    <w:rsid w:val="002B7840"/>
    <w:rsid w:val="002B7F70"/>
    <w:rsid w:val="002C0F79"/>
    <w:rsid w:val="002C142A"/>
    <w:rsid w:val="002C2943"/>
    <w:rsid w:val="002C2B82"/>
    <w:rsid w:val="002C39A7"/>
    <w:rsid w:val="002C5533"/>
    <w:rsid w:val="002C576C"/>
    <w:rsid w:val="002C64F5"/>
    <w:rsid w:val="002C679F"/>
    <w:rsid w:val="002C7AAF"/>
    <w:rsid w:val="002D2E23"/>
    <w:rsid w:val="002D4210"/>
    <w:rsid w:val="002D6C17"/>
    <w:rsid w:val="002D6F29"/>
    <w:rsid w:val="002E1909"/>
    <w:rsid w:val="002E2BB9"/>
    <w:rsid w:val="002E3FF0"/>
    <w:rsid w:val="002E5721"/>
    <w:rsid w:val="002E5991"/>
    <w:rsid w:val="002E5CB3"/>
    <w:rsid w:val="002E7179"/>
    <w:rsid w:val="002F17BA"/>
    <w:rsid w:val="002F1D19"/>
    <w:rsid w:val="002F20B6"/>
    <w:rsid w:val="002F59A5"/>
    <w:rsid w:val="002F616E"/>
    <w:rsid w:val="002F66BD"/>
    <w:rsid w:val="002F6923"/>
    <w:rsid w:val="002F733E"/>
    <w:rsid w:val="003003D1"/>
    <w:rsid w:val="00301EF9"/>
    <w:rsid w:val="003026C1"/>
    <w:rsid w:val="00304729"/>
    <w:rsid w:val="00304E29"/>
    <w:rsid w:val="00305402"/>
    <w:rsid w:val="003055C7"/>
    <w:rsid w:val="00305B49"/>
    <w:rsid w:val="00305C84"/>
    <w:rsid w:val="00305EDE"/>
    <w:rsid w:val="00306725"/>
    <w:rsid w:val="003078C0"/>
    <w:rsid w:val="00311FFC"/>
    <w:rsid w:val="00315CE7"/>
    <w:rsid w:val="0031691C"/>
    <w:rsid w:val="00316AFD"/>
    <w:rsid w:val="00317CCE"/>
    <w:rsid w:val="003213A7"/>
    <w:rsid w:val="003254B8"/>
    <w:rsid w:val="0032558B"/>
    <w:rsid w:val="003264A0"/>
    <w:rsid w:val="0032678F"/>
    <w:rsid w:val="003270C9"/>
    <w:rsid w:val="00327B0E"/>
    <w:rsid w:val="00335573"/>
    <w:rsid w:val="00335AB9"/>
    <w:rsid w:val="00340285"/>
    <w:rsid w:val="0034178F"/>
    <w:rsid w:val="00345424"/>
    <w:rsid w:val="00345489"/>
    <w:rsid w:val="00346ADB"/>
    <w:rsid w:val="003521D8"/>
    <w:rsid w:val="00352696"/>
    <w:rsid w:val="00352B2F"/>
    <w:rsid w:val="00352C91"/>
    <w:rsid w:val="00353D31"/>
    <w:rsid w:val="00356AAF"/>
    <w:rsid w:val="00356CE1"/>
    <w:rsid w:val="003576CA"/>
    <w:rsid w:val="003579BD"/>
    <w:rsid w:val="003579C5"/>
    <w:rsid w:val="00364047"/>
    <w:rsid w:val="003668DD"/>
    <w:rsid w:val="00370170"/>
    <w:rsid w:val="003716B3"/>
    <w:rsid w:val="00371B19"/>
    <w:rsid w:val="00371CD5"/>
    <w:rsid w:val="00371D8F"/>
    <w:rsid w:val="003728C3"/>
    <w:rsid w:val="00376307"/>
    <w:rsid w:val="003773AB"/>
    <w:rsid w:val="00380EF6"/>
    <w:rsid w:val="0038222E"/>
    <w:rsid w:val="0038277A"/>
    <w:rsid w:val="003851F1"/>
    <w:rsid w:val="00385F23"/>
    <w:rsid w:val="0038646E"/>
    <w:rsid w:val="00390157"/>
    <w:rsid w:val="00390C73"/>
    <w:rsid w:val="00390CE1"/>
    <w:rsid w:val="003913D9"/>
    <w:rsid w:val="0039191D"/>
    <w:rsid w:val="00392DDB"/>
    <w:rsid w:val="0039427D"/>
    <w:rsid w:val="00395014"/>
    <w:rsid w:val="0039569C"/>
    <w:rsid w:val="00396905"/>
    <w:rsid w:val="00396AA4"/>
    <w:rsid w:val="003A3F48"/>
    <w:rsid w:val="003A52B8"/>
    <w:rsid w:val="003A63C9"/>
    <w:rsid w:val="003A6899"/>
    <w:rsid w:val="003A75A2"/>
    <w:rsid w:val="003B1FE2"/>
    <w:rsid w:val="003B5B61"/>
    <w:rsid w:val="003C0715"/>
    <w:rsid w:val="003C2851"/>
    <w:rsid w:val="003C2C5D"/>
    <w:rsid w:val="003C36F6"/>
    <w:rsid w:val="003C388A"/>
    <w:rsid w:val="003C52BE"/>
    <w:rsid w:val="003C5DB7"/>
    <w:rsid w:val="003C6DEE"/>
    <w:rsid w:val="003C799E"/>
    <w:rsid w:val="003D08A2"/>
    <w:rsid w:val="003D212B"/>
    <w:rsid w:val="003D2986"/>
    <w:rsid w:val="003D30C7"/>
    <w:rsid w:val="003D583B"/>
    <w:rsid w:val="003D5912"/>
    <w:rsid w:val="003D72BC"/>
    <w:rsid w:val="003E123E"/>
    <w:rsid w:val="003E1562"/>
    <w:rsid w:val="003E38CB"/>
    <w:rsid w:val="003E7FE0"/>
    <w:rsid w:val="003F09BB"/>
    <w:rsid w:val="003F1F63"/>
    <w:rsid w:val="003F3B7C"/>
    <w:rsid w:val="003F43E0"/>
    <w:rsid w:val="003F46ED"/>
    <w:rsid w:val="003F63A7"/>
    <w:rsid w:val="003F7476"/>
    <w:rsid w:val="00401EE0"/>
    <w:rsid w:val="00403464"/>
    <w:rsid w:val="00404100"/>
    <w:rsid w:val="00404150"/>
    <w:rsid w:val="00404A57"/>
    <w:rsid w:val="00404F9C"/>
    <w:rsid w:val="0040599D"/>
    <w:rsid w:val="0040665F"/>
    <w:rsid w:val="004107EC"/>
    <w:rsid w:val="00410A2C"/>
    <w:rsid w:val="00410E4A"/>
    <w:rsid w:val="00411D59"/>
    <w:rsid w:val="00414460"/>
    <w:rsid w:val="00415796"/>
    <w:rsid w:val="004168A5"/>
    <w:rsid w:val="00420468"/>
    <w:rsid w:val="00420A40"/>
    <w:rsid w:val="00420E90"/>
    <w:rsid w:val="00421223"/>
    <w:rsid w:val="00423552"/>
    <w:rsid w:val="00423C6D"/>
    <w:rsid w:val="00426436"/>
    <w:rsid w:val="0042658E"/>
    <w:rsid w:val="00427A28"/>
    <w:rsid w:val="00430B58"/>
    <w:rsid w:val="00432140"/>
    <w:rsid w:val="00432484"/>
    <w:rsid w:val="00434A9F"/>
    <w:rsid w:val="00437E08"/>
    <w:rsid w:val="004421A1"/>
    <w:rsid w:val="00442688"/>
    <w:rsid w:val="00444C1B"/>
    <w:rsid w:val="00445704"/>
    <w:rsid w:val="004467DA"/>
    <w:rsid w:val="00446E1D"/>
    <w:rsid w:val="00450832"/>
    <w:rsid w:val="00450A42"/>
    <w:rsid w:val="00451705"/>
    <w:rsid w:val="0045204A"/>
    <w:rsid w:val="00452F64"/>
    <w:rsid w:val="0045313D"/>
    <w:rsid w:val="00455152"/>
    <w:rsid w:val="004569D4"/>
    <w:rsid w:val="00457BD9"/>
    <w:rsid w:val="00460B6C"/>
    <w:rsid w:val="00461651"/>
    <w:rsid w:val="0046250D"/>
    <w:rsid w:val="004640E4"/>
    <w:rsid w:val="004645CB"/>
    <w:rsid w:val="00465794"/>
    <w:rsid w:val="00465F91"/>
    <w:rsid w:val="004666BC"/>
    <w:rsid w:val="00466EE5"/>
    <w:rsid w:val="004702F7"/>
    <w:rsid w:val="004725D5"/>
    <w:rsid w:val="004727FD"/>
    <w:rsid w:val="00472C73"/>
    <w:rsid w:val="00473EFC"/>
    <w:rsid w:val="00476E78"/>
    <w:rsid w:val="004774CC"/>
    <w:rsid w:val="004775DF"/>
    <w:rsid w:val="0048283D"/>
    <w:rsid w:val="00483CAC"/>
    <w:rsid w:val="00483DBC"/>
    <w:rsid w:val="00484E4A"/>
    <w:rsid w:val="0048690B"/>
    <w:rsid w:val="0048734C"/>
    <w:rsid w:val="00487FE6"/>
    <w:rsid w:val="00491FA2"/>
    <w:rsid w:val="004939CB"/>
    <w:rsid w:val="00495D86"/>
    <w:rsid w:val="00496D11"/>
    <w:rsid w:val="004A0F83"/>
    <w:rsid w:val="004A1ADC"/>
    <w:rsid w:val="004A3BF5"/>
    <w:rsid w:val="004A3F3A"/>
    <w:rsid w:val="004B0DCB"/>
    <w:rsid w:val="004B3195"/>
    <w:rsid w:val="004B3FCC"/>
    <w:rsid w:val="004B4064"/>
    <w:rsid w:val="004B4D8B"/>
    <w:rsid w:val="004B5E95"/>
    <w:rsid w:val="004C0043"/>
    <w:rsid w:val="004C068A"/>
    <w:rsid w:val="004C0A06"/>
    <w:rsid w:val="004C2118"/>
    <w:rsid w:val="004C306F"/>
    <w:rsid w:val="004C312C"/>
    <w:rsid w:val="004C4E51"/>
    <w:rsid w:val="004C5B04"/>
    <w:rsid w:val="004C684A"/>
    <w:rsid w:val="004C6A95"/>
    <w:rsid w:val="004C6CCF"/>
    <w:rsid w:val="004C750E"/>
    <w:rsid w:val="004D06D1"/>
    <w:rsid w:val="004D0765"/>
    <w:rsid w:val="004D20BB"/>
    <w:rsid w:val="004D272C"/>
    <w:rsid w:val="004D275C"/>
    <w:rsid w:val="004D37B8"/>
    <w:rsid w:val="004D4EEA"/>
    <w:rsid w:val="004D51FE"/>
    <w:rsid w:val="004E10C7"/>
    <w:rsid w:val="004E1489"/>
    <w:rsid w:val="004E382C"/>
    <w:rsid w:val="004E593A"/>
    <w:rsid w:val="004E7C33"/>
    <w:rsid w:val="004F113E"/>
    <w:rsid w:val="004F1276"/>
    <w:rsid w:val="004F3460"/>
    <w:rsid w:val="004F3527"/>
    <w:rsid w:val="004F4BCE"/>
    <w:rsid w:val="004F51C0"/>
    <w:rsid w:val="004F54F5"/>
    <w:rsid w:val="004F5569"/>
    <w:rsid w:val="004F5B23"/>
    <w:rsid w:val="004F7E1A"/>
    <w:rsid w:val="00500278"/>
    <w:rsid w:val="00500E7A"/>
    <w:rsid w:val="00501874"/>
    <w:rsid w:val="0050342E"/>
    <w:rsid w:val="00503A56"/>
    <w:rsid w:val="00503E62"/>
    <w:rsid w:val="005046AE"/>
    <w:rsid w:val="005049E3"/>
    <w:rsid w:val="00505D4E"/>
    <w:rsid w:val="00510281"/>
    <w:rsid w:val="00513198"/>
    <w:rsid w:val="005135CD"/>
    <w:rsid w:val="005142A8"/>
    <w:rsid w:val="005143F2"/>
    <w:rsid w:val="00517F15"/>
    <w:rsid w:val="005201C5"/>
    <w:rsid w:val="00520766"/>
    <w:rsid w:val="00520B3B"/>
    <w:rsid w:val="005217D5"/>
    <w:rsid w:val="00521B2B"/>
    <w:rsid w:val="005227CB"/>
    <w:rsid w:val="00523664"/>
    <w:rsid w:val="00524ABA"/>
    <w:rsid w:val="005256E6"/>
    <w:rsid w:val="00525E47"/>
    <w:rsid w:val="00525ED3"/>
    <w:rsid w:val="00527524"/>
    <w:rsid w:val="005314D4"/>
    <w:rsid w:val="0053426A"/>
    <w:rsid w:val="00534A7D"/>
    <w:rsid w:val="00534FC9"/>
    <w:rsid w:val="00535419"/>
    <w:rsid w:val="00535EE3"/>
    <w:rsid w:val="0053647D"/>
    <w:rsid w:val="00537447"/>
    <w:rsid w:val="0053799E"/>
    <w:rsid w:val="00541946"/>
    <w:rsid w:val="00541E7F"/>
    <w:rsid w:val="00541EA0"/>
    <w:rsid w:val="00543970"/>
    <w:rsid w:val="005451BA"/>
    <w:rsid w:val="00546346"/>
    <w:rsid w:val="0055094C"/>
    <w:rsid w:val="00553268"/>
    <w:rsid w:val="00553EDE"/>
    <w:rsid w:val="00554082"/>
    <w:rsid w:val="005550E4"/>
    <w:rsid w:val="005555CC"/>
    <w:rsid w:val="00556260"/>
    <w:rsid w:val="00561489"/>
    <w:rsid w:val="00567127"/>
    <w:rsid w:val="00571D96"/>
    <w:rsid w:val="0057285F"/>
    <w:rsid w:val="00572ABB"/>
    <w:rsid w:val="00573869"/>
    <w:rsid w:val="00574590"/>
    <w:rsid w:val="00574B15"/>
    <w:rsid w:val="005758A0"/>
    <w:rsid w:val="00580314"/>
    <w:rsid w:val="005848D4"/>
    <w:rsid w:val="00585585"/>
    <w:rsid w:val="005856D3"/>
    <w:rsid w:val="005861CA"/>
    <w:rsid w:val="00586F75"/>
    <w:rsid w:val="005872CE"/>
    <w:rsid w:val="00587B05"/>
    <w:rsid w:val="00590407"/>
    <w:rsid w:val="0059289F"/>
    <w:rsid w:val="005935C2"/>
    <w:rsid w:val="0059370F"/>
    <w:rsid w:val="005A0C0E"/>
    <w:rsid w:val="005A0F78"/>
    <w:rsid w:val="005A1A4C"/>
    <w:rsid w:val="005A1E7B"/>
    <w:rsid w:val="005A3178"/>
    <w:rsid w:val="005A4FA8"/>
    <w:rsid w:val="005A74B3"/>
    <w:rsid w:val="005B12F7"/>
    <w:rsid w:val="005B1A27"/>
    <w:rsid w:val="005B22C3"/>
    <w:rsid w:val="005B2419"/>
    <w:rsid w:val="005B2EFF"/>
    <w:rsid w:val="005B3750"/>
    <w:rsid w:val="005B643E"/>
    <w:rsid w:val="005C1234"/>
    <w:rsid w:val="005C177B"/>
    <w:rsid w:val="005C3A86"/>
    <w:rsid w:val="005C4C7C"/>
    <w:rsid w:val="005C5FB0"/>
    <w:rsid w:val="005D053C"/>
    <w:rsid w:val="005D1D73"/>
    <w:rsid w:val="005D3B96"/>
    <w:rsid w:val="005D3C55"/>
    <w:rsid w:val="005E087B"/>
    <w:rsid w:val="005E17F7"/>
    <w:rsid w:val="005E2C2C"/>
    <w:rsid w:val="005E4156"/>
    <w:rsid w:val="005E4A44"/>
    <w:rsid w:val="005E57DE"/>
    <w:rsid w:val="005E615B"/>
    <w:rsid w:val="005F138B"/>
    <w:rsid w:val="005F1FFF"/>
    <w:rsid w:val="005F418B"/>
    <w:rsid w:val="005F513D"/>
    <w:rsid w:val="005F6E3A"/>
    <w:rsid w:val="005F7CEE"/>
    <w:rsid w:val="006005E6"/>
    <w:rsid w:val="00601C63"/>
    <w:rsid w:val="006035FC"/>
    <w:rsid w:val="00603949"/>
    <w:rsid w:val="00605771"/>
    <w:rsid w:val="00606854"/>
    <w:rsid w:val="0061235E"/>
    <w:rsid w:val="006137A0"/>
    <w:rsid w:val="00613949"/>
    <w:rsid w:val="0061397B"/>
    <w:rsid w:val="00613CD1"/>
    <w:rsid w:val="00613D2F"/>
    <w:rsid w:val="006174AC"/>
    <w:rsid w:val="00620596"/>
    <w:rsid w:val="00620B3F"/>
    <w:rsid w:val="00621D4B"/>
    <w:rsid w:val="0062289D"/>
    <w:rsid w:val="00623E95"/>
    <w:rsid w:val="0062402A"/>
    <w:rsid w:val="006250B9"/>
    <w:rsid w:val="0062578D"/>
    <w:rsid w:val="00625F54"/>
    <w:rsid w:val="00626DAC"/>
    <w:rsid w:val="00627B95"/>
    <w:rsid w:val="006306F7"/>
    <w:rsid w:val="00630F82"/>
    <w:rsid w:val="006312D6"/>
    <w:rsid w:val="006319A2"/>
    <w:rsid w:val="0063761E"/>
    <w:rsid w:val="00637D87"/>
    <w:rsid w:val="00637F05"/>
    <w:rsid w:val="00642146"/>
    <w:rsid w:val="00643E6C"/>
    <w:rsid w:val="006455F6"/>
    <w:rsid w:val="0064610C"/>
    <w:rsid w:val="006505B7"/>
    <w:rsid w:val="00650798"/>
    <w:rsid w:val="0065127A"/>
    <w:rsid w:val="0065260A"/>
    <w:rsid w:val="006548BE"/>
    <w:rsid w:val="00655F48"/>
    <w:rsid w:val="00656D5D"/>
    <w:rsid w:val="006604F7"/>
    <w:rsid w:val="0066201E"/>
    <w:rsid w:val="006622AC"/>
    <w:rsid w:val="006640AE"/>
    <w:rsid w:val="0066630F"/>
    <w:rsid w:val="00667ABE"/>
    <w:rsid w:val="00667F8D"/>
    <w:rsid w:val="00670740"/>
    <w:rsid w:val="00672228"/>
    <w:rsid w:val="00672DAF"/>
    <w:rsid w:val="0067352D"/>
    <w:rsid w:val="006763A6"/>
    <w:rsid w:val="006773E9"/>
    <w:rsid w:val="00677A4D"/>
    <w:rsid w:val="00680658"/>
    <w:rsid w:val="00683633"/>
    <w:rsid w:val="00685556"/>
    <w:rsid w:val="00687338"/>
    <w:rsid w:val="00687BBB"/>
    <w:rsid w:val="00691AFE"/>
    <w:rsid w:val="0069247F"/>
    <w:rsid w:val="0069279E"/>
    <w:rsid w:val="00694A91"/>
    <w:rsid w:val="00695F47"/>
    <w:rsid w:val="006A0185"/>
    <w:rsid w:val="006A253D"/>
    <w:rsid w:val="006A2E27"/>
    <w:rsid w:val="006B0698"/>
    <w:rsid w:val="006B0D18"/>
    <w:rsid w:val="006B0D61"/>
    <w:rsid w:val="006B35C8"/>
    <w:rsid w:val="006B75B6"/>
    <w:rsid w:val="006C05C1"/>
    <w:rsid w:val="006C185F"/>
    <w:rsid w:val="006C279C"/>
    <w:rsid w:val="006C40BA"/>
    <w:rsid w:val="006D043E"/>
    <w:rsid w:val="006D14D7"/>
    <w:rsid w:val="006D1669"/>
    <w:rsid w:val="006D1ABC"/>
    <w:rsid w:val="006D321E"/>
    <w:rsid w:val="006D3C8A"/>
    <w:rsid w:val="006D4D02"/>
    <w:rsid w:val="006D711E"/>
    <w:rsid w:val="006E0FD6"/>
    <w:rsid w:val="006E1916"/>
    <w:rsid w:val="006E36BF"/>
    <w:rsid w:val="006E4262"/>
    <w:rsid w:val="006E5373"/>
    <w:rsid w:val="006E63D0"/>
    <w:rsid w:val="006E63F8"/>
    <w:rsid w:val="006E7CCB"/>
    <w:rsid w:val="006F0033"/>
    <w:rsid w:val="006F08FD"/>
    <w:rsid w:val="006F1E29"/>
    <w:rsid w:val="006F1FFB"/>
    <w:rsid w:val="006F3D69"/>
    <w:rsid w:val="006F5321"/>
    <w:rsid w:val="006F5967"/>
    <w:rsid w:val="006F5B60"/>
    <w:rsid w:val="006F5C8C"/>
    <w:rsid w:val="006F60A8"/>
    <w:rsid w:val="00701FCD"/>
    <w:rsid w:val="00702227"/>
    <w:rsid w:val="0070404B"/>
    <w:rsid w:val="00705B66"/>
    <w:rsid w:val="00705E31"/>
    <w:rsid w:val="00706AB6"/>
    <w:rsid w:val="007077A5"/>
    <w:rsid w:val="00710880"/>
    <w:rsid w:val="00711C7A"/>
    <w:rsid w:val="00711F5F"/>
    <w:rsid w:val="007127FB"/>
    <w:rsid w:val="00714987"/>
    <w:rsid w:val="0071511A"/>
    <w:rsid w:val="007169DB"/>
    <w:rsid w:val="00720771"/>
    <w:rsid w:val="00721B05"/>
    <w:rsid w:val="00722FB3"/>
    <w:rsid w:val="00723E71"/>
    <w:rsid w:val="00724FAE"/>
    <w:rsid w:val="00725C3B"/>
    <w:rsid w:val="00725D06"/>
    <w:rsid w:val="00725D29"/>
    <w:rsid w:val="0072784B"/>
    <w:rsid w:val="00727EB2"/>
    <w:rsid w:val="0073057A"/>
    <w:rsid w:val="00730F7E"/>
    <w:rsid w:val="00735634"/>
    <w:rsid w:val="007359C3"/>
    <w:rsid w:val="00741097"/>
    <w:rsid w:val="007424EB"/>
    <w:rsid w:val="0074301F"/>
    <w:rsid w:val="00744012"/>
    <w:rsid w:val="007509E1"/>
    <w:rsid w:val="00750CB7"/>
    <w:rsid w:val="0075128E"/>
    <w:rsid w:val="00751A24"/>
    <w:rsid w:val="007523C0"/>
    <w:rsid w:val="0075244B"/>
    <w:rsid w:val="0075599A"/>
    <w:rsid w:val="00756EEC"/>
    <w:rsid w:val="007603F3"/>
    <w:rsid w:val="00764641"/>
    <w:rsid w:val="00764DB8"/>
    <w:rsid w:val="00766689"/>
    <w:rsid w:val="00766BB1"/>
    <w:rsid w:val="007701FC"/>
    <w:rsid w:val="0077153D"/>
    <w:rsid w:val="007719C0"/>
    <w:rsid w:val="0077222B"/>
    <w:rsid w:val="00772315"/>
    <w:rsid w:val="007732F6"/>
    <w:rsid w:val="007738EC"/>
    <w:rsid w:val="007757F9"/>
    <w:rsid w:val="007758FF"/>
    <w:rsid w:val="00776E8B"/>
    <w:rsid w:val="00777CF7"/>
    <w:rsid w:val="007804B6"/>
    <w:rsid w:val="007823F3"/>
    <w:rsid w:val="00785ED2"/>
    <w:rsid w:val="00786BE5"/>
    <w:rsid w:val="00787750"/>
    <w:rsid w:val="0079322F"/>
    <w:rsid w:val="0079432A"/>
    <w:rsid w:val="0079438B"/>
    <w:rsid w:val="00794F54"/>
    <w:rsid w:val="007A0EEC"/>
    <w:rsid w:val="007A3A6B"/>
    <w:rsid w:val="007A3D0A"/>
    <w:rsid w:val="007A3F39"/>
    <w:rsid w:val="007A64F7"/>
    <w:rsid w:val="007A6DC7"/>
    <w:rsid w:val="007A6F81"/>
    <w:rsid w:val="007B10E0"/>
    <w:rsid w:val="007B2950"/>
    <w:rsid w:val="007B3A1B"/>
    <w:rsid w:val="007B3D7F"/>
    <w:rsid w:val="007B3DF4"/>
    <w:rsid w:val="007B496E"/>
    <w:rsid w:val="007B66E4"/>
    <w:rsid w:val="007C01CA"/>
    <w:rsid w:val="007C17E5"/>
    <w:rsid w:val="007C1FDA"/>
    <w:rsid w:val="007C562D"/>
    <w:rsid w:val="007C6D87"/>
    <w:rsid w:val="007C7477"/>
    <w:rsid w:val="007D0DF8"/>
    <w:rsid w:val="007D17E0"/>
    <w:rsid w:val="007D5F34"/>
    <w:rsid w:val="007D70C9"/>
    <w:rsid w:val="007E1055"/>
    <w:rsid w:val="007E270D"/>
    <w:rsid w:val="007E2717"/>
    <w:rsid w:val="007E2E9F"/>
    <w:rsid w:val="007E2F51"/>
    <w:rsid w:val="007E3066"/>
    <w:rsid w:val="007E31CE"/>
    <w:rsid w:val="007E32D4"/>
    <w:rsid w:val="007E3763"/>
    <w:rsid w:val="007E4C28"/>
    <w:rsid w:val="007E57C6"/>
    <w:rsid w:val="007E5D0B"/>
    <w:rsid w:val="007E690E"/>
    <w:rsid w:val="007E756C"/>
    <w:rsid w:val="007E769A"/>
    <w:rsid w:val="007F051C"/>
    <w:rsid w:val="007F0979"/>
    <w:rsid w:val="007F22E9"/>
    <w:rsid w:val="007F638B"/>
    <w:rsid w:val="007F6E2F"/>
    <w:rsid w:val="007F6FE3"/>
    <w:rsid w:val="0080004A"/>
    <w:rsid w:val="00800F6F"/>
    <w:rsid w:val="008016D7"/>
    <w:rsid w:val="0080241D"/>
    <w:rsid w:val="00803BD7"/>
    <w:rsid w:val="00803DAA"/>
    <w:rsid w:val="00804D99"/>
    <w:rsid w:val="0080650A"/>
    <w:rsid w:val="008078DF"/>
    <w:rsid w:val="00807F17"/>
    <w:rsid w:val="00807F87"/>
    <w:rsid w:val="0081041A"/>
    <w:rsid w:val="00811FA3"/>
    <w:rsid w:val="008124E2"/>
    <w:rsid w:val="00812D88"/>
    <w:rsid w:val="00815BC0"/>
    <w:rsid w:val="0081629C"/>
    <w:rsid w:val="00817F6D"/>
    <w:rsid w:val="008218C9"/>
    <w:rsid w:val="00822402"/>
    <w:rsid w:val="00824716"/>
    <w:rsid w:val="00824FEF"/>
    <w:rsid w:val="008303D4"/>
    <w:rsid w:val="00830903"/>
    <w:rsid w:val="00833114"/>
    <w:rsid w:val="0084082E"/>
    <w:rsid w:val="00840DB1"/>
    <w:rsid w:val="008430D5"/>
    <w:rsid w:val="00844C4D"/>
    <w:rsid w:val="00847086"/>
    <w:rsid w:val="00847141"/>
    <w:rsid w:val="00847480"/>
    <w:rsid w:val="00850D1E"/>
    <w:rsid w:val="008519DA"/>
    <w:rsid w:val="008528C5"/>
    <w:rsid w:val="00856403"/>
    <w:rsid w:val="00856480"/>
    <w:rsid w:val="008568CE"/>
    <w:rsid w:val="00857719"/>
    <w:rsid w:val="008602E6"/>
    <w:rsid w:val="008617D8"/>
    <w:rsid w:val="0086484F"/>
    <w:rsid w:val="00864FE3"/>
    <w:rsid w:val="008662BF"/>
    <w:rsid w:val="00866A79"/>
    <w:rsid w:val="00873BCE"/>
    <w:rsid w:val="008743C6"/>
    <w:rsid w:val="00875B72"/>
    <w:rsid w:val="00877081"/>
    <w:rsid w:val="00877418"/>
    <w:rsid w:val="00883C3C"/>
    <w:rsid w:val="0088434C"/>
    <w:rsid w:val="0088617C"/>
    <w:rsid w:val="00887E6C"/>
    <w:rsid w:val="008916AC"/>
    <w:rsid w:val="00892EE4"/>
    <w:rsid w:val="0089303E"/>
    <w:rsid w:val="00893A2E"/>
    <w:rsid w:val="00894C0A"/>
    <w:rsid w:val="00897D3B"/>
    <w:rsid w:val="008A2837"/>
    <w:rsid w:val="008A50F5"/>
    <w:rsid w:val="008A5D5A"/>
    <w:rsid w:val="008A6502"/>
    <w:rsid w:val="008A7537"/>
    <w:rsid w:val="008B021A"/>
    <w:rsid w:val="008B1B0C"/>
    <w:rsid w:val="008B2252"/>
    <w:rsid w:val="008B26EC"/>
    <w:rsid w:val="008B3F35"/>
    <w:rsid w:val="008B5BBD"/>
    <w:rsid w:val="008B70CD"/>
    <w:rsid w:val="008C0DE8"/>
    <w:rsid w:val="008C1437"/>
    <w:rsid w:val="008C1F60"/>
    <w:rsid w:val="008C42C2"/>
    <w:rsid w:val="008C5296"/>
    <w:rsid w:val="008C7F88"/>
    <w:rsid w:val="008D02A6"/>
    <w:rsid w:val="008D06FC"/>
    <w:rsid w:val="008D2442"/>
    <w:rsid w:val="008D29DE"/>
    <w:rsid w:val="008D2AD1"/>
    <w:rsid w:val="008D5A9E"/>
    <w:rsid w:val="008D5ACF"/>
    <w:rsid w:val="008D6E14"/>
    <w:rsid w:val="008D7E45"/>
    <w:rsid w:val="008E1C1D"/>
    <w:rsid w:val="008E201F"/>
    <w:rsid w:val="008E50B7"/>
    <w:rsid w:val="008E6238"/>
    <w:rsid w:val="008E721E"/>
    <w:rsid w:val="008E7FAA"/>
    <w:rsid w:val="008F063D"/>
    <w:rsid w:val="008F201A"/>
    <w:rsid w:val="008F39B9"/>
    <w:rsid w:val="008F4CD2"/>
    <w:rsid w:val="008F64EA"/>
    <w:rsid w:val="008F67BF"/>
    <w:rsid w:val="008F70D5"/>
    <w:rsid w:val="008F79E7"/>
    <w:rsid w:val="00900011"/>
    <w:rsid w:val="009019F8"/>
    <w:rsid w:val="00901B1D"/>
    <w:rsid w:val="00901FDF"/>
    <w:rsid w:val="0090282D"/>
    <w:rsid w:val="00904745"/>
    <w:rsid w:val="009047F7"/>
    <w:rsid w:val="00906038"/>
    <w:rsid w:val="0090696F"/>
    <w:rsid w:val="0090726F"/>
    <w:rsid w:val="00912FE7"/>
    <w:rsid w:val="0091346D"/>
    <w:rsid w:val="00915D16"/>
    <w:rsid w:val="0091787B"/>
    <w:rsid w:val="00917B4C"/>
    <w:rsid w:val="0092158B"/>
    <w:rsid w:val="00922F9E"/>
    <w:rsid w:val="0092304C"/>
    <w:rsid w:val="00923B0F"/>
    <w:rsid w:val="0092545B"/>
    <w:rsid w:val="00925C94"/>
    <w:rsid w:val="00926338"/>
    <w:rsid w:val="009312BE"/>
    <w:rsid w:val="0093255C"/>
    <w:rsid w:val="009333B0"/>
    <w:rsid w:val="00933E25"/>
    <w:rsid w:val="00934E27"/>
    <w:rsid w:val="0093519E"/>
    <w:rsid w:val="00936989"/>
    <w:rsid w:val="00940542"/>
    <w:rsid w:val="009414AB"/>
    <w:rsid w:val="00941B04"/>
    <w:rsid w:val="00941CFF"/>
    <w:rsid w:val="00945845"/>
    <w:rsid w:val="0094601F"/>
    <w:rsid w:val="00950B47"/>
    <w:rsid w:val="00951480"/>
    <w:rsid w:val="0095208B"/>
    <w:rsid w:val="009528A4"/>
    <w:rsid w:val="00954333"/>
    <w:rsid w:val="00954FDD"/>
    <w:rsid w:val="00956261"/>
    <w:rsid w:val="00960340"/>
    <w:rsid w:val="00962AE8"/>
    <w:rsid w:val="00963B22"/>
    <w:rsid w:val="009649CB"/>
    <w:rsid w:val="00965881"/>
    <w:rsid w:val="0097247E"/>
    <w:rsid w:val="009725C2"/>
    <w:rsid w:val="009748AD"/>
    <w:rsid w:val="009749F0"/>
    <w:rsid w:val="00975129"/>
    <w:rsid w:val="00976499"/>
    <w:rsid w:val="009771B7"/>
    <w:rsid w:val="0098037F"/>
    <w:rsid w:val="0098048B"/>
    <w:rsid w:val="009817F2"/>
    <w:rsid w:val="00984F05"/>
    <w:rsid w:val="009904DC"/>
    <w:rsid w:val="009905E7"/>
    <w:rsid w:val="009914F2"/>
    <w:rsid w:val="00992B70"/>
    <w:rsid w:val="00993602"/>
    <w:rsid w:val="00994671"/>
    <w:rsid w:val="00996863"/>
    <w:rsid w:val="00996ADB"/>
    <w:rsid w:val="009976BE"/>
    <w:rsid w:val="00997AF0"/>
    <w:rsid w:val="009A1B4E"/>
    <w:rsid w:val="009A1DE6"/>
    <w:rsid w:val="009A290D"/>
    <w:rsid w:val="009A3C54"/>
    <w:rsid w:val="009A65F4"/>
    <w:rsid w:val="009A679F"/>
    <w:rsid w:val="009A69D8"/>
    <w:rsid w:val="009B1434"/>
    <w:rsid w:val="009B1E53"/>
    <w:rsid w:val="009B2BD6"/>
    <w:rsid w:val="009B3E29"/>
    <w:rsid w:val="009B4553"/>
    <w:rsid w:val="009B4C5E"/>
    <w:rsid w:val="009B56A1"/>
    <w:rsid w:val="009B7741"/>
    <w:rsid w:val="009C0A9F"/>
    <w:rsid w:val="009C0ACD"/>
    <w:rsid w:val="009C69AE"/>
    <w:rsid w:val="009D21E6"/>
    <w:rsid w:val="009D24EE"/>
    <w:rsid w:val="009D4C9D"/>
    <w:rsid w:val="009D5733"/>
    <w:rsid w:val="009D5E87"/>
    <w:rsid w:val="009D6B64"/>
    <w:rsid w:val="009D783D"/>
    <w:rsid w:val="009D7DEC"/>
    <w:rsid w:val="009E2446"/>
    <w:rsid w:val="009E2BD2"/>
    <w:rsid w:val="009E4FCC"/>
    <w:rsid w:val="009E6FB3"/>
    <w:rsid w:val="009E7441"/>
    <w:rsid w:val="009F2086"/>
    <w:rsid w:val="009F25F3"/>
    <w:rsid w:val="009F2C31"/>
    <w:rsid w:val="009F5796"/>
    <w:rsid w:val="009F5E42"/>
    <w:rsid w:val="00A007C9"/>
    <w:rsid w:val="00A008AB"/>
    <w:rsid w:val="00A034F5"/>
    <w:rsid w:val="00A03BE3"/>
    <w:rsid w:val="00A06801"/>
    <w:rsid w:val="00A06C52"/>
    <w:rsid w:val="00A10DBF"/>
    <w:rsid w:val="00A149FC"/>
    <w:rsid w:val="00A16F7D"/>
    <w:rsid w:val="00A2016F"/>
    <w:rsid w:val="00A20505"/>
    <w:rsid w:val="00A21628"/>
    <w:rsid w:val="00A22488"/>
    <w:rsid w:val="00A22A26"/>
    <w:rsid w:val="00A23457"/>
    <w:rsid w:val="00A23529"/>
    <w:rsid w:val="00A23C0B"/>
    <w:rsid w:val="00A24E10"/>
    <w:rsid w:val="00A25BC7"/>
    <w:rsid w:val="00A26BB2"/>
    <w:rsid w:val="00A26DD3"/>
    <w:rsid w:val="00A27569"/>
    <w:rsid w:val="00A32E0C"/>
    <w:rsid w:val="00A34FC3"/>
    <w:rsid w:val="00A36392"/>
    <w:rsid w:val="00A3651B"/>
    <w:rsid w:val="00A36EE1"/>
    <w:rsid w:val="00A3767F"/>
    <w:rsid w:val="00A405F5"/>
    <w:rsid w:val="00A41D09"/>
    <w:rsid w:val="00A423C0"/>
    <w:rsid w:val="00A43B34"/>
    <w:rsid w:val="00A43BC2"/>
    <w:rsid w:val="00A4412C"/>
    <w:rsid w:val="00A44614"/>
    <w:rsid w:val="00A468BC"/>
    <w:rsid w:val="00A470E8"/>
    <w:rsid w:val="00A51C45"/>
    <w:rsid w:val="00A52064"/>
    <w:rsid w:val="00A527BE"/>
    <w:rsid w:val="00A52AB3"/>
    <w:rsid w:val="00A53A33"/>
    <w:rsid w:val="00A53ABE"/>
    <w:rsid w:val="00A55A32"/>
    <w:rsid w:val="00A55C20"/>
    <w:rsid w:val="00A57C7B"/>
    <w:rsid w:val="00A601C1"/>
    <w:rsid w:val="00A627F2"/>
    <w:rsid w:val="00A63CA4"/>
    <w:rsid w:val="00A7044C"/>
    <w:rsid w:val="00A7045B"/>
    <w:rsid w:val="00A708F1"/>
    <w:rsid w:val="00A71BDA"/>
    <w:rsid w:val="00A72F0A"/>
    <w:rsid w:val="00A73B2E"/>
    <w:rsid w:val="00A7538C"/>
    <w:rsid w:val="00A775D9"/>
    <w:rsid w:val="00A83B49"/>
    <w:rsid w:val="00A85121"/>
    <w:rsid w:val="00A866D9"/>
    <w:rsid w:val="00A8739D"/>
    <w:rsid w:val="00A879D2"/>
    <w:rsid w:val="00A9110C"/>
    <w:rsid w:val="00A924BF"/>
    <w:rsid w:val="00A95F98"/>
    <w:rsid w:val="00AA073F"/>
    <w:rsid w:val="00AA12FF"/>
    <w:rsid w:val="00AA1701"/>
    <w:rsid w:val="00AA175B"/>
    <w:rsid w:val="00AA1DB7"/>
    <w:rsid w:val="00AA1FAE"/>
    <w:rsid w:val="00AA21ED"/>
    <w:rsid w:val="00AA49BF"/>
    <w:rsid w:val="00AA4E82"/>
    <w:rsid w:val="00AA56B6"/>
    <w:rsid w:val="00AB07D4"/>
    <w:rsid w:val="00AB1273"/>
    <w:rsid w:val="00AB1493"/>
    <w:rsid w:val="00AB46DF"/>
    <w:rsid w:val="00AB693D"/>
    <w:rsid w:val="00AB7101"/>
    <w:rsid w:val="00AB719D"/>
    <w:rsid w:val="00AC282D"/>
    <w:rsid w:val="00AC2B4F"/>
    <w:rsid w:val="00AC57DB"/>
    <w:rsid w:val="00AC5973"/>
    <w:rsid w:val="00AC79AA"/>
    <w:rsid w:val="00AD0003"/>
    <w:rsid w:val="00AD10DB"/>
    <w:rsid w:val="00AD3CA1"/>
    <w:rsid w:val="00AD5864"/>
    <w:rsid w:val="00AD6C61"/>
    <w:rsid w:val="00AE066A"/>
    <w:rsid w:val="00AE419B"/>
    <w:rsid w:val="00AE4489"/>
    <w:rsid w:val="00AF0354"/>
    <w:rsid w:val="00AF0500"/>
    <w:rsid w:val="00AF20B5"/>
    <w:rsid w:val="00AF258C"/>
    <w:rsid w:val="00AF28D6"/>
    <w:rsid w:val="00AF4DAB"/>
    <w:rsid w:val="00AF5410"/>
    <w:rsid w:val="00B004B7"/>
    <w:rsid w:val="00B0218D"/>
    <w:rsid w:val="00B03687"/>
    <w:rsid w:val="00B07DF9"/>
    <w:rsid w:val="00B10EAA"/>
    <w:rsid w:val="00B1104B"/>
    <w:rsid w:val="00B14C5B"/>
    <w:rsid w:val="00B15C26"/>
    <w:rsid w:val="00B1611F"/>
    <w:rsid w:val="00B22C0D"/>
    <w:rsid w:val="00B22FB0"/>
    <w:rsid w:val="00B232D8"/>
    <w:rsid w:val="00B23D55"/>
    <w:rsid w:val="00B257C9"/>
    <w:rsid w:val="00B25D1D"/>
    <w:rsid w:val="00B25E13"/>
    <w:rsid w:val="00B27631"/>
    <w:rsid w:val="00B300E7"/>
    <w:rsid w:val="00B302EB"/>
    <w:rsid w:val="00B31729"/>
    <w:rsid w:val="00B33A58"/>
    <w:rsid w:val="00B33E2D"/>
    <w:rsid w:val="00B36A24"/>
    <w:rsid w:val="00B40C9F"/>
    <w:rsid w:val="00B41CA0"/>
    <w:rsid w:val="00B42AD9"/>
    <w:rsid w:val="00B47BF1"/>
    <w:rsid w:val="00B506AE"/>
    <w:rsid w:val="00B53D67"/>
    <w:rsid w:val="00B57D7D"/>
    <w:rsid w:val="00B60DED"/>
    <w:rsid w:val="00B6151D"/>
    <w:rsid w:val="00B6353C"/>
    <w:rsid w:val="00B63C33"/>
    <w:rsid w:val="00B66AC3"/>
    <w:rsid w:val="00B676AC"/>
    <w:rsid w:val="00B70E0E"/>
    <w:rsid w:val="00B713C1"/>
    <w:rsid w:val="00B73D81"/>
    <w:rsid w:val="00B73DB8"/>
    <w:rsid w:val="00B73E34"/>
    <w:rsid w:val="00B73E7D"/>
    <w:rsid w:val="00B804B8"/>
    <w:rsid w:val="00B80CA5"/>
    <w:rsid w:val="00B81AF3"/>
    <w:rsid w:val="00B8423F"/>
    <w:rsid w:val="00B86EB6"/>
    <w:rsid w:val="00B87443"/>
    <w:rsid w:val="00B87A25"/>
    <w:rsid w:val="00B926F3"/>
    <w:rsid w:val="00B92706"/>
    <w:rsid w:val="00B93E41"/>
    <w:rsid w:val="00B97F24"/>
    <w:rsid w:val="00BA0918"/>
    <w:rsid w:val="00BA1059"/>
    <w:rsid w:val="00BA1D93"/>
    <w:rsid w:val="00BA286E"/>
    <w:rsid w:val="00BA33C0"/>
    <w:rsid w:val="00BA6EF5"/>
    <w:rsid w:val="00BB203B"/>
    <w:rsid w:val="00BB5C3E"/>
    <w:rsid w:val="00BB780B"/>
    <w:rsid w:val="00BB7E4F"/>
    <w:rsid w:val="00BC0D14"/>
    <w:rsid w:val="00BC0DD9"/>
    <w:rsid w:val="00BC1495"/>
    <w:rsid w:val="00BC1EF0"/>
    <w:rsid w:val="00BC3FCC"/>
    <w:rsid w:val="00BC5502"/>
    <w:rsid w:val="00BC5B91"/>
    <w:rsid w:val="00BD1124"/>
    <w:rsid w:val="00BD1179"/>
    <w:rsid w:val="00BD2291"/>
    <w:rsid w:val="00BD3055"/>
    <w:rsid w:val="00BD4FA4"/>
    <w:rsid w:val="00BE08ED"/>
    <w:rsid w:val="00BE1927"/>
    <w:rsid w:val="00BE41EC"/>
    <w:rsid w:val="00BE579D"/>
    <w:rsid w:val="00BE58DF"/>
    <w:rsid w:val="00BE5A73"/>
    <w:rsid w:val="00BE6252"/>
    <w:rsid w:val="00BE7FDF"/>
    <w:rsid w:val="00BF0443"/>
    <w:rsid w:val="00BF0D80"/>
    <w:rsid w:val="00BF28AB"/>
    <w:rsid w:val="00BF299B"/>
    <w:rsid w:val="00BF44F7"/>
    <w:rsid w:val="00BF50B3"/>
    <w:rsid w:val="00BF58E8"/>
    <w:rsid w:val="00BF5F07"/>
    <w:rsid w:val="00BF7FD5"/>
    <w:rsid w:val="00C037BC"/>
    <w:rsid w:val="00C0601A"/>
    <w:rsid w:val="00C06C3B"/>
    <w:rsid w:val="00C07301"/>
    <w:rsid w:val="00C07E31"/>
    <w:rsid w:val="00C10851"/>
    <w:rsid w:val="00C110FC"/>
    <w:rsid w:val="00C115F7"/>
    <w:rsid w:val="00C12C90"/>
    <w:rsid w:val="00C13CB4"/>
    <w:rsid w:val="00C153C9"/>
    <w:rsid w:val="00C157AB"/>
    <w:rsid w:val="00C1612D"/>
    <w:rsid w:val="00C2179B"/>
    <w:rsid w:val="00C2272F"/>
    <w:rsid w:val="00C2296B"/>
    <w:rsid w:val="00C23468"/>
    <w:rsid w:val="00C238C7"/>
    <w:rsid w:val="00C24250"/>
    <w:rsid w:val="00C25829"/>
    <w:rsid w:val="00C25AB5"/>
    <w:rsid w:val="00C2626F"/>
    <w:rsid w:val="00C2647B"/>
    <w:rsid w:val="00C34722"/>
    <w:rsid w:val="00C355BC"/>
    <w:rsid w:val="00C36E89"/>
    <w:rsid w:val="00C406A6"/>
    <w:rsid w:val="00C419AC"/>
    <w:rsid w:val="00C44795"/>
    <w:rsid w:val="00C46939"/>
    <w:rsid w:val="00C47573"/>
    <w:rsid w:val="00C50F38"/>
    <w:rsid w:val="00C517D4"/>
    <w:rsid w:val="00C51C09"/>
    <w:rsid w:val="00C52BF5"/>
    <w:rsid w:val="00C53917"/>
    <w:rsid w:val="00C5443B"/>
    <w:rsid w:val="00C62315"/>
    <w:rsid w:val="00C62EAB"/>
    <w:rsid w:val="00C62F66"/>
    <w:rsid w:val="00C6422B"/>
    <w:rsid w:val="00C64604"/>
    <w:rsid w:val="00C64AFD"/>
    <w:rsid w:val="00C65A3B"/>
    <w:rsid w:val="00C66A47"/>
    <w:rsid w:val="00C67826"/>
    <w:rsid w:val="00C702AE"/>
    <w:rsid w:val="00C70E60"/>
    <w:rsid w:val="00C718E2"/>
    <w:rsid w:val="00C73573"/>
    <w:rsid w:val="00C73916"/>
    <w:rsid w:val="00C73ABA"/>
    <w:rsid w:val="00C7403C"/>
    <w:rsid w:val="00C764E1"/>
    <w:rsid w:val="00C80A36"/>
    <w:rsid w:val="00C834C8"/>
    <w:rsid w:val="00C8352A"/>
    <w:rsid w:val="00C8397F"/>
    <w:rsid w:val="00C8534D"/>
    <w:rsid w:val="00C8786E"/>
    <w:rsid w:val="00C90519"/>
    <w:rsid w:val="00C91376"/>
    <w:rsid w:val="00C92D8E"/>
    <w:rsid w:val="00C948F2"/>
    <w:rsid w:val="00C95358"/>
    <w:rsid w:val="00C96372"/>
    <w:rsid w:val="00CA1050"/>
    <w:rsid w:val="00CA1712"/>
    <w:rsid w:val="00CA195C"/>
    <w:rsid w:val="00CA1E66"/>
    <w:rsid w:val="00CA1F55"/>
    <w:rsid w:val="00CA568C"/>
    <w:rsid w:val="00CB3426"/>
    <w:rsid w:val="00CB5A00"/>
    <w:rsid w:val="00CB7C48"/>
    <w:rsid w:val="00CC075A"/>
    <w:rsid w:val="00CC0BE5"/>
    <w:rsid w:val="00CC15A9"/>
    <w:rsid w:val="00CC2C3C"/>
    <w:rsid w:val="00CC3023"/>
    <w:rsid w:val="00CC3554"/>
    <w:rsid w:val="00CC38B5"/>
    <w:rsid w:val="00CC42FB"/>
    <w:rsid w:val="00CC57B1"/>
    <w:rsid w:val="00CC7D0F"/>
    <w:rsid w:val="00CD37C5"/>
    <w:rsid w:val="00CD38C5"/>
    <w:rsid w:val="00CD45C7"/>
    <w:rsid w:val="00CD52E8"/>
    <w:rsid w:val="00CD753F"/>
    <w:rsid w:val="00CE0771"/>
    <w:rsid w:val="00CE249B"/>
    <w:rsid w:val="00CE4465"/>
    <w:rsid w:val="00CE490E"/>
    <w:rsid w:val="00CE4F6E"/>
    <w:rsid w:val="00CE68D7"/>
    <w:rsid w:val="00CE7E87"/>
    <w:rsid w:val="00CF09A5"/>
    <w:rsid w:val="00CF1C7F"/>
    <w:rsid w:val="00CF1D0B"/>
    <w:rsid w:val="00CF2053"/>
    <w:rsid w:val="00CF316C"/>
    <w:rsid w:val="00CF4226"/>
    <w:rsid w:val="00CF5D46"/>
    <w:rsid w:val="00CF5ECF"/>
    <w:rsid w:val="00CF62AB"/>
    <w:rsid w:val="00CF76D7"/>
    <w:rsid w:val="00D02C99"/>
    <w:rsid w:val="00D04321"/>
    <w:rsid w:val="00D06E72"/>
    <w:rsid w:val="00D07C69"/>
    <w:rsid w:val="00D10487"/>
    <w:rsid w:val="00D1078F"/>
    <w:rsid w:val="00D10CB3"/>
    <w:rsid w:val="00D12B1F"/>
    <w:rsid w:val="00D131E9"/>
    <w:rsid w:val="00D13234"/>
    <w:rsid w:val="00D17CA0"/>
    <w:rsid w:val="00D20615"/>
    <w:rsid w:val="00D20A4F"/>
    <w:rsid w:val="00D20C99"/>
    <w:rsid w:val="00D234F1"/>
    <w:rsid w:val="00D24748"/>
    <w:rsid w:val="00D24FF0"/>
    <w:rsid w:val="00D25CE9"/>
    <w:rsid w:val="00D26FEC"/>
    <w:rsid w:val="00D2713F"/>
    <w:rsid w:val="00D279C0"/>
    <w:rsid w:val="00D3071D"/>
    <w:rsid w:val="00D30B6B"/>
    <w:rsid w:val="00D32063"/>
    <w:rsid w:val="00D321A0"/>
    <w:rsid w:val="00D32602"/>
    <w:rsid w:val="00D32840"/>
    <w:rsid w:val="00D3369E"/>
    <w:rsid w:val="00D34156"/>
    <w:rsid w:val="00D347B1"/>
    <w:rsid w:val="00D34B75"/>
    <w:rsid w:val="00D34CB0"/>
    <w:rsid w:val="00D3539D"/>
    <w:rsid w:val="00D359B5"/>
    <w:rsid w:val="00D35A62"/>
    <w:rsid w:val="00D3642C"/>
    <w:rsid w:val="00D400D1"/>
    <w:rsid w:val="00D402DB"/>
    <w:rsid w:val="00D41D31"/>
    <w:rsid w:val="00D43397"/>
    <w:rsid w:val="00D4356E"/>
    <w:rsid w:val="00D44487"/>
    <w:rsid w:val="00D4488D"/>
    <w:rsid w:val="00D4583E"/>
    <w:rsid w:val="00D46441"/>
    <w:rsid w:val="00D46D66"/>
    <w:rsid w:val="00D472BC"/>
    <w:rsid w:val="00D515BF"/>
    <w:rsid w:val="00D52D9A"/>
    <w:rsid w:val="00D55AD5"/>
    <w:rsid w:val="00D55F30"/>
    <w:rsid w:val="00D570C5"/>
    <w:rsid w:val="00D60832"/>
    <w:rsid w:val="00D60A9C"/>
    <w:rsid w:val="00D61EB1"/>
    <w:rsid w:val="00D62355"/>
    <w:rsid w:val="00D6277C"/>
    <w:rsid w:val="00D63A9E"/>
    <w:rsid w:val="00D63BC8"/>
    <w:rsid w:val="00D665DD"/>
    <w:rsid w:val="00D66B77"/>
    <w:rsid w:val="00D706C5"/>
    <w:rsid w:val="00D732E4"/>
    <w:rsid w:val="00D76503"/>
    <w:rsid w:val="00D76DF2"/>
    <w:rsid w:val="00D77C18"/>
    <w:rsid w:val="00D828A6"/>
    <w:rsid w:val="00D844F3"/>
    <w:rsid w:val="00D84B4B"/>
    <w:rsid w:val="00D84BA4"/>
    <w:rsid w:val="00D85530"/>
    <w:rsid w:val="00D8562D"/>
    <w:rsid w:val="00D87567"/>
    <w:rsid w:val="00D91353"/>
    <w:rsid w:val="00D916EC"/>
    <w:rsid w:val="00D9591A"/>
    <w:rsid w:val="00D96503"/>
    <w:rsid w:val="00D97022"/>
    <w:rsid w:val="00DA1BA5"/>
    <w:rsid w:val="00DA27FA"/>
    <w:rsid w:val="00DA4951"/>
    <w:rsid w:val="00DA5EEA"/>
    <w:rsid w:val="00DA5F65"/>
    <w:rsid w:val="00DA64E7"/>
    <w:rsid w:val="00DB48C5"/>
    <w:rsid w:val="00DB59FD"/>
    <w:rsid w:val="00DB7A73"/>
    <w:rsid w:val="00DC00DF"/>
    <w:rsid w:val="00DC0125"/>
    <w:rsid w:val="00DC0FF3"/>
    <w:rsid w:val="00DC1FAF"/>
    <w:rsid w:val="00DC3CB6"/>
    <w:rsid w:val="00DC4290"/>
    <w:rsid w:val="00DC62FB"/>
    <w:rsid w:val="00DC64E4"/>
    <w:rsid w:val="00DC79B8"/>
    <w:rsid w:val="00DD08A6"/>
    <w:rsid w:val="00DD1DCA"/>
    <w:rsid w:val="00DD210E"/>
    <w:rsid w:val="00DD2932"/>
    <w:rsid w:val="00DD399B"/>
    <w:rsid w:val="00DD3A05"/>
    <w:rsid w:val="00DD3C6F"/>
    <w:rsid w:val="00DD464C"/>
    <w:rsid w:val="00DE0693"/>
    <w:rsid w:val="00DE0CCC"/>
    <w:rsid w:val="00DE18D1"/>
    <w:rsid w:val="00DE2848"/>
    <w:rsid w:val="00DE2B90"/>
    <w:rsid w:val="00DE3905"/>
    <w:rsid w:val="00DE3CF1"/>
    <w:rsid w:val="00DE4184"/>
    <w:rsid w:val="00DE478B"/>
    <w:rsid w:val="00DE4D26"/>
    <w:rsid w:val="00DE5C5E"/>
    <w:rsid w:val="00DE5C70"/>
    <w:rsid w:val="00DE7AC9"/>
    <w:rsid w:val="00DF21E4"/>
    <w:rsid w:val="00DF2A88"/>
    <w:rsid w:val="00DF3E59"/>
    <w:rsid w:val="00DF47AB"/>
    <w:rsid w:val="00DF4EEF"/>
    <w:rsid w:val="00DF51B2"/>
    <w:rsid w:val="00DF55F9"/>
    <w:rsid w:val="00DF7E14"/>
    <w:rsid w:val="00E00B19"/>
    <w:rsid w:val="00E01299"/>
    <w:rsid w:val="00E02BD2"/>
    <w:rsid w:val="00E03CCC"/>
    <w:rsid w:val="00E049C3"/>
    <w:rsid w:val="00E05B80"/>
    <w:rsid w:val="00E121AF"/>
    <w:rsid w:val="00E13043"/>
    <w:rsid w:val="00E13AC8"/>
    <w:rsid w:val="00E17A89"/>
    <w:rsid w:val="00E204DC"/>
    <w:rsid w:val="00E22AD4"/>
    <w:rsid w:val="00E23654"/>
    <w:rsid w:val="00E24140"/>
    <w:rsid w:val="00E248E1"/>
    <w:rsid w:val="00E25109"/>
    <w:rsid w:val="00E25797"/>
    <w:rsid w:val="00E27BB9"/>
    <w:rsid w:val="00E30560"/>
    <w:rsid w:val="00E346E5"/>
    <w:rsid w:val="00E3584B"/>
    <w:rsid w:val="00E36FEC"/>
    <w:rsid w:val="00E373BE"/>
    <w:rsid w:val="00E42244"/>
    <w:rsid w:val="00E44656"/>
    <w:rsid w:val="00E51200"/>
    <w:rsid w:val="00E51414"/>
    <w:rsid w:val="00E538E9"/>
    <w:rsid w:val="00E5492E"/>
    <w:rsid w:val="00E54D63"/>
    <w:rsid w:val="00E557D1"/>
    <w:rsid w:val="00E55DB8"/>
    <w:rsid w:val="00E560D7"/>
    <w:rsid w:val="00E601F2"/>
    <w:rsid w:val="00E60DA8"/>
    <w:rsid w:val="00E6120F"/>
    <w:rsid w:val="00E629E5"/>
    <w:rsid w:val="00E62E5A"/>
    <w:rsid w:val="00E62E82"/>
    <w:rsid w:val="00E63767"/>
    <w:rsid w:val="00E72680"/>
    <w:rsid w:val="00E72B32"/>
    <w:rsid w:val="00E72D57"/>
    <w:rsid w:val="00E73529"/>
    <w:rsid w:val="00E7384B"/>
    <w:rsid w:val="00E73A84"/>
    <w:rsid w:val="00E74CED"/>
    <w:rsid w:val="00E76513"/>
    <w:rsid w:val="00E8237F"/>
    <w:rsid w:val="00E82AC9"/>
    <w:rsid w:val="00E82DCB"/>
    <w:rsid w:val="00E85E26"/>
    <w:rsid w:val="00E86901"/>
    <w:rsid w:val="00E87AE7"/>
    <w:rsid w:val="00E93F61"/>
    <w:rsid w:val="00E97948"/>
    <w:rsid w:val="00E97DD1"/>
    <w:rsid w:val="00EA40D9"/>
    <w:rsid w:val="00EA47A5"/>
    <w:rsid w:val="00EA4F19"/>
    <w:rsid w:val="00EA6917"/>
    <w:rsid w:val="00EA733B"/>
    <w:rsid w:val="00EA7BAE"/>
    <w:rsid w:val="00EB0014"/>
    <w:rsid w:val="00EB23B8"/>
    <w:rsid w:val="00EB250C"/>
    <w:rsid w:val="00EB51EC"/>
    <w:rsid w:val="00EB731F"/>
    <w:rsid w:val="00EC1B1B"/>
    <w:rsid w:val="00EC21A4"/>
    <w:rsid w:val="00EC32F0"/>
    <w:rsid w:val="00EC37A3"/>
    <w:rsid w:val="00EC4122"/>
    <w:rsid w:val="00ED0721"/>
    <w:rsid w:val="00ED0BFD"/>
    <w:rsid w:val="00ED2B29"/>
    <w:rsid w:val="00ED2C7A"/>
    <w:rsid w:val="00ED31FC"/>
    <w:rsid w:val="00ED562C"/>
    <w:rsid w:val="00ED5CEC"/>
    <w:rsid w:val="00ED618B"/>
    <w:rsid w:val="00ED6439"/>
    <w:rsid w:val="00ED682D"/>
    <w:rsid w:val="00ED7F31"/>
    <w:rsid w:val="00EE58FE"/>
    <w:rsid w:val="00EF0456"/>
    <w:rsid w:val="00EF06C0"/>
    <w:rsid w:val="00EF099B"/>
    <w:rsid w:val="00EF239C"/>
    <w:rsid w:val="00EF4E7E"/>
    <w:rsid w:val="00EF51DD"/>
    <w:rsid w:val="00EF568A"/>
    <w:rsid w:val="00EF60FA"/>
    <w:rsid w:val="00EF632C"/>
    <w:rsid w:val="00EF794E"/>
    <w:rsid w:val="00F0016D"/>
    <w:rsid w:val="00F010F8"/>
    <w:rsid w:val="00F071A5"/>
    <w:rsid w:val="00F079DD"/>
    <w:rsid w:val="00F10DAD"/>
    <w:rsid w:val="00F11DB3"/>
    <w:rsid w:val="00F150E4"/>
    <w:rsid w:val="00F1779A"/>
    <w:rsid w:val="00F20EFA"/>
    <w:rsid w:val="00F227A3"/>
    <w:rsid w:val="00F22A9F"/>
    <w:rsid w:val="00F23163"/>
    <w:rsid w:val="00F24FE1"/>
    <w:rsid w:val="00F277C2"/>
    <w:rsid w:val="00F300B1"/>
    <w:rsid w:val="00F32E5A"/>
    <w:rsid w:val="00F34BC1"/>
    <w:rsid w:val="00F3568B"/>
    <w:rsid w:val="00F356C0"/>
    <w:rsid w:val="00F35F05"/>
    <w:rsid w:val="00F36BBA"/>
    <w:rsid w:val="00F37566"/>
    <w:rsid w:val="00F403CA"/>
    <w:rsid w:val="00F430F7"/>
    <w:rsid w:val="00F43B8C"/>
    <w:rsid w:val="00F440C5"/>
    <w:rsid w:val="00F457A1"/>
    <w:rsid w:val="00F4641F"/>
    <w:rsid w:val="00F473DB"/>
    <w:rsid w:val="00F5089B"/>
    <w:rsid w:val="00F50A9D"/>
    <w:rsid w:val="00F5132E"/>
    <w:rsid w:val="00F52F31"/>
    <w:rsid w:val="00F53C96"/>
    <w:rsid w:val="00F5592F"/>
    <w:rsid w:val="00F55AFE"/>
    <w:rsid w:val="00F56007"/>
    <w:rsid w:val="00F57BC2"/>
    <w:rsid w:val="00F604CE"/>
    <w:rsid w:val="00F60644"/>
    <w:rsid w:val="00F62423"/>
    <w:rsid w:val="00F6261B"/>
    <w:rsid w:val="00F629A4"/>
    <w:rsid w:val="00F636E7"/>
    <w:rsid w:val="00F65924"/>
    <w:rsid w:val="00F66361"/>
    <w:rsid w:val="00F66BE8"/>
    <w:rsid w:val="00F67C0B"/>
    <w:rsid w:val="00F72F32"/>
    <w:rsid w:val="00F74A94"/>
    <w:rsid w:val="00F80524"/>
    <w:rsid w:val="00F806A8"/>
    <w:rsid w:val="00F81A15"/>
    <w:rsid w:val="00F81CC0"/>
    <w:rsid w:val="00F83DD8"/>
    <w:rsid w:val="00F84263"/>
    <w:rsid w:val="00F864EB"/>
    <w:rsid w:val="00F8742B"/>
    <w:rsid w:val="00F95FCF"/>
    <w:rsid w:val="00F97DF1"/>
    <w:rsid w:val="00FA052F"/>
    <w:rsid w:val="00FA2109"/>
    <w:rsid w:val="00FA2236"/>
    <w:rsid w:val="00FA3D38"/>
    <w:rsid w:val="00FA5FDA"/>
    <w:rsid w:val="00FA629B"/>
    <w:rsid w:val="00FA6F93"/>
    <w:rsid w:val="00FB01CA"/>
    <w:rsid w:val="00FB1370"/>
    <w:rsid w:val="00FB1CB7"/>
    <w:rsid w:val="00FB1FD0"/>
    <w:rsid w:val="00FB28FA"/>
    <w:rsid w:val="00FB5D4C"/>
    <w:rsid w:val="00FB74D7"/>
    <w:rsid w:val="00FB7A35"/>
    <w:rsid w:val="00FB7B77"/>
    <w:rsid w:val="00FC0289"/>
    <w:rsid w:val="00FC2E78"/>
    <w:rsid w:val="00FC2F33"/>
    <w:rsid w:val="00FC4D86"/>
    <w:rsid w:val="00FC56C8"/>
    <w:rsid w:val="00FC69E7"/>
    <w:rsid w:val="00FD00D0"/>
    <w:rsid w:val="00FD1D38"/>
    <w:rsid w:val="00FD23B4"/>
    <w:rsid w:val="00FD3613"/>
    <w:rsid w:val="00FD5472"/>
    <w:rsid w:val="00FD752E"/>
    <w:rsid w:val="00FE0B65"/>
    <w:rsid w:val="00FE204F"/>
    <w:rsid w:val="00FE327B"/>
    <w:rsid w:val="00FE3CFD"/>
    <w:rsid w:val="00FE57AC"/>
    <w:rsid w:val="00FE6CB0"/>
    <w:rsid w:val="00FE7955"/>
    <w:rsid w:val="00FF3305"/>
    <w:rsid w:val="00FF3CF1"/>
    <w:rsid w:val="00FF4AF9"/>
    <w:rsid w:val="00FF6911"/>
    <w:rsid w:val="00FF77C2"/>
    <w:rsid w:val="00FF7A26"/>
    <w:rsid w:val="01A0427A"/>
    <w:rsid w:val="01FF10AB"/>
    <w:rsid w:val="02B315C3"/>
    <w:rsid w:val="06787D23"/>
    <w:rsid w:val="067F4EFD"/>
    <w:rsid w:val="09E23F1D"/>
    <w:rsid w:val="09E45139"/>
    <w:rsid w:val="09ED4C49"/>
    <w:rsid w:val="0B062E30"/>
    <w:rsid w:val="0B7C2DAB"/>
    <w:rsid w:val="0D6D2B90"/>
    <w:rsid w:val="0DDB70DA"/>
    <w:rsid w:val="0F323353"/>
    <w:rsid w:val="144368F9"/>
    <w:rsid w:val="1647321B"/>
    <w:rsid w:val="16AC1944"/>
    <w:rsid w:val="17F778F4"/>
    <w:rsid w:val="18B9511E"/>
    <w:rsid w:val="18CF62DA"/>
    <w:rsid w:val="19D647BC"/>
    <w:rsid w:val="1B2A3E6B"/>
    <w:rsid w:val="1C200EAE"/>
    <w:rsid w:val="1F6645D5"/>
    <w:rsid w:val="21DB6C04"/>
    <w:rsid w:val="226834F8"/>
    <w:rsid w:val="2299200E"/>
    <w:rsid w:val="22AB232A"/>
    <w:rsid w:val="2374575B"/>
    <w:rsid w:val="23BC326A"/>
    <w:rsid w:val="249D7540"/>
    <w:rsid w:val="296F185C"/>
    <w:rsid w:val="2F76394D"/>
    <w:rsid w:val="30183528"/>
    <w:rsid w:val="30242D8C"/>
    <w:rsid w:val="3186299E"/>
    <w:rsid w:val="320707DB"/>
    <w:rsid w:val="3235517C"/>
    <w:rsid w:val="338F0F49"/>
    <w:rsid w:val="34FE54B7"/>
    <w:rsid w:val="3727654C"/>
    <w:rsid w:val="37D90437"/>
    <w:rsid w:val="3D205949"/>
    <w:rsid w:val="3DA37D71"/>
    <w:rsid w:val="3DF24001"/>
    <w:rsid w:val="3F60231E"/>
    <w:rsid w:val="404B79E3"/>
    <w:rsid w:val="42642FF3"/>
    <w:rsid w:val="42656110"/>
    <w:rsid w:val="42B34A4D"/>
    <w:rsid w:val="432B58BF"/>
    <w:rsid w:val="434C16A1"/>
    <w:rsid w:val="45900801"/>
    <w:rsid w:val="45E83E46"/>
    <w:rsid w:val="481B6562"/>
    <w:rsid w:val="482B3239"/>
    <w:rsid w:val="4ABC52D3"/>
    <w:rsid w:val="4BC82FF1"/>
    <w:rsid w:val="4C4A4834"/>
    <w:rsid w:val="4D007DBC"/>
    <w:rsid w:val="4DDA2516"/>
    <w:rsid w:val="4E0836C1"/>
    <w:rsid w:val="4E582FFB"/>
    <w:rsid w:val="4EA74993"/>
    <w:rsid w:val="4FA00E43"/>
    <w:rsid w:val="504524C6"/>
    <w:rsid w:val="528E23D3"/>
    <w:rsid w:val="52F2537A"/>
    <w:rsid w:val="53382ECE"/>
    <w:rsid w:val="53612E7B"/>
    <w:rsid w:val="53FB3058"/>
    <w:rsid w:val="54142A6C"/>
    <w:rsid w:val="54C7259F"/>
    <w:rsid w:val="56CE6F64"/>
    <w:rsid w:val="57A00D9D"/>
    <w:rsid w:val="58B54151"/>
    <w:rsid w:val="5CA36527"/>
    <w:rsid w:val="5DCB4B0E"/>
    <w:rsid w:val="5DEA2C39"/>
    <w:rsid w:val="5E1F575F"/>
    <w:rsid w:val="5EF271CB"/>
    <w:rsid w:val="5F487ACD"/>
    <w:rsid w:val="5FB40CBE"/>
    <w:rsid w:val="5FDF3861"/>
    <w:rsid w:val="60762418"/>
    <w:rsid w:val="60EA418F"/>
    <w:rsid w:val="6126146B"/>
    <w:rsid w:val="623E13B8"/>
    <w:rsid w:val="68E05A16"/>
    <w:rsid w:val="69D11566"/>
    <w:rsid w:val="6AD47994"/>
    <w:rsid w:val="6C960815"/>
    <w:rsid w:val="6F3239AE"/>
    <w:rsid w:val="6F950B67"/>
    <w:rsid w:val="712922AE"/>
    <w:rsid w:val="77312127"/>
    <w:rsid w:val="77CC6F3F"/>
    <w:rsid w:val="786C3F1B"/>
    <w:rsid w:val="7A4D497E"/>
    <w:rsid w:val="7E062BD5"/>
    <w:rsid w:val="7E2D4A94"/>
    <w:rsid w:val="7FF84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_GB2312" w:cs="Times New Roman"/>
      <w:kern w:val="2"/>
      <w:sz w:val="28"/>
      <w:lang w:val="en-US" w:eastAsia="zh-CN" w:bidi="ar-SA"/>
    </w:rPr>
  </w:style>
  <w:style w:type="paragraph" w:styleId="3">
    <w:name w:val="heading 1"/>
    <w:basedOn w:val="1"/>
    <w:next w:val="1"/>
    <w:link w:val="21"/>
    <w:qFormat/>
    <w:uiPriority w:val="9"/>
    <w:pPr>
      <w:keepNext/>
      <w:keepLines/>
      <w:ind w:firstLine="0" w:firstLineChars="0"/>
      <w:jc w:val="center"/>
      <w:outlineLvl w:val="0"/>
    </w:pPr>
    <w:rPr>
      <w:rFonts w:eastAsia="黑体"/>
      <w:bCs/>
      <w:kern w:val="44"/>
      <w:sz w:val="36"/>
      <w:szCs w:val="44"/>
    </w:rPr>
  </w:style>
  <w:style w:type="paragraph" w:styleId="4">
    <w:name w:val="heading 2"/>
    <w:basedOn w:val="1"/>
    <w:next w:val="1"/>
    <w:link w:val="22"/>
    <w:qFormat/>
    <w:uiPriority w:val="9"/>
    <w:pPr>
      <w:keepNext/>
      <w:keepLines/>
      <w:ind w:firstLine="0" w:firstLineChars="0"/>
      <w:jc w:val="left"/>
      <w:outlineLvl w:val="1"/>
    </w:pPr>
    <w:rPr>
      <w:rFonts w:eastAsia="楷体"/>
      <w:b/>
      <w:bCs/>
      <w:kern w:val="0"/>
      <w:sz w:val="32"/>
      <w:szCs w:val="32"/>
    </w:rPr>
  </w:style>
  <w:style w:type="paragraph" w:styleId="5">
    <w:name w:val="heading 3"/>
    <w:basedOn w:val="1"/>
    <w:next w:val="1"/>
    <w:link w:val="23"/>
    <w:qFormat/>
    <w:uiPriority w:val="9"/>
    <w:pPr>
      <w:keepNext/>
      <w:keepLines/>
      <w:ind w:firstLine="0" w:firstLineChars="0"/>
      <w:jc w:val="left"/>
      <w:outlineLvl w:val="2"/>
    </w:pPr>
    <w:rPr>
      <w:b/>
      <w:bCs/>
      <w:kern w:val="0"/>
      <w:sz w:val="30"/>
      <w:szCs w:val="32"/>
    </w:rPr>
  </w:style>
  <w:style w:type="paragraph" w:styleId="6">
    <w:name w:val="heading 4"/>
    <w:basedOn w:val="1"/>
    <w:next w:val="1"/>
    <w:link w:val="24"/>
    <w:qFormat/>
    <w:uiPriority w:val="9"/>
    <w:pPr>
      <w:keepNext/>
      <w:keepLines/>
      <w:ind w:firstLine="0" w:firstLineChars="0"/>
      <w:outlineLvl w:val="3"/>
    </w:pPr>
    <w:rPr>
      <w:rFonts w:asciiTheme="majorHAnsi" w:hAnsiTheme="majorHAnsi" w:cstheme="majorBidi"/>
      <w:b/>
      <w:bCs/>
      <w:szCs w:val="28"/>
    </w:rPr>
  </w:style>
  <w:style w:type="paragraph" w:styleId="7">
    <w:name w:val="heading 5"/>
    <w:basedOn w:val="1"/>
    <w:next w:val="1"/>
    <w:link w:val="29"/>
    <w:qFormat/>
    <w:uiPriority w:val="9"/>
    <w:pPr>
      <w:keepNext/>
      <w:keepLines/>
      <w:outlineLvl w:val="4"/>
    </w:pPr>
    <w:rPr>
      <w:b/>
      <w:bCs/>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Indent"/>
    <w:basedOn w:val="1"/>
    <w:qFormat/>
    <w:uiPriority w:val="0"/>
    <w:pPr>
      <w:spacing w:line="240" w:lineRule="auto"/>
      <w:ind w:firstLine="420"/>
    </w:pPr>
    <w:rPr>
      <w:sz w:val="30"/>
      <w:szCs w:val="24"/>
    </w:rPr>
  </w:style>
  <w:style w:type="paragraph" w:styleId="9">
    <w:name w:val="toc 3"/>
    <w:basedOn w:val="1"/>
    <w:next w:val="1"/>
    <w:unhideWhenUsed/>
    <w:qFormat/>
    <w:uiPriority w:val="39"/>
    <w:pPr>
      <w:widowControl/>
      <w:tabs>
        <w:tab w:val="right" w:leader="dot" w:pos="8296"/>
      </w:tabs>
      <w:spacing w:after="100" w:line="259" w:lineRule="auto"/>
      <w:ind w:left="440" w:firstLine="0" w:firstLineChars="0"/>
      <w:jc w:val="left"/>
    </w:pPr>
    <w:rPr>
      <w:rFonts w:asciiTheme="minorHAnsi" w:hAnsiTheme="minorHAnsi" w:eastAsiaTheme="minorEastAsia"/>
      <w:kern w:val="0"/>
      <w:sz w:val="22"/>
      <w:szCs w:val="22"/>
    </w:rPr>
  </w:style>
  <w:style w:type="paragraph" w:styleId="10">
    <w:name w:val="Body Text Indent 2"/>
    <w:basedOn w:val="1"/>
    <w:unhideWhenUsed/>
    <w:qFormat/>
    <w:uiPriority w:val="0"/>
    <w:pPr>
      <w:spacing w:after="120" w:line="480" w:lineRule="auto"/>
      <w:ind w:left="420" w:leftChars="200"/>
    </w:pPr>
    <w:rPr>
      <w:rFonts w:ascii="Book Antiqua" w:hAnsi="Book Antiqua" w:cs="Book Antiqua"/>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toc 1"/>
    <w:basedOn w:val="1"/>
    <w:next w:val="1"/>
    <w:unhideWhenUsed/>
    <w:qFormat/>
    <w:uiPriority w:val="39"/>
    <w:pPr>
      <w:widowControl/>
      <w:tabs>
        <w:tab w:val="right" w:leader="dot" w:pos="8296"/>
      </w:tabs>
      <w:spacing w:after="100" w:line="259" w:lineRule="auto"/>
      <w:ind w:firstLine="0" w:firstLineChars="0"/>
      <w:jc w:val="left"/>
    </w:pPr>
    <w:rPr>
      <w:rFonts w:asciiTheme="minorHAnsi" w:hAnsiTheme="minorHAnsi" w:eastAsiaTheme="minorEastAsia"/>
      <w:kern w:val="0"/>
      <w:sz w:val="22"/>
      <w:szCs w:val="22"/>
    </w:rPr>
  </w:style>
  <w:style w:type="paragraph" w:styleId="13">
    <w:name w:val="footnote text"/>
    <w:basedOn w:val="1"/>
    <w:link w:val="25"/>
    <w:unhideWhenUsed/>
    <w:qFormat/>
    <w:uiPriority w:val="0"/>
    <w:pPr>
      <w:snapToGrid w:val="0"/>
      <w:ind w:firstLine="0" w:firstLineChars="0"/>
      <w:jc w:val="left"/>
    </w:pPr>
    <w:rPr>
      <w:rFonts w:eastAsia="宋体"/>
      <w:sz w:val="18"/>
      <w:szCs w:val="18"/>
    </w:rPr>
  </w:style>
  <w:style w:type="paragraph" w:styleId="14">
    <w:name w:val="toc 2"/>
    <w:basedOn w:val="1"/>
    <w:next w:val="1"/>
    <w:unhideWhenUsed/>
    <w:qFormat/>
    <w:uiPriority w:val="39"/>
    <w:pPr>
      <w:widowControl/>
      <w:spacing w:after="100" w:line="259" w:lineRule="auto"/>
      <w:ind w:left="220" w:firstLine="0" w:firstLineChars="0"/>
      <w:jc w:val="left"/>
    </w:pPr>
    <w:rPr>
      <w:rFonts w:asciiTheme="minorHAnsi" w:hAnsiTheme="minorHAnsi" w:eastAsiaTheme="minorEastAsia"/>
      <w:kern w:val="0"/>
      <w:sz w:val="22"/>
      <w:szCs w:val="22"/>
    </w:r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styleId="18">
    <w:name w:val="footnote reference"/>
    <w:unhideWhenUsed/>
    <w:qFormat/>
    <w:uiPriority w:val="0"/>
    <w:rPr>
      <w:vertAlign w:val="superscript"/>
    </w:rPr>
  </w:style>
  <w:style w:type="character" w:customStyle="1" w:styleId="19">
    <w:name w:val="页眉 字符"/>
    <w:basedOn w:val="16"/>
    <w:link w:val="2"/>
    <w:qFormat/>
    <w:uiPriority w:val="99"/>
    <w:rPr>
      <w:sz w:val="18"/>
      <w:szCs w:val="18"/>
    </w:rPr>
  </w:style>
  <w:style w:type="character" w:customStyle="1" w:styleId="20">
    <w:name w:val="页脚 字符"/>
    <w:basedOn w:val="16"/>
    <w:link w:val="11"/>
    <w:qFormat/>
    <w:uiPriority w:val="99"/>
    <w:rPr>
      <w:sz w:val="18"/>
      <w:szCs w:val="18"/>
    </w:rPr>
  </w:style>
  <w:style w:type="character" w:customStyle="1" w:styleId="21">
    <w:name w:val="标题 1 字符"/>
    <w:basedOn w:val="16"/>
    <w:link w:val="3"/>
    <w:qFormat/>
    <w:uiPriority w:val="9"/>
    <w:rPr>
      <w:rFonts w:eastAsia="黑体"/>
      <w:bCs/>
      <w:kern w:val="44"/>
      <w:sz w:val="36"/>
      <w:szCs w:val="44"/>
    </w:rPr>
  </w:style>
  <w:style w:type="character" w:customStyle="1" w:styleId="22">
    <w:name w:val="标题 2 字符"/>
    <w:basedOn w:val="16"/>
    <w:link w:val="4"/>
    <w:qFormat/>
    <w:uiPriority w:val="9"/>
    <w:rPr>
      <w:rFonts w:eastAsia="楷体"/>
      <w:b/>
      <w:bCs/>
      <w:kern w:val="0"/>
      <w:sz w:val="32"/>
      <w:szCs w:val="32"/>
    </w:rPr>
  </w:style>
  <w:style w:type="character" w:customStyle="1" w:styleId="23">
    <w:name w:val="标题 3 字符"/>
    <w:basedOn w:val="16"/>
    <w:link w:val="5"/>
    <w:qFormat/>
    <w:uiPriority w:val="9"/>
    <w:rPr>
      <w:rFonts w:eastAsia="仿宋_GB2312"/>
      <w:b/>
      <w:bCs/>
      <w:kern w:val="0"/>
      <w:sz w:val="30"/>
      <w:szCs w:val="32"/>
    </w:rPr>
  </w:style>
  <w:style w:type="character" w:customStyle="1" w:styleId="24">
    <w:name w:val="标题 4 字符"/>
    <w:basedOn w:val="16"/>
    <w:link w:val="6"/>
    <w:qFormat/>
    <w:uiPriority w:val="9"/>
    <w:rPr>
      <w:rFonts w:eastAsia="仿宋_GB2312" w:asciiTheme="majorHAnsi" w:hAnsiTheme="majorHAnsi" w:cstheme="majorBidi"/>
      <w:b/>
      <w:bCs/>
      <w:sz w:val="28"/>
      <w:szCs w:val="28"/>
    </w:rPr>
  </w:style>
  <w:style w:type="character" w:customStyle="1" w:styleId="25">
    <w:name w:val="脚注文本 字符"/>
    <w:link w:val="13"/>
    <w:qFormat/>
    <w:uiPriority w:val="0"/>
    <w:rPr>
      <w:sz w:val="18"/>
      <w:szCs w:val="18"/>
    </w:rPr>
  </w:style>
  <w:style w:type="character" w:customStyle="1" w:styleId="26">
    <w:name w:val="脚注文本 字符1"/>
    <w:basedOn w:val="16"/>
    <w:semiHidden/>
    <w:qFormat/>
    <w:uiPriority w:val="99"/>
    <w:rPr>
      <w:rFonts w:eastAsia="仿宋"/>
      <w:sz w:val="18"/>
      <w:szCs w:val="18"/>
    </w:rPr>
  </w:style>
  <w:style w:type="paragraph" w:customStyle="1" w:styleId="27">
    <w:name w:val="TOC 标题1"/>
    <w:basedOn w:val="3"/>
    <w:next w:val="1"/>
    <w:unhideWhenUsed/>
    <w:qFormat/>
    <w:uiPriority w:val="39"/>
    <w:pPr>
      <w:widowControl/>
      <w:spacing w:before="240" w:line="259" w:lineRule="auto"/>
      <w:jc w:val="left"/>
      <w:outlineLvl w:val="9"/>
    </w:pPr>
    <w:rPr>
      <w:rFonts w:asciiTheme="majorHAnsi" w:hAnsiTheme="majorHAnsi" w:eastAsiaTheme="majorEastAsia" w:cstheme="majorBidi"/>
      <w:b/>
      <w:bCs w:val="0"/>
      <w:color w:val="376092" w:themeColor="accent1" w:themeShade="BF"/>
      <w:kern w:val="0"/>
      <w:sz w:val="32"/>
      <w:szCs w:val="32"/>
    </w:rPr>
  </w:style>
  <w:style w:type="paragraph" w:customStyle="1" w:styleId="28">
    <w:name w:val="甘规正文文字"/>
    <w:basedOn w:val="1"/>
    <w:qFormat/>
    <w:uiPriority w:val="0"/>
    <w:pPr>
      <w:ind w:firstLine="640"/>
    </w:pPr>
    <w:rPr>
      <w:szCs w:val="30"/>
    </w:rPr>
  </w:style>
  <w:style w:type="character" w:customStyle="1" w:styleId="29">
    <w:name w:val="标题 5 字符"/>
    <w:basedOn w:val="16"/>
    <w:link w:val="7"/>
    <w:qFormat/>
    <w:uiPriority w:val="9"/>
    <w:rPr>
      <w:rFonts w:eastAsia="仿宋"/>
      <w:b/>
      <w:bCs/>
      <w:sz w:val="28"/>
      <w:szCs w:val="28"/>
    </w:rPr>
  </w:style>
  <w:style w:type="character" w:customStyle="1" w:styleId="30">
    <w:name w:val="Body text|2_"/>
    <w:basedOn w:val="16"/>
    <w:link w:val="31"/>
    <w:qFormat/>
    <w:uiPriority w:val="0"/>
    <w:rPr>
      <w:rFonts w:ascii="宋体" w:hAnsi="宋体" w:cs="宋体"/>
      <w:lang w:val="zh-TW" w:eastAsia="zh-TW" w:bidi="zh-TW"/>
    </w:rPr>
  </w:style>
  <w:style w:type="paragraph" w:customStyle="1" w:styleId="31">
    <w:name w:val="Body text|2"/>
    <w:basedOn w:val="1"/>
    <w:link w:val="30"/>
    <w:qFormat/>
    <w:uiPriority w:val="0"/>
    <w:pPr>
      <w:spacing w:after="50" w:line="240" w:lineRule="auto"/>
      <w:ind w:left="490" w:hanging="490" w:firstLineChars="0"/>
      <w:jc w:val="left"/>
    </w:pPr>
    <w:rPr>
      <w:rFonts w:ascii="宋体" w:hAnsi="宋体" w:eastAsia="宋体" w:cs="宋体"/>
      <w:sz w:val="20"/>
      <w:lang w:val="zh-TW" w:eastAsia="zh-TW" w:bidi="zh-TW"/>
    </w:rPr>
  </w:style>
  <w:style w:type="character" w:customStyle="1" w:styleId="32">
    <w:name w:val="Body text|4_"/>
    <w:basedOn w:val="16"/>
    <w:link w:val="33"/>
    <w:qFormat/>
    <w:uiPriority w:val="0"/>
    <w:rPr>
      <w:lang w:val="zh-TW" w:eastAsia="zh-TW" w:bidi="zh-TW"/>
    </w:rPr>
  </w:style>
  <w:style w:type="paragraph" w:customStyle="1" w:styleId="33">
    <w:name w:val="Body text|4"/>
    <w:basedOn w:val="1"/>
    <w:link w:val="32"/>
    <w:qFormat/>
    <w:uiPriority w:val="0"/>
    <w:pPr>
      <w:spacing w:line="240" w:lineRule="auto"/>
      <w:ind w:firstLine="0" w:firstLineChars="0"/>
      <w:jc w:val="left"/>
    </w:pPr>
    <w:rPr>
      <w:rFonts w:eastAsia="宋体"/>
      <w:sz w:val="20"/>
      <w:lang w:val="zh-TW" w:eastAsia="zh-TW" w:bidi="zh-TW"/>
    </w:rPr>
  </w:style>
  <w:style w:type="character" w:customStyle="1" w:styleId="34">
    <w:name w:val="Body text|1_"/>
    <w:basedOn w:val="16"/>
    <w:link w:val="35"/>
    <w:qFormat/>
    <w:uiPriority w:val="0"/>
    <w:rPr>
      <w:rFonts w:ascii="宋体" w:hAnsi="宋体" w:cs="宋体"/>
      <w:sz w:val="28"/>
      <w:szCs w:val="28"/>
      <w:lang w:val="zh-TW" w:eastAsia="zh-TW" w:bidi="zh-TW"/>
    </w:rPr>
  </w:style>
  <w:style w:type="paragraph" w:customStyle="1" w:styleId="35">
    <w:name w:val="Body text|1"/>
    <w:basedOn w:val="1"/>
    <w:link w:val="34"/>
    <w:qFormat/>
    <w:uiPriority w:val="0"/>
    <w:pPr>
      <w:spacing w:line="439" w:lineRule="auto"/>
      <w:ind w:firstLine="400" w:firstLineChars="0"/>
      <w:jc w:val="left"/>
    </w:pPr>
    <w:rPr>
      <w:rFonts w:ascii="宋体" w:hAnsi="宋体" w:eastAsia="宋体" w:cs="宋体"/>
      <w:szCs w:val="28"/>
      <w:lang w:val="zh-TW" w:eastAsia="zh-TW" w:bidi="zh-TW"/>
    </w:rPr>
  </w:style>
  <w:style w:type="paragraph" w:customStyle="1" w:styleId="36">
    <w:name w:val="修订1"/>
    <w:hidden/>
    <w:semiHidden/>
    <w:qFormat/>
    <w:uiPriority w:val="99"/>
    <w:rPr>
      <w:rFonts w:ascii="Times New Roman" w:hAnsi="Times New Roman" w:eastAsia="仿宋_GB2312"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084A7-E30D-4DB0-A07B-B99C3970F6E6}">
  <ds:schemaRefs/>
</ds:datastoreItem>
</file>

<file path=docProps/app.xml><?xml version="1.0" encoding="utf-8"?>
<Properties xmlns="http://schemas.openxmlformats.org/officeDocument/2006/extended-properties" xmlns:vt="http://schemas.openxmlformats.org/officeDocument/2006/docPropsVTypes">
  <Template>Normal</Template>
  <Pages>62</Pages>
  <Words>36858</Words>
  <Characters>38856</Characters>
  <Lines>314</Lines>
  <Paragraphs>88</Paragraphs>
  <TotalTime>16</TotalTime>
  <ScaleCrop>false</ScaleCrop>
  <LinksUpToDate>false</LinksUpToDate>
  <CharactersWithSpaces>39083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2021-08-26T01:16:00Z</dcterms:created>
  <dc:creator>Lenovo</dc:creator>
  <cp:lastModifiedBy>WPS_1660046246</cp:lastModifiedBy>
  <cp:lastPrinted>2022-05-24T01:24:00Z</cp:lastPrinted>
  <dcterms:modified xsi:type="dcterms:W3CDTF">2023-06-08T01:11:09Z</dcterms:modified>
  <cp:revision>1558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B272B451ED68447BBEE6911121BCC6BB</vt:lpwstr>
  </property>
</Properties>
</file>