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olor w:val="auto"/>
        </w:rPr>
      </w:pPr>
    </w:p>
    <w:p>
      <w:pPr>
        <w:pStyle w:val="5"/>
        <w:rPr>
          <w:rFonts w:ascii="Times New Roman" w:hAnsi="Times New Roman"/>
          <w:color w:val="auto"/>
        </w:rPr>
      </w:pPr>
      <w:r>
        <w:rPr>
          <w:rFonts w:ascii="Times New Roman" w:hAnsi="Times New Roman"/>
          <w:color w:val="auto"/>
        </w:rPr>
        <w:t>建设项目基本情况</w:t>
      </w:r>
    </w:p>
    <w:tbl>
      <w:tblPr>
        <w:tblStyle w:val="26"/>
        <w:tblW w:w="94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1674"/>
        <w:gridCol w:w="689"/>
        <w:gridCol w:w="250"/>
        <w:gridCol w:w="358"/>
        <w:gridCol w:w="483"/>
        <w:gridCol w:w="482"/>
        <w:gridCol w:w="248"/>
        <w:gridCol w:w="456"/>
        <w:gridCol w:w="881"/>
        <w:gridCol w:w="312"/>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项目名称</w:t>
            </w:r>
          </w:p>
        </w:tc>
        <w:tc>
          <w:tcPr>
            <w:tcW w:w="7197" w:type="dxa"/>
            <w:gridSpan w:val="11"/>
            <w:vAlign w:val="center"/>
          </w:tcPr>
          <w:p>
            <w:pPr>
              <w:jc w:val="center"/>
              <w:rPr>
                <w:rFonts w:ascii="Times New Roman" w:hAnsi="Times New Roman"/>
                <w:color w:val="auto"/>
                <w:sz w:val="24"/>
              </w:rPr>
            </w:pPr>
            <w:r>
              <w:rPr>
                <w:rFonts w:ascii="Times New Roman" w:hAnsi="Times New Roman"/>
                <w:color w:val="auto"/>
                <w:sz w:val="24"/>
              </w:rPr>
              <w:t>宁县九岘乡鲁甲村垃圾转运站建设项目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建设单位</w:t>
            </w:r>
          </w:p>
        </w:tc>
        <w:tc>
          <w:tcPr>
            <w:tcW w:w="7197" w:type="dxa"/>
            <w:gridSpan w:val="11"/>
            <w:vAlign w:val="center"/>
          </w:tcPr>
          <w:p>
            <w:pPr>
              <w:jc w:val="center"/>
              <w:rPr>
                <w:rFonts w:ascii="Times New Roman" w:hAnsi="Times New Roman"/>
                <w:color w:val="auto"/>
                <w:sz w:val="24"/>
              </w:rPr>
            </w:pPr>
            <w:r>
              <w:rPr>
                <w:rFonts w:ascii="Times New Roman" w:hAnsi="Times New Roman"/>
                <w:color w:val="auto"/>
                <w:sz w:val="24"/>
              </w:rPr>
              <w:t>宁县九岘乡人民政府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法人代表</w:t>
            </w:r>
          </w:p>
        </w:tc>
        <w:tc>
          <w:tcPr>
            <w:tcW w:w="2613" w:type="dxa"/>
            <w:gridSpan w:val="3"/>
            <w:vAlign w:val="center"/>
          </w:tcPr>
          <w:p>
            <w:pPr>
              <w:ind w:left="-105" w:leftChars="-50" w:right="-105" w:rightChars="-50"/>
              <w:jc w:val="center"/>
              <w:rPr>
                <w:rFonts w:ascii="Times New Roman" w:hAnsi="Times New Roman"/>
                <w:color w:val="auto"/>
                <w:sz w:val="24"/>
              </w:rPr>
            </w:pPr>
            <w:r>
              <w:rPr>
                <w:rFonts w:ascii="Times New Roman" w:hAnsi="Times New Roman"/>
                <w:color w:val="auto"/>
                <w:sz w:val="24"/>
              </w:rPr>
              <w:t>罗霄</w:t>
            </w:r>
          </w:p>
        </w:tc>
        <w:tc>
          <w:tcPr>
            <w:tcW w:w="1323" w:type="dxa"/>
            <w:gridSpan w:val="3"/>
            <w:vAlign w:val="center"/>
          </w:tcPr>
          <w:p>
            <w:pPr>
              <w:jc w:val="center"/>
              <w:rPr>
                <w:rFonts w:ascii="Times New Roman" w:hAnsi="Times New Roman"/>
                <w:color w:val="auto"/>
                <w:sz w:val="24"/>
              </w:rPr>
            </w:pPr>
            <w:r>
              <w:rPr>
                <w:rFonts w:ascii="Times New Roman" w:hAnsi="Times New Roman"/>
                <w:color w:val="auto"/>
                <w:sz w:val="24"/>
              </w:rPr>
              <w:t>联系人</w:t>
            </w:r>
          </w:p>
        </w:tc>
        <w:tc>
          <w:tcPr>
            <w:tcW w:w="3261" w:type="dxa"/>
            <w:gridSpan w:val="5"/>
            <w:vAlign w:val="center"/>
          </w:tcPr>
          <w:p>
            <w:pPr>
              <w:jc w:val="center"/>
              <w:rPr>
                <w:rFonts w:ascii="Times New Roman" w:hAnsi="Times New Roman"/>
                <w:color w:val="auto"/>
                <w:sz w:val="24"/>
              </w:rPr>
            </w:pPr>
            <w:r>
              <w:rPr>
                <w:rFonts w:ascii="Times New Roman" w:hAnsi="Times New Roman"/>
                <w:color w:val="auto"/>
                <w:sz w:val="24"/>
              </w:rPr>
              <w:t>赵永刚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通讯地址</w:t>
            </w:r>
          </w:p>
        </w:tc>
        <w:tc>
          <w:tcPr>
            <w:tcW w:w="7197" w:type="dxa"/>
            <w:gridSpan w:val="11"/>
            <w:vAlign w:val="center"/>
          </w:tcPr>
          <w:p>
            <w:pPr>
              <w:jc w:val="center"/>
              <w:rPr>
                <w:rFonts w:ascii="Times New Roman" w:hAnsi="Times New Roman"/>
                <w:color w:val="auto"/>
                <w:sz w:val="24"/>
              </w:rPr>
            </w:pPr>
            <w:r>
              <w:rPr>
                <w:rFonts w:ascii="Times New Roman" w:hAnsi="Times New Roman"/>
                <w:color w:val="auto"/>
                <w:sz w:val="24"/>
              </w:rPr>
              <w:t>宁县九岘乡九岘街8号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联系电话</w:t>
            </w:r>
          </w:p>
        </w:tc>
        <w:tc>
          <w:tcPr>
            <w:tcW w:w="2363" w:type="dxa"/>
            <w:gridSpan w:val="2"/>
            <w:vAlign w:val="center"/>
          </w:tcPr>
          <w:p>
            <w:pPr>
              <w:jc w:val="center"/>
              <w:rPr>
                <w:rFonts w:ascii="Times New Roman" w:hAnsi="Times New Roman"/>
                <w:color w:val="auto"/>
                <w:sz w:val="24"/>
              </w:rPr>
            </w:pPr>
            <w:r>
              <w:rPr>
                <w:rFonts w:ascii="Times New Roman" w:hAnsi="Times New Roman"/>
                <w:color w:val="auto"/>
                <w:sz w:val="24"/>
              </w:rPr>
              <w:t>13884103251</w:t>
            </w:r>
          </w:p>
        </w:tc>
        <w:tc>
          <w:tcPr>
            <w:tcW w:w="1091" w:type="dxa"/>
            <w:gridSpan w:val="3"/>
            <w:vAlign w:val="center"/>
          </w:tcPr>
          <w:p>
            <w:pPr>
              <w:jc w:val="center"/>
              <w:rPr>
                <w:rFonts w:ascii="Times New Roman" w:hAnsi="Times New Roman"/>
                <w:color w:val="auto"/>
                <w:sz w:val="24"/>
              </w:rPr>
            </w:pPr>
            <w:r>
              <w:rPr>
                <w:rFonts w:ascii="Times New Roman" w:hAnsi="Times New Roman"/>
                <w:color w:val="auto"/>
                <w:sz w:val="24"/>
              </w:rPr>
              <w:t>传真</w:t>
            </w:r>
          </w:p>
        </w:tc>
        <w:tc>
          <w:tcPr>
            <w:tcW w:w="1186" w:type="dxa"/>
            <w:gridSpan w:val="3"/>
            <w:vAlign w:val="center"/>
          </w:tcPr>
          <w:p>
            <w:pPr>
              <w:jc w:val="center"/>
              <w:rPr>
                <w:rFonts w:ascii="Times New Roman" w:hAnsi="Times New Roman"/>
                <w:color w:val="auto"/>
              </w:rPr>
            </w:pPr>
            <w:r>
              <w:rPr>
                <w:rFonts w:ascii="Times New Roman" w:hAnsi="Times New Roman"/>
                <w:color w:val="auto"/>
              </w:rPr>
              <w:t>/</w:t>
            </w:r>
          </w:p>
        </w:tc>
        <w:tc>
          <w:tcPr>
            <w:tcW w:w="1193" w:type="dxa"/>
            <w:gridSpan w:val="2"/>
            <w:vAlign w:val="center"/>
          </w:tcPr>
          <w:p>
            <w:pPr>
              <w:jc w:val="center"/>
              <w:rPr>
                <w:rFonts w:ascii="Times New Roman" w:hAnsi="Times New Roman"/>
                <w:color w:val="auto"/>
              </w:rPr>
            </w:pPr>
            <w:r>
              <w:rPr>
                <w:rFonts w:ascii="Times New Roman" w:hAnsi="Times New Roman"/>
                <w:color w:val="auto"/>
                <w:sz w:val="24"/>
              </w:rPr>
              <w:t>邮政编码</w:t>
            </w:r>
          </w:p>
        </w:tc>
        <w:tc>
          <w:tcPr>
            <w:tcW w:w="1364" w:type="dxa"/>
            <w:vAlign w:val="center"/>
          </w:tcPr>
          <w:p>
            <w:pPr>
              <w:jc w:val="center"/>
              <w:rPr>
                <w:rFonts w:ascii="Times New Roman" w:hAnsi="Times New Roman"/>
                <w:color w:val="auto"/>
                <w:sz w:val="24"/>
              </w:rPr>
            </w:pPr>
            <w:r>
              <w:rPr>
                <w:rFonts w:ascii="Times New Roman" w:hAnsi="Times New Roman"/>
                <w:color w:val="auto"/>
                <w:sz w:val="24"/>
              </w:rPr>
              <w:t>745200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建设地点</w:t>
            </w:r>
          </w:p>
        </w:tc>
        <w:tc>
          <w:tcPr>
            <w:tcW w:w="7197" w:type="dxa"/>
            <w:gridSpan w:val="11"/>
            <w:vAlign w:val="center"/>
          </w:tcPr>
          <w:p>
            <w:pPr>
              <w:jc w:val="center"/>
              <w:rPr>
                <w:rFonts w:ascii="Times New Roman" w:hAnsi="Times New Roman"/>
                <w:color w:val="auto"/>
                <w:sz w:val="24"/>
              </w:rPr>
            </w:pPr>
            <w:r>
              <w:rPr>
                <w:rFonts w:ascii="Times New Roman" w:hAnsi="Times New Roman"/>
                <w:color w:val="auto"/>
                <w:sz w:val="24"/>
              </w:rPr>
              <w:t>宁县九岘乡鲁甲村疙瘩组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立项审批部门</w:t>
            </w:r>
          </w:p>
        </w:tc>
        <w:tc>
          <w:tcPr>
            <w:tcW w:w="2971" w:type="dxa"/>
            <w:gridSpan w:val="4"/>
            <w:vAlign w:val="center"/>
          </w:tcPr>
          <w:p>
            <w:pPr>
              <w:jc w:val="center"/>
              <w:rPr>
                <w:rFonts w:ascii="Times New Roman" w:hAnsi="Times New Roman"/>
                <w:color w:val="auto"/>
                <w:sz w:val="24"/>
              </w:rPr>
            </w:pPr>
            <w:r>
              <w:rPr>
                <w:rFonts w:ascii="Times New Roman" w:hAnsi="Times New Roman"/>
                <w:color w:val="auto"/>
                <w:sz w:val="24"/>
              </w:rPr>
              <w:t>-</w:t>
            </w:r>
          </w:p>
        </w:tc>
        <w:tc>
          <w:tcPr>
            <w:tcW w:w="1213" w:type="dxa"/>
            <w:gridSpan w:val="3"/>
            <w:vAlign w:val="center"/>
          </w:tcPr>
          <w:p>
            <w:pPr>
              <w:jc w:val="center"/>
              <w:rPr>
                <w:rFonts w:ascii="Times New Roman" w:hAnsi="Times New Roman"/>
                <w:color w:val="auto"/>
                <w:sz w:val="24"/>
              </w:rPr>
            </w:pPr>
            <w:r>
              <w:rPr>
                <w:rFonts w:ascii="Times New Roman" w:hAnsi="Times New Roman"/>
                <w:color w:val="auto"/>
                <w:sz w:val="24"/>
              </w:rPr>
              <w:t>批准文号</w:t>
            </w:r>
          </w:p>
        </w:tc>
        <w:tc>
          <w:tcPr>
            <w:tcW w:w="3013" w:type="dxa"/>
            <w:gridSpan w:val="4"/>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建设性质</w:t>
            </w:r>
          </w:p>
        </w:tc>
        <w:tc>
          <w:tcPr>
            <w:tcW w:w="2971" w:type="dxa"/>
            <w:gridSpan w:val="4"/>
            <w:vAlign w:val="center"/>
          </w:tcPr>
          <w:p>
            <w:pPr>
              <w:jc w:val="center"/>
              <w:rPr>
                <w:rFonts w:ascii="Times New Roman" w:hAnsi="Times New Roman"/>
                <w:color w:val="auto"/>
                <w:sz w:val="24"/>
              </w:rPr>
            </w:pPr>
            <w:r>
              <w:rPr>
                <w:rFonts w:ascii="Times New Roman" w:hAnsi="Times New Roman"/>
                <w:color w:val="auto"/>
                <w:sz w:val="24"/>
                <w:bdr w:val="single" w:color="auto" w:sz="4" w:space="0"/>
              </w:rPr>
              <w:t>√</w:t>
            </w:r>
            <w:r>
              <w:rPr>
                <w:rFonts w:ascii="Times New Roman" w:hAnsi="Times New Roman"/>
                <w:color w:val="auto"/>
                <w:sz w:val="24"/>
              </w:rPr>
              <w:t xml:space="preserve">新建 改扩建  技改 </w:t>
            </w:r>
          </w:p>
        </w:tc>
        <w:tc>
          <w:tcPr>
            <w:tcW w:w="1213" w:type="dxa"/>
            <w:gridSpan w:val="3"/>
            <w:vAlign w:val="center"/>
          </w:tcPr>
          <w:p>
            <w:pPr>
              <w:jc w:val="center"/>
              <w:rPr>
                <w:rFonts w:ascii="Times New Roman" w:hAnsi="Times New Roman"/>
                <w:color w:val="auto"/>
                <w:sz w:val="24"/>
              </w:rPr>
            </w:pPr>
            <w:r>
              <w:rPr>
                <w:rFonts w:ascii="Times New Roman" w:hAnsi="Times New Roman"/>
                <w:color w:val="auto"/>
                <w:sz w:val="24"/>
              </w:rPr>
              <w:t>行业类别</w:t>
            </w:r>
          </w:p>
          <w:p>
            <w:pPr>
              <w:jc w:val="center"/>
              <w:rPr>
                <w:rFonts w:ascii="Times New Roman" w:hAnsi="Times New Roman"/>
                <w:color w:val="auto"/>
                <w:sz w:val="24"/>
              </w:rPr>
            </w:pPr>
            <w:r>
              <w:rPr>
                <w:rFonts w:ascii="Times New Roman" w:hAnsi="Times New Roman"/>
                <w:color w:val="auto"/>
                <w:sz w:val="24"/>
              </w:rPr>
              <w:t>及代码</w:t>
            </w:r>
          </w:p>
        </w:tc>
        <w:tc>
          <w:tcPr>
            <w:tcW w:w="3013" w:type="dxa"/>
            <w:gridSpan w:val="4"/>
            <w:vAlign w:val="center"/>
          </w:tcPr>
          <w:p>
            <w:pPr>
              <w:jc w:val="center"/>
              <w:rPr>
                <w:rFonts w:ascii="Times New Roman" w:hAnsi="Times New Roman"/>
                <w:color w:val="auto"/>
                <w:sz w:val="24"/>
              </w:rPr>
            </w:pPr>
            <w:r>
              <w:rPr>
                <w:rFonts w:ascii="Times New Roman" w:hAnsi="Times New Roman"/>
                <w:color w:val="auto"/>
                <w:sz w:val="24"/>
              </w:rPr>
              <w:t>N7820环境卫生管理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占地面积</w:t>
            </w:r>
            <w:r>
              <w:rPr>
                <w:rFonts w:ascii="Times New Roman" w:hAnsi="Times New Roman"/>
                <w:color w:val="auto"/>
                <w:spacing w:val="-11"/>
                <w:sz w:val="24"/>
              </w:rPr>
              <w:t>（平方米）</w:t>
            </w:r>
          </w:p>
        </w:tc>
        <w:tc>
          <w:tcPr>
            <w:tcW w:w="2971" w:type="dxa"/>
            <w:gridSpan w:val="4"/>
            <w:vAlign w:val="center"/>
          </w:tcPr>
          <w:p>
            <w:pPr>
              <w:jc w:val="center"/>
              <w:rPr>
                <w:rFonts w:ascii="Times New Roman" w:hAnsi="Times New Roman"/>
                <w:color w:val="auto"/>
                <w:sz w:val="24"/>
              </w:rPr>
            </w:pPr>
            <w:r>
              <w:rPr>
                <w:rFonts w:ascii="Times New Roman" w:hAnsi="Times New Roman"/>
                <w:color w:val="auto"/>
                <w:sz w:val="24"/>
              </w:rPr>
              <w:t>2087.67</w:t>
            </w:r>
          </w:p>
        </w:tc>
        <w:tc>
          <w:tcPr>
            <w:tcW w:w="1213" w:type="dxa"/>
            <w:gridSpan w:val="3"/>
            <w:vAlign w:val="center"/>
          </w:tcPr>
          <w:p>
            <w:pPr>
              <w:jc w:val="center"/>
              <w:rPr>
                <w:rFonts w:ascii="Times New Roman" w:hAnsi="Times New Roman"/>
                <w:color w:val="auto"/>
                <w:sz w:val="24"/>
              </w:rPr>
            </w:pPr>
            <w:r>
              <w:rPr>
                <w:rFonts w:ascii="Times New Roman" w:hAnsi="Times New Roman"/>
                <w:color w:val="auto"/>
                <w:sz w:val="24"/>
              </w:rPr>
              <w:t>绿化面积</w:t>
            </w:r>
          </w:p>
          <w:p>
            <w:pPr>
              <w:jc w:val="center"/>
              <w:rPr>
                <w:rFonts w:ascii="Times New Roman" w:hAnsi="Times New Roman"/>
                <w:color w:val="auto"/>
                <w:sz w:val="24"/>
              </w:rPr>
            </w:pPr>
            <w:r>
              <w:rPr>
                <w:rFonts w:ascii="Times New Roman" w:hAnsi="Times New Roman"/>
                <w:color w:val="auto"/>
                <w:spacing w:val="-11"/>
                <w:sz w:val="24"/>
              </w:rPr>
              <w:t>（平方米）</w:t>
            </w:r>
          </w:p>
        </w:tc>
        <w:tc>
          <w:tcPr>
            <w:tcW w:w="3013" w:type="dxa"/>
            <w:gridSpan w:val="4"/>
            <w:vAlign w:val="center"/>
          </w:tcPr>
          <w:p>
            <w:pPr>
              <w:jc w:val="center"/>
              <w:rPr>
                <w:rFonts w:ascii="Times New Roman" w:hAnsi="Times New Roman"/>
                <w:color w:val="auto"/>
                <w:sz w:val="24"/>
              </w:rPr>
            </w:pPr>
            <w:r>
              <w:rPr>
                <w:rFonts w:ascii="Times New Roman" w:hAnsi="Times New Roman"/>
                <w:color w:val="auto"/>
                <w:sz w:val="24"/>
              </w:rPr>
              <w:t>436.72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总投资（万元）</w:t>
            </w:r>
          </w:p>
        </w:tc>
        <w:tc>
          <w:tcPr>
            <w:tcW w:w="1674" w:type="dxa"/>
            <w:vAlign w:val="center"/>
          </w:tcPr>
          <w:p>
            <w:pPr>
              <w:jc w:val="center"/>
              <w:rPr>
                <w:rFonts w:ascii="Times New Roman" w:hAnsi="Times New Roman"/>
                <w:color w:val="auto"/>
                <w:sz w:val="24"/>
              </w:rPr>
            </w:pPr>
            <w:r>
              <w:rPr>
                <w:rFonts w:ascii="Times New Roman" w:hAnsi="Times New Roman"/>
                <w:color w:val="auto"/>
                <w:sz w:val="24"/>
              </w:rPr>
              <w:t>99.8</w:t>
            </w:r>
          </w:p>
        </w:tc>
        <w:tc>
          <w:tcPr>
            <w:tcW w:w="1297" w:type="dxa"/>
            <w:gridSpan w:val="3"/>
            <w:vAlign w:val="center"/>
          </w:tcPr>
          <w:p>
            <w:pPr>
              <w:jc w:val="center"/>
              <w:rPr>
                <w:rFonts w:ascii="Times New Roman" w:hAnsi="Times New Roman"/>
                <w:color w:val="auto"/>
                <w:sz w:val="24"/>
              </w:rPr>
            </w:pPr>
            <w:r>
              <w:rPr>
                <w:rFonts w:ascii="Times New Roman" w:hAnsi="Times New Roman"/>
                <w:color w:val="auto"/>
                <w:sz w:val="24"/>
              </w:rPr>
              <w:t>其中：环保投资</w:t>
            </w:r>
          </w:p>
          <w:p>
            <w:pPr>
              <w:jc w:val="center"/>
              <w:rPr>
                <w:rFonts w:ascii="Times New Roman" w:hAnsi="Times New Roman"/>
                <w:color w:val="auto"/>
                <w:sz w:val="24"/>
              </w:rPr>
            </w:pPr>
            <w:r>
              <w:rPr>
                <w:rFonts w:ascii="Times New Roman" w:hAnsi="Times New Roman"/>
                <w:color w:val="auto"/>
                <w:sz w:val="24"/>
              </w:rPr>
              <w:t>（万元）</w:t>
            </w:r>
          </w:p>
        </w:tc>
        <w:tc>
          <w:tcPr>
            <w:tcW w:w="1213" w:type="dxa"/>
            <w:gridSpan w:val="3"/>
            <w:vAlign w:val="center"/>
          </w:tcPr>
          <w:p>
            <w:pPr>
              <w:jc w:val="center"/>
              <w:rPr>
                <w:rFonts w:ascii="Times New Roman" w:hAnsi="Times New Roman"/>
                <w:color w:val="auto"/>
                <w:sz w:val="24"/>
              </w:rPr>
            </w:pPr>
            <w:r>
              <w:rPr>
                <w:rFonts w:ascii="Times New Roman" w:hAnsi="Times New Roman"/>
                <w:color w:val="auto"/>
                <w:sz w:val="24"/>
              </w:rPr>
              <w:t>13.5</w:t>
            </w:r>
          </w:p>
        </w:tc>
        <w:tc>
          <w:tcPr>
            <w:tcW w:w="1337" w:type="dxa"/>
            <w:gridSpan w:val="2"/>
            <w:vAlign w:val="center"/>
          </w:tcPr>
          <w:p>
            <w:pPr>
              <w:jc w:val="center"/>
              <w:rPr>
                <w:rFonts w:ascii="Times New Roman" w:hAnsi="Times New Roman"/>
                <w:color w:val="auto"/>
                <w:sz w:val="24"/>
              </w:rPr>
            </w:pPr>
            <w:r>
              <w:rPr>
                <w:rFonts w:ascii="Times New Roman" w:hAnsi="Times New Roman"/>
                <w:color w:val="auto"/>
                <w:sz w:val="24"/>
              </w:rPr>
              <w:t>环保投资占总投资比例（%）</w:t>
            </w:r>
          </w:p>
        </w:tc>
        <w:tc>
          <w:tcPr>
            <w:tcW w:w="1676" w:type="dxa"/>
            <w:gridSpan w:val="2"/>
            <w:vAlign w:val="center"/>
          </w:tcPr>
          <w:p>
            <w:pPr>
              <w:jc w:val="center"/>
              <w:rPr>
                <w:rFonts w:ascii="Times New Roman" w:hAnsi="Times New Roman"/>
                <w:color w:val="auto"/>
                <w:sz w:val="24"/>
              </w:rPr>
            </w:pPr>
            <w:r>
              <w:rPr>
                <w:rFonts w:ascii="Times New Roman" w:hAnsi="Times New Roman"/>
                <w:color w:val="auto"/>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266" w:type="dxa"/>
            <w:vAlign w:val="center"/>
          </w:tcPr>
          <w:p>
            <w:pPr>
              <w:jc w:val="center"/>
              <w:rPr>
                <w:rFonts w:ascii="Times New Roman" w:hAnsi="Times New Roman"/>
                <w:color w:val="auto"/>
                <w:sz w:val="24"/>
              </w:rPr>
            </w:pPr>
            <w:r>
              <w:rPr>
                <w:rFonts w:ascii="Times New Roman" w:hAnsi="Times New Roman"/>
                <w:color w:val="auto"/>
                <w:sz w:val="24"/>
              </w:rPr>
              <w:t>评价经费（万元）</w:t>
            </w:r>
          </w:p>
        </w:tc>
        <w:tc>
          <w:tcPr>
            <w:tcW w:w="1674" w:type="dxa"/>
            <w:vAlign w:val="center"/>
          </w:tcPr>
          <w:p>
            <w:pPr>
              <w:jc w:val="center"/>
              <w:rPr>
                <w:rFonts w:ascii="Times New Roman" w:hAnsi="Times New Roman"/>
                <w:color w:val="auto"/>
                <w:sz w:val="24"/>
              </w:rPr>
            </w:pPr>
            <w:r>
              <w:rPr>
                <w:rFonts w:ascii="Times New Roman" w:hAnsi="Times New Roman"/>
                <w:color w:val="auto"/>
                <w:sz w:val="24"/>
              </w:rPr>
              <w:t>/</w:t>
            </w:r>
          </w:p>
        </w:tc>
        <w:tc>
          <w:tcPr>
            <w:tcW w:w="1297" w:type="dxa"/>
            <w:gridSpan w:val="3"/>
            <w:vAlign w:val="center"/>
          </w:tcPr>
          <w:p>
            <w:pPr>
              <w:jc w:val="center"/>
              <w:rPr>
                <w:rFonts w:ascii="Times New Roman" w:hAnsi="Times New Roman"/>
                <w:color w:val="auto"/>
                <w:sz w:val="24"/>
              </w:rPr>
            </w:pPr>
            <w:r>
              <w:rPr>
                <w:rFonts w:ascii="Times New Roman" w:hAnsi="Times New Roman"/>
                <w:color w:val="auto"/>
                <w:sz w:val="24"/>
              </w:rPr>
              <w:t>投产</w:t>
            </w:r>
          </w:p>
          <w:p>
            <w:pPr>
              <w:jc w:val="center"/>
              <w:rPr>
                <w:rFonts w:ascii="Times New Roman" w:hAnsi="Times New Roman"/>
                <w:color w:val="auto"/>
                <w:sz w:val="24"/>
              </w:rPr>
            </w:pPr>
            <w:r>
              <w:rPr>
                <w:rFonts w:ascii="Times New Roman" w:hAnsi="Times New Roman"/>
                <w:color w:val="auto"/>
                <w:sz w:val="24"/>
              </w:rPr>
              <w:t>日期</w:t>
            </w:r>
          </w:p>
        </w:tc>
        <w:tc>
          <w:tcPr>
            <w:tcW w:w="4226" w:type="dxa"/>
            <w:gridSpan w:val="7"/>
            <w:vAlign w:val="center"/>
          </w:tcPr>
          <w:p>
            <w:pPr>
              <w:jc w:val="center"/>
              <w:rPr>
                <w:rFonts w:ascii="Times New Roman" w:hAnsi="Times New Roman"/>
                <w:color w:val="auto"/>
                <w:sz w:val="24"/>
              </w:rPr>
            </w:pPr>
            <w:r>
              <w:rPr>
                <w:rFonts w:ascii="Times New Roman" w:hAnsi="Times New Roman"/>
                <w:color w:val="auto"/>
                <w:sz w:val="24"/>
              </w:rPr>
              <w:t>2020年8月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3" w:type="dxa"/>
            <w:gridSpan w:val="12"/>
          </w:tcPr>
          <w:p>
            <w:pPr>
              <w:spacing w:line="360" w:lineRule="auto"/>
              <w:rPr>
                <w:rFonts w:ascii="Times New Roman" w:hAnsi="Times New Roman"/>
                <w:b/>
                <w:color w:val="auto"/>
                <w:sz w:val="24"/>
              </w:rPr>
            </w:pPr>
            <w:r>
              <w:rPr>
                <w:rFonts w:ascii="Times New Roman" w:hAnsi="Times New Roman"/>
                <w:b/>
                <w:color w:val="auto"/>
                <w:sz w:val="24"/>
              </w:rPr>
              <w:t xml:space="preserve">工程内容及规模： </w:t>
            </w:r>
          </w:p>
          <w:p>
            <w:pPr>
              <w:snapToGrid w:val="0"/>
              <w:spacing w:line="360" w:lineRule="auto"/>
              <w:ind w:right="2" w:rightChars="1" w:firstLine="480" w:firstLineChars="200"/>
              <w:rPr>
                <w:rFonts w:ascii="Times New Roman" w:hAnsi="Times New Roman"/>
                <w:color w:val="auto"/>
                <w:sz w:val="24"/>
              </w:rPr>
            </w:pPr>
            <w:r>
              <w:rPr>
                <w:rFonts w:ascii="Times New Roman" w:hAnsi="Times New Roman"/>
                <w:color w:val="auto"/>
                <w:sz w:val="24"/>
              </w:rPr>
              <w:t>1、项目背景</w:t>
            </w:r>
          </w:p>
          <w:p>
            <w:pPr>
              <w:snapToGrid w:val="0"/>
              <w:spacing w:line="360" w:lineRule="auto"/>
              <w:ind w:right="2" w:rightChars="1" w:firstLine="480" w:firstLineChars="200"/>
              <w:rPr>
                <w:rFonts w:ascii="Times New Roman" w:hAnsi="Times New Roman"/>
                <w:color w:val="auto"/>
                <w:sz w:val="24"/>
              </w:rPr>
            </w:pPr>
            <w:r>
              <w:rPr>
                <w:rFonts w:ascii="Times New Roman" w:hAnsi="Times New Roman"/>
                <w:color w:val="auto"/>
                <w:sz w:val="24"/>
              </w:rPr>
              <w:t>为解决垃圾收运过程中产生的二次污染问题，提高垃圾的收集转运效率，加快实现垃圾的减量化、无害化和资源化，宁县九岘乡人民政府投资99.8万元建设宁县九岘乡鲁甲村垃圾转运站建设项目，项目总占地面积2087.67m</w:t>
            </w:r>
            <w:r>
              <w:rPr>
                <w:rFonts w:ascii="Times New Roman" w:hAnsi="Times New Roman"/>
                <w:color w:val="auto"/>
                <w:sz w:val="24"/>
                <w:vertAlign w:val="superscript"/>
              </w:rPr>
              <w:t>2</w:t>
            </w:r>
            <w:r>
              <w:rPr>
                <w:rFonts w:ascii="Times New Roman" w:hAnsi="Times New Roman"/>
                <w:color w:val="auto"/>
                <w:sz w:val="24"/>
              </w:rPr>
              <w:t>，主要建设垃圾中转房一座，生活管理及存储间一座，本中转站主要服务九岘乡用于鲁甲村、北庄村、九岘村、马洼村及九岘乡镇街道生活垃圾的集中与周转</w:t>
            </w:r>
            <w:r>
              <w:rPr>
                <w:rFonts w:ascii="Times New Roman" w:hAnsi="Times New Roman"/>
                <w:snapToGrid w:val="0"/>
                <w:color w:val="auto"/>
                <w:kern w:val="0"/>
                <w:szCs w:val="21"/>
              </w:rPr>
              <w:t>，</w:t>
            </w:r>
            <w:r>
              <w:rPr>
                <w:rFonts w:ascii="Times New Roman" w:hAnsi="Times New Roman"/>
                <w:color w:val="auto"/>
                <w:sz w:val="24"/>
              </w:rPr>
              <w:t>服务区域内人口约5000人，人均垃圾量按0.8kg/人计，按《城镇环境卫生设施设置标准》4.2.2，本中转站设计运转规模为4t/d。</w:t>
            </w:r>
          </w:p>
          <w:p>
            <w:pPr>
              <w:snapToGrid w:val="0"/>
              <w:spacing w:line="360" w:lineRule="auto"/>
              <w:ind w:right="2" w:rightChars="1" w:firstLine="480" w:firstLineChars="200"/>
              <w:rPr>
                <w:rFonts w:ascii="Times New Roman" w:hAnsi="Times New Roman"/>
                <w:color w:val="auto"/>
                <w:sz w:val="24"/>
              </w:rPr>
            </w:pPr>
            <w:r>
              <w:rPr>
                <w:rFonts w:hint="eastAsia" w:ascii="Times New Roman" w:hAnsi="Times New Roman"/>
                <w:color w:val="auto"/>
                <w:sz w:val="24"/>
              </w:rPr>
              <w:t>庆阳圣元环保电力有限公司由圣元环保股份有限公司独资成立，公司投资45000万元在庆阳市西峰区肖金镇胡同村建设生活垃圾焚烧发电项目。采用逆推式机械炉排炉工艺，项目一次规划设计总规模为日处理量1200吨，配套建设汽轮发电机组，分期实施建设，一期实施1×600t/d焚烧线、1×12MW汽轮发电机组及配套公辅设施，二期实施1×600t/d焚烧线、1×12MW汽轮发电机组以及配套公辅设备，项目总占地约93亩</w:t>
            </w:r>
            <w:r>
              <w:rPr>
                <w:rFonts w:ascii="Times New Roman" w:hAnsi="Times New Roman"/>
                <w:color w:val="auto"/>
                <w:sz w:val="24"/>
              </w:rPr>
              <w:t>。</w:t>
            </w:r>
          </w:p>
          <w:p>
            <w:pPr>
              <w:snapToGrid w:val="0"/>
              <w:spacing w:line="360" w:lineRule="auto"/>
              <w:ind w:right="2" w:rightChars="1" w:firstLine="480" w:firstLineChars="200"/>
              <w:rPr>
                <w:rFonts w:ascii="Times New Roman" w:hAnsi="Times New Roman"/>
                <w:color w:val="auto"/>
              </w:rPr>
            </w:pPr>
            <w:r>
              <w:rPr>
                <w:rFonts w:ascii="Times New Roman" w:hAnsi="Times New Roman"/>
                <w:color w:val="auto"/>
                <w:sz w:val="24"/>
              </w:rPr>
              <w:t>宁县污水处理厂位于宁县县城南侧马莲河下游东岸沙滩一队附近，东侧为S303省道，厂区占地面积18亩，近期（2015）年设计处理规模为5000m</w:t>
            </w:r>
            <w:r>
              <w:rPr>
                <w:rFonts w:ascii="Times New Roman" w:hAnsi="Times New Roman"/>
                <w:color w:val="auto"/>
                <w:sz w:val="24"/>
                <w:vertAlign w:val="superscript"/>
              </w:rPr>
              <w:t>3</w:t>
            </w:r>
            <w:r>
              <w:rPr>
                <w:rFonts w:ascii="Times New Roman" w:hAnsi="Times New Roman"/>
                <w:color w:val="auto"/>
                <w:sz w:val="24"/>
              </w:rPr>
              <w:t>/d，远期（2025年）日处理规模为10000m</w:t>
            </w:r>
            <w:r>
              <w:rPr>
                <w:rFonts w:ascii="Times New Roman" w:hAnsi="Times New Roman"/>
                <w:color w:val="auto"/>
                <w:sz w:val="24"/>
                <w:vertAlign w:val="superscript"/>
              </w:rPr>
              <w:t>3</w:t>
            </w:r>
            <w:r>
              <w:rPr>
                <w:rFonts w:ascii="Times New Roman" w:hAnsi="Times New Roman"/>
                <w:color w:val="auto"/>
                <w:sz w:val="24"/>
              </w:rPr>
              <w:t>/d，生物处理采用双沟交替运行氧化沟工艺，污泥采用机械浓缩脱水工艺。目前该污水处理厂已完成提标改造（一级B提为一级A）的审批工作，处于建设阶段。建设单位已于宁县城市管理局签订生活垃圾及渗滤液的协议（见附件）。</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中华人民共和国环境影响评价法》、国务院令第682号《建设项目环境保护管理条例》，本项目需进行环境影响评价。根据环保部令第44号《建设项目环境影响评价分类管理名录》及生态环境部令第1号《关于修改〈建设项目环境影响评价分类管理名录〉部分内容的决定》中的有关规定，本项目属于“三十五、公共设施管理业-103城镇生活垃圾转运站"，需编制环境影响报告表。为此，宁县九岘乡人民政府特委托</w:t>
            </w:r>
            <w:r>
              <w:rPr>
                <w:rFonts w:ascii="Times New Roman" w:hAnsi="Times New Roman"/>
                <w:color w:val="auto"/>
                <w:spacing w:val="4"/>
                <w:sz w:val="24"/>
              </w:rPr>
              <w:t>我公司</w:t>
            </w:r>
            <w:r>
              <w:rPr>
                <w:rFonts w:ascii="Times New Roman" w:hAnsi="Times New Roman"/>
                <w:color w:val="auto"/>
                <w:sz w:val="24"/>
              </w:rPr>
              <w:t>承担其宁县九岘乡鲁甲村垃圾转运站建设项目环境影响报告表的编制工作，经过现场勘察及工程分析，依据《环境影响评价技术导则》等文件的要求编制了该项目的环境影响报告表。</w:t>
            </w:r>
          </w:p>
          <w:p>
            <w:pPr>
              <w:adjustRightInd w:val="0"/>
              <w:snapToGrid w:val="0"/>
              <w:spacing w:line="360" w:lineRule="auto"/>
              <w:ind w:firstLine="482" w:firstLineChars="200"/>
              <w:textAlignment w:val="baseline"/>
              <w:rPr>
                <w:rFonts w:ascii="Times New Roman" w:hAnsi="Times New Roman"/>
                <w:b/>
                <w:color w:val="auto"/>
                <w:sz w:val="24"/>
              </w:rPr>
            </w:pPr>
            <w:r>
              <w:rPr>
                <w:rFonts w:ascii="Times New Roman" w:hAnsi="Times New Roman"/>
                <w:b/>
                <w:color w:val="auto"/>
                <w:sz w:val="24"/>
              </w:rPr>
              <w:t>2、编制依据</w:t>
            </w:r>
          </w:p>
          <w:p>
            <w:pPr>
              <w:pStyle w:val="60"/>
              <w:ind w:firstLine="480"/>
              <w:rPr>
                <w:rFonts w:ascii="Times New Roman" w:hAnsi="Times New Roman"/>
                <w:color w:val="auto"/>
                <w:sz w:val="24"/>
                <w:szCs w:val="24"/>
              </w:rPr>
            </w:pPr>
            <w:r>
              <w:rPr>
                <w:rFonts w:ascii="Times New Roman" w:hAnsi="Times New Roman"/>
                <w:color w:val="auto"/>
                <w:sz w:val="24"/>
                <w:szCs w:val="24"/>
              </w:rPr>
              <w:t>（1）《中华人民共和国环境保护法》2015年1月1日；</w:t>
            </w:r>
          </w:p>
          <w:p>
            <w:pPr>
              <w:pStyle w:val="60"/>
              <w:ind w:firstLine="480"/>
              <w:rPr>
                <w:rFonts w:ascii="Times New Roman" w:hAnsi="Times New Roman"/>
                <w:color w:val="auto"/>
                <w:sz w:val="24"/>
                <w:szCs w:val="24"/>
              </w:rPr>
            </w:pPr>
            <w:r>
              <w:rPr>
                <w:rFonts w:ascii="Times New Roman" w:hAnsi="Times New Roman"/>
                <w:color w:val="auto"/>
                <w:sz w:val="24"/>
                <w:szCs w:val="24"/>
              </w:rPr>
              <w:t>（2）《中华人民共和国固体废物污染环境防治法》2016年11月7日；</w:t>
            </w:r>
          </w:p>
          <w:p>
            <w:pPr>
              <w:pStyle w:val="60"/>
              <w:ind w:firstLine="480"/>
              <w:rPr>
                <w:rFonts w:ascii="Times New Roman" w:hAnsi="Times New Roman"/>
                <w:color w:val="auto"/>
                <w:sz w:val="24"/>
                <w:szCs w:val="24"/>
              </w:rPr>
            </w:pPr>
            <w:r>
              <w:rPr>
                <w:rFonts w:ascii="Times New Roman" w:hAnsi="Times New Roman"/>
                <w:color w:val="auto"/>
                <w:sz w:val="24"/>
                <w:szCs w:val="24"/>
              </w:rPr>
              <w:t>（3）《中华人民共和国水污染防治法》2018年1月1日；</w:t>
            </w:r>
          </w:p>
          <w:p>
            <w:pPr>
              <w:pStyle w:val="60"/>
              <w:ind w:firstLine="480"/>
              <w:rPr>
                <w:rFonts w:ascii="Times New Roman" w:hAnsi="Times New Roman"/>
                <w:color w:val="auto"/>
                <w:sz w:val="24"/>
                <w:szCs w:val="24"/>
              </w:rPr>
            </w:pPr>
            <w:r>
              <w:rPr>
                <w:rFonts w:ascii="Times New Roman" w:hAnsi="Times New Roman"/>
                <w:color w:val="auto"/>
                <w:sz w:val="24"/>
                <w:szCs w:val="24"/>
              </w:rPr>
              <w:t>（4）《中华人民共和国大气污染防治法》2018年10月26日；</w:t>
            </w:r>
          </w:p>
          <w:p>
            <w:pPr>
              <w:pStyle w:val="60"/>
              <w:ind w:firstLine="480"/>
              <w:rPr>
                <w:rFonts w:ascii="Times New Roman" w:hAnsi="Times New Roman"/>
                <w:color w:val="auto"/>
                <w:sz w:val="24"/>
                <w:szCs w:val="24"/>
              </w:rPr>
            </w:pPr>
            <w:r>
              <w:rPr>
                <w:rFonts w:ascii="Times New Roman" w:hAnsi="Times New Roman"/>
                <w:color w:val="auto"/>
                <w:sz w:val="24"/>
                <w:szCs w:val="24"/>
              </w:rPr>
              <w:t>（5）《中华人民共和国环境噪声污染防治法》2018年12月29日；</w:t>
            </w:r>
          </w:p>
          <w:p>
            <w:pPr>
              <w:pStyle w:val="60"/>
              <w:ind w:firstLine="480"/>
              <w:rPr>
                <w:rFonts w:ascii="Times New Roman" w:hAnsi="Times New Roman"/>
                <w:color w:val="auto"/>
                <w:sz w:val="24"/>
                <w:szCs w:val="24"/>
              </w:rPr>
            </w:pPr>
            <w:r>
              <w:rPr>
                <w:rFonts w:ascii="Times New Roman" w:hAnsi="Times New Roman"/>
                <w:color w:val="auto"/>
                <w:sz w:val="24"/>
                <w:szCs w:val="24"/>
              </w:rPr>
              <w:t>（6）《中华人民共和国环境土壤污染防治法》2018年8月31日；</w:t>
            </w:r>
          </w:p>
          <w:p>
            <w:pPr>
              <w:pStyle w:val="60"/>
              <w:ind w:firstLine="480"/>
              <w:rPr>
                <w:rFonts w:ascii="Times New Roman" w:hAnsi="Times New Roman"/>
                <w:color w:val="auto"/>
                <w:sz w:val="24"/>
                <w:szCs w:val="24"/>
              </w:rPr>
            </w:pPr>
            <w:r>
              <w:rPr>
                <w:rFonts w:ascii="Times New Roman" w:hAnsi="Times New Roman"/>
                <w:color w:val="auto"/>
                <w:sz w:val="24"/>
                <w:szCs w:val="24"/>
              </w:rPr>
              <w:t>（7）《中华人民共和国环境影响评价法》2018年12月29日；</w:t>
            </w:r>
          </w:p>
          <w:p>
            <w:pPr>
              <w:pStyle w:val="60"/>
              <w:ind w:firstLine="480"/>
              <w:rPr>
                <w:rFonts w:ascii="Times New Roman" w:hAnsi="Times New Roman"/>
                <w:color w:val="auto"/>
                <w:sz w:val="24"/>
                <w:szCs w:val="24"/>
              </w:rPr>
            </w:pPr>
            <w:r>
              <w:rPr>
                <w:rFonts w:ascii="Times New Roman" w:hAnsi="Times New Roman"/>
                <w:color w:val="auto"/>
                <w:sz w:val="24"/>
                <w:szCs w:val="24"/>
              </w:rPr>
              <w:t>（8）《建设项目环境影响评价分类管理名录》2017年9月1日；</w:t>
            </w:r>
          </w:p>
          <w:p>
            <w:pPr>
              <w:pStyle w:val="60"/>
              <w:ind w:firstLine="480"/>
              <w:rPr>
                <w:rFonts w:ascii="Times New Roman" w:hAnsi="Times New Roman"/>
                <w:color w:val="auto"/>
                <w:sz w:val="24"/>
                <w:szCs w:val="24"/>
              </w:rPr>
            </w:pPr>
            <w:r>
              <w:rPr>
                <w:rFonts w:ascii="Times New Roman" w:hAnsi="Times New Roman"/>
                <w:color w:val="auto"/>
                <w:sz w:val="24"/>
                <w:szCs w:val="24"/>
              </w:rPr>
              <w:t>（9）关于修改《建设项目环境影响评价分类管理名录》部分内容的决定”生态环保部令第1号，2018年4月28日；</w:t>
            </w:r>
          </w:p>
          <w:p>
            <w:pPr>
              <w:pStyle w:val="60"/>
              <w:ind w:firstLine="480"/>
              <w:rPr>
                <w:rFonts w:ascii="Times New Roman" w:hAnsi="Times New Roman"/>
                <w:color w:val="auto"/>
                <w:sz w:val="24"/>
                <w:szCs w:val="24"/>
              </w:rPr>
            </w:pPr>
            <w:r>
              <w:rPr>
                <w:rFonts w:ascii="Times New Roman" w:hAnsi="Times New Roman"/>
                <w:color w:val="auto"/>
                <w:sz w:val="24"/>
                <w:szCs w:val="24"/>
              </w:rPr>
              <w:t>（10）《建设项目环境保护管理条例》（中华人民共和国国务院第682号令，2017年7月16日）；</w:t>
            </w:r>
          </w:p>
          <w:p>
            <w:pPr>
              <w:pStyle w:val="60"/>
              <w:ind w:firstLine="480"/>
              <w:rPr>
                <w:rFonts w:ascii="Times New Roman" w:hAnsi="Times New Roman"/>
                <w:color w:val="auto"/>
                <w:sz w:val="24"/>
                <w:szCs w:val="24"/>
              </w:rPr>
            </w:pPr>
            <w:r>
              <w:rPr>
                <w:rFonts w:ascii="Times New Roman" w:hAnsi="Times New Roman"/>
                <w:color w:val="auto"/>
                <w:sz w:val="24"/>
                <w:szCs w:val="24"/>
              </w:rPr>
              <w:t>（11）《关于建设项目环境管理问题的若干意见》（国家环保局[88]第117号文）；</w:t>
            </w:r>
          </w:p>
          <w:p>
            <w:pPr>
              <w:pStyle w:val="60"/>
              <w:ind w:firstLine="480"/>
              <w:rPr>
                <w:rFonts w:ascii="Times New Roman" w:hAnsi="Times New Roman"/>
                <w:color w:val="auto"/>
                <w:sz w:val="24"/>
                <w:szCs w:val="24"/>
              </w:rPr>
            </w:pPr>
            <w:r>
              <w:rPr>
                <w:rFonts w:ascii="Times New Roman" w:hAnsi="Times New Roman"/>
                <w:color w:val="auto"/>
                <w:sz w:val="24"/>
                <w:szCs w:val="24"/>
              </w:rPr>
              <w:t>（12）《国务院关于落实科学发展观加强环境保护工作的决定》，（国发[2005]39号，2005.12.3）；</w:t>
            </w:r>
          </w:p>
          <w:p>
            <w:pPr>
              <w:pStyle w:val="60"/>
              <w:ind w:firstLine="480"/>
              <w:rPr>
                <w:rFonts w:ascii="Times New Roman" w:hAnsi="Times New Roman"/>
                <w:color w:val="auto"/>
                <w:sz w:val="24"/>
                <w:szCs w:val="24"/>
              </w:rPr>
            </w:pPr>
            <w:r>
              <w:rPr>
                <w:rFonts w:ascii="Times New Roman" w:hAnsi="Times New Roman"/>
                <w:color w:val="auto"/>
                <w:sz w:val="24"/>
                <w:szCs w:val="24"/>
              </w:rPr>
              <w:t>（13）《国家发展改革委关于修改&lt;产业结构调整指导目录（2011年本）&gt;有关条款</w:t>
            </w:r>
            <w:r>
              <w:rPr>
                <w:rFonts w:hint="eastAsia" w:ascii="Times New Roman" w:hAnsi="Times New Roman"/>
                <w:color w:val="auto"/>
                <w:sz w:val="24"/>
                <w:szCs w:val="24"/>
                <w:lang w:eastAsia="zh-CN"/>
              </w:rPr>
              <w:t>的</w:t>
            </w:r>
            <w:r>
              <w:rPr>
                <w:rFonts w:ascii="Times New Roman" w:hAnsi="Times New Roman"/>
                <w:color w:val="auto"/>
                <w:sz w:val="24"/>
                <w:szCs w:val="24"/>
              </w:rPr>
              <w:t>决定》（</w:t>
            </w:r>
            <w:r>
              <w:rPr>
                <w:rFonts w:hint="eastAsia" w:ascii="Times New Roman" w:hAnsi="Times New Roman"/>
                <w:color w:val="auto"/>
                <w:sz w:val="24"/>
                <w:szCs w:val="24"/>
              </w:rPr>
              <w:t>国家发展和改革委员会</w:t>
            </w:r>
            <w:bookmarkStart w:id="22" w:name="_GoBack"/>
            <w:bookmarkEnd w:id="22"/>
            <w:r>
              <w:rPr>
                <w:rFonts w:ascii="Times New Roman" w:hAnsi="Times New Roman"/>
                <w:color w:val="auto"/>
                <w:sz w:val="24"/>
                <w:szCs w:val="24"/>
              </w:rPr>
              <w:t>令2013第21号）；</w:t>
            </w:r>
          </w:p>
          <w:p>
            <w:pPr>
              <w:pStyle w:val="60"/>
              <w:ind w:firstLine="480"/>
              <w:rPr>
                <w:rFonts w:ascii="Times New Roman" w:hAnsi="Times New Roman"/>
                <w:color w:val="auto"/>
                <w:sz w:val="24"/>
                <w:szCs w:val="24"/>
              </w:rPr>
            </w:pPr>
            <w:r>
              <w:rPr>
                <w:rFonts w:ascii="Times New Roman" w:hAnsi="Times New Roman"/>
                <w:color w:val="auto"/>
                <w:sz w:val="24"/>
                <w:szCs w:val="24"/>
              </w:rPr>
              <w:t>（14）《中华人民共和国清洁生产促进法》（2012年7月1日）；</w:t>
            </w:r>
          </w:p>
          <w:p>
            <w:pPr>
              <w:pStyle w:val="60"/>
              <w:ind w:firstLine="480"/>
              <w:rPr>
                <w:rFonts w:ascii="Times New Roman" w:hAnsi="Times New Roman"/>
                <w:color w:val="auto"/>
                <w:sz w:val="24"/>
                <w:szCs w:val="24"/>
              </w:rPr>
            </w:pPr>
            <w:r>
              <w:rPr>
                <w:rFonts w:ascii="Times New Roman" w:hAnsi="Times New Roman"/>
                <w:color w:val="auto"/>
                <w:sz w:val="24"/>
                <w:szCs w:val="24"/>
              </w:rPr>
              <w:t>（15）《中华人民共和国循环经济促进法》（2008年8月29日）；</w:t>
            </w:r>
          </w:p>
          <w:p>
            <w:pPr>
              <w:pStyle w:val="60"/>
              <w:ind w:firstLine="480"/>
              <w:rPr>
                <w:rFonts w:ascii="Times New Roman" w:hAnsi="Times New Roman"/>
                <w:color w:val="auto"/>
                <w:sz w:val="24"/>
                <w:szCs w:val="24"/>
              </w:rPr>
            </w:pPr>
            <w:r>
              <w:rPr>
                <w:rFonts w:ascii="Times New Roman" w:hAnsi="Times New Roman"/>
                <w:color w:val="auto"/>
                <w:sz w:val="24"/>
                <w:szCs w:val="24"/>
              </w:rPr>
              <w:t>（16）《国务院关于环境保护若干问题的决定》，国发[1996]31号令；</w:t>
            </w:r>
          </w:p>
          <w:p>
            <w:pPr>
              <w:pStyle w:val="60"/>
              <w:ind w:firstLine="480"/>
              <w:rPr>
                <w:rFonts w:ascii="Times New Roman" w:hAnsi="Times New Roman"/>
                <w:color w:val="auto"/>
                <w:sz w:val="24"/>
                <w:szCs w:val="24"/>
              </w:rPr>
            </w:pPr>
            <w:r>
              <w:rPr>
                <w:rFonts w:ascii="Times New Roman" w:hAnsi="Times New Roman"/>
                <w:color w:val="auto"/>
                <w:sz w:val="24"/>
                <w:szCs w:val="24"/>
              </w:rPr>
              <w:t>（17）《国务院关于印发打赢蓝天保卫战三年行动计划的通知》（国发〔2018〕22号）；</w:t>
            </w:r>
          </w:p>
          <w:p>
            <w:pPr>
              <w:pStyle w:val="60"/>
              <w:ind w:firstLine="480"/>
              <w:rPr>
                <w:rFonts w:ascii="Times New Roman" w:hAnsi="Times New Roman"/>
                <w:color w:val="auto"/>
                <w:sz w:val="24"/>
                <w:szCs w:val="24"/>
              </w:rPr>
            </w:pPr>
            <w:r>
              <w:rPr>
                <w:rFonts w:ascii="Times New Roman" w:hAnsi="Times New Roman"/>
                <w:color w:val="auto"/>
                <w:sz w:val="24"/>
                <w:szCs w:val="24"/>
              </w:rPr>
              <w:t>（18）《甘肃省人民政府关于印发甘肃省打赢蓝天保卫战三年行动作战方案（2018—2020年）的通知》（甘政发〔2018〕68号）；</w:t>
            </w:r>
          </w:p>
          <w:p>
            <w:pPr>
              <w:pStyle w:val="60"/>
              <w:ind w:firstLine="480"/>
              <w:rPr>
                <w:rFonts w:ascii="Times New Roman" w:hAnsi="Times New Roman"/>
                <w:color w:val="auto"/>
                <w:sz w:val="24"/>
                <w:szCs w:val="24"/>
              </w:rPr>
            </w:pPr>
            <w:r>
              <w:rPr>
                <w:rFonts w:ascii="Times New Roman" w:hAnsi="Times New Roman"/>
                <w:color w:val="auto"/>
                <w:sz w:val="24"/>
                <w:szCs w:val="24"/>
              </w:rPr>
              <w:t>（19）《甘肃省土壤污染防治工作方案》（2016年12月28日）；</w:t>
            </w:r>
          </w:p>
          <w:p>
            <w:pPr>
              <w:pStyle w:val="60"/>
              <w:ind w:firstLine="480"/>
              <w:rPr>
                <w:rFonts w:ascii="Times New Roman" w:hAnsi="Times New Roman"/>
                <w:color w:val="auto"/>
                <w:sz w:val="24"/>
                <w:szCs w:val="24"/>
              </w:rPr>
            </w:pPr>
            <w:r>
              <w:rPr>
                <w:rFonts w:ascii="Times New Roman" w:hAnsi="Times New Roman"/>
                <w:color w:val="auto"/>
                <w:sz w:val="24"/>
                <w:szCs w:val="24"/>
              </w:rPr>
              <w:t>（20）《甘肃省水污染防治工作方案（2015—2050）》（甘政发[2015]103号）；</w:t>
            </w:r>
          </w:p>
          <w:p>
            <w:pPr>
              <w:pStyle w:val="60"/>
              <w:ind w:firstLine="480"/>
              <w:rPr>
                <w:rFonts w:ascii="Times New Roman" w:hAnsi="Times New Roman"/>
                <w:color w:val="auto"/>
                <w:sz w:val="24"/>
                <w:szCs w:val="24"/>
              </w:rPr>
            </w:pPr>
            <w:r>
              <w:rPr>
                <w:rFonts w:ascii="Times New Roman" w:hAnsi="Times New Roman"/>
                <w:color w:val="auto"/>
                <w:sz w:val="24"/>
                <w:szCs w:val="24"/>
              </w:rPr>
              <w:t>（21）《甘肃省环境保护条例》(2019.9.26)；</w:t>
            </w:r>
          </w:p>
          <w:p>
            <w:pPr>
              <w:pStyle w:val="60"/>
              <w:ind w:firstLine="480"/>
              <w:rPr>
                <w:rFonts w:ascii="Times New Roman" w:hAnsi="Times New Roman"/>
                <w:color w:val="auto"/>
                <w:sz w:val="24"/>
                <w:szCs w:val="24"/>
              </w:rPr>
            </w:pPr>
            <w:r>
              <w:rPr>
                <w:rFonts w:ascii="Times New Roman" w:hAnsi="Times New Roman"/>
                <w:color w:val="auto"/>
                <w:sz w:val="24"/>
                <w:szCs w:val="24"/>
              </w:rPr>
              <w:t>（22）《甘肃省大气污染防治条例》（2019年1月1日起实行）；</w:t>
            </w:r>
          </w:p>
          <w:p>
            <w:pPr>
              <w:pStyle w:val="60"/>
              <w:ind w:firstLine="480"/>
              <w:rPr>
                <w:rFonts w:ascii="Times New Roman" w:hAnsi="Times New Roman"/>
                <w:color w:val="auto"/>
                <w:sz w:val="24"/>
                <w:szCs w:val="24"/>
              </w:rPr>
            </w:pPr>
            <w:r>
              <w:rPr>
                <w:rFonts w:ascii="Times New Roman" w:hAnsi="Times New Roman"/>
                <w:color w:val="auto"/>
                <w:sz w:val="24"/>
                <w:szCs w:val="24"/>
              </w:rPr>
              <w:t>（23）《甘肃省打赢蓝天保卫战2019实施方案》（甘大气治理领办发〔2019〕11号）；</w:t>
            </w:r>
          </w:p>
          <w:p>
            <w:pPr>
              <w:pStyle w:val="60"/>
              <w:ind w:firstLine="480"/>
              <w:rPr>
                <w:rFonts w:ascii="Times New Roman" w:hAnsi="Times New Roman"/>
                <w:color w:val="auto"/>
                <w:sz w:val="24"/>
                <w:szCs w:val="24"/>
              </w:rPr>
            </w:pPr>
            <w:r>
              <w:rPr>
                <w:rFonts w:ascii="Times New Roman" w:hAnsi="Times New Roman"/>
                <w:color w:val="auto"/>
                <w:sz w:val="24"/>
                <w:szCs w:val="24"/>
              </w:rPr>
              <w:t>（24）《打赢蓝天保卫战三年行动计划》（国发【2018】22号，2018年6月27日）；</w:t>
            </w:r>
          </w:p>
          <w:p>
            <w:pPr>
              <w:pStyle w:val="60"/>
              <w:ind w:firstLine="480"/>
              <w:rPr>
                <w:rFonts w:ascii="Times New Roman" w:hAnsi="Times New Roman"/>
                <w:color w:val="auto"/>
                <w:sz w:val="24"/>
                <w:szCs w:val="24"/>
              </w:rPr>
            </w:pPr>
            <w:r>
              <w:rPr>
                <w:rFonts w:ascii="Times New Roman" w:hAnsi="Times New Roman"/>
                <w:color w:val="auto"/>
                <w:sz w:val="24"/>
                <w:szCs w:val="24"/>
              </w:rPr>
              <w:t>（25）《甘肃省水污染防治工作方案（2015-2050）》（甘政发【2015】103号，2015年12月30日）；</w:t>
            </w:r>
          </w:p>
          <w:p>
            <w:pPr>
              <w:adjustRightInd w:val="0"/>
              <w:snapToGrid w:val="0"/>
              <w:spacing w:line="360" w:lineRule="auto"/>
              <w:ind w:firstLine="482" w:firstLineChars="200"/>
              <w:textAlignment w:val="baseline"/>
              <w:rPr>
                <w:rFonts w:ascii="Times New Roman" w:hAnsi="Times New Roman"/>
                <w:b/>
                <w:color w:val="auto"/>
                <w:sz w:val="24"/>
              </w:rPr>
            </w:pPr>
            <w:r>
              <w:rPr>
                <w:rFonts w:ascii="Times New Roman" w:hAnsi="Times New Roman"/>
                <w:b/>
                <w:color w:val="auto"/>
                <w:sz w:val="24"/>
              </w:rPr>
              <w:t>3、技术规范</w:t>
            </w:r>
          </w:p>
          <w:p>
            <w:pPr>
              <w:pStyle w:val="60"/>
              <w:ind w:firstLine="480"/>
              <w:rPr>
                <w:rFonts w:ascii="Times New Roman" w:hAnsi="Times New Roman"/>
                <w:color w:val="auto"/>
                <w:sz w:val="24"/>
                <w:szCs w:val="24"/>
              </w:rPr>
            </w:pPr>
            <w:r>
              <w:rPr>
                <w:rFonts w:ascii="Times New Roman" w:hAnsi="Times New Roman"/>
                <w:color w:val="auto"/>
                <w:sz w:val="24"/>
                <w:szCs w:val="24"/>
              </w:rPr>
              <w:t>（1）《环境影响评价技术导则－总纲》（HJ2.1-2016）；</w:t>
            </w:r>
          </w:p>
          <w:p>
            <w:pPr>
              <w:pStyle w:val="60"/>
              <w:ind w:firstLine="480"/>
              <w:rPr>
                <w:rFonts w:ascii="Times New Roman" w:hAnsi="Times New Roman"/>
                <w:color w:val="auto"/>
                <w:sz w:val="24"/>
                <w:szCs w:val="24"/>
              </w:rPr>
            </w:pPr>
            <w:r>
              <w:rPr>
                <w:rFonts w:ascii="Times New Roman" w:hAnsi="Times New Roman"/>
                <w:color w:val="auto"/>
                <w:sz w:val="24"/>
                <w:szCs w:val="24"/>
              </w:rPr>
              <w:t>（2）《环境影响评价技术导则－大气环境》（HJ2.2-2018）；</w:t>
            </w:r>
          </w:p>
          <w:p>
            <w:pPr>
              <w:pStyle w:val="60"/>
              <w:ind w:firstLine="480"/>
              <w:rPr>
                <w:rFonts w:ascii="Times New Roman" w:hAnsi="Times New Roman"/>
                <w:color w:val="auto"/>
                <w:sz w:val="24"/>
                <w:szCs w:val="24"/>
              </w:rPr>
            </w:pPr>
            <w:r>
              <w:rPr>
                <w:rFonts w:ascii="Times New Roman" w:hAnsi="Times New Roman"/>
                <w:color w:val="auto"/>
                <w:sz w:val="24"/>
                <w:szCs w:val="24"/>
              </w:rPr>
              <w:t>（3）《环境影响评价技术导则－地表水环境》（HJ2.3-2018）；</w:t>
            </w:r>
          </w:p>
          <w:p>
            <w:pPr>
              <w:pStyle w:val="60"/>
              <w:ind w:firstLine="480"/>
              <w:rPr>
                <w:rFonts w:ascii="Times New Roman" w:hAnsi="Times New Roman"/>
                <w:color w:val="auto"/>
                <w:sz w:val="24"/>
                <w:szCs w:val="24"/>
              </w:rPr>
            </w:pPr>
            <w:r>
              <w:rPr>
                <w:rFonts w:ascii="Times New Roman" w:hAnsi="Times New Roman"/>
                <w:color w:val="auto"/>
                <w:sz w:val="24"/>
                <w:szCs w:val="24"/>
              </w:rPr>
              <w:t>（4）《环境影响评价技术导则－地下水环境》（HJ610-2016）；</w:t>
            </w:r>
          </w:p>
          <w:p>
            <w:pPr>
              <w:pStyle w:val="60"/>
              <w:ind w:firstLine="480"/>
              <w:rPr>
                <w:rFonts w:ascii="Times New Roman" w:hAnsi="Times New Roman"/>
                <w:color w:val="auto"/>
                <w:sz w:val="24"/>
                <w:szCs w:val="24"/>
              </w:rPr>
            </w:pPr>
            <w:r>
              <w:rPr>
                <w:rFonts w:ascii="Times New Roman" w:hAnsi="Times New Roman"/>
                <w:color w:val="auto"/>
                <w:sz w:val="24"/>
                <w:szCs w:val="24"/>
              </w:rPr>
              <w:t>（5）《环境影响评价技术导则－土壤》（HJ964-2018）；</w:t>
            </w:r>
          </w:p>
          <w:p>
            <w:pPr>
              <w:pStyle w:val="60"/>
              <w:ind w:firstLine="480"/>
              <w:rPr>
                <w:rFonts w:ascii="Times New Roman" w:hAnsi="Times New Roman"/>
                <w:color w:val="auto"/>
                <w:sz w:val="24"/>
                <w:szCs w:val="24"/>
              </w:rPr>
            </w:pPr>
            <w:r>
              <w:rPr>
                <w:rFonts w:ascii="Times New Roman" w:hAnsi="Times New Roman"/>
                <w:color w:val="auto"/>
                <w:sz w:val="24"/>
                <w:szCs w:val="24"/>
              </w:rPr>
              <w:t>（6）《环境影响评价技术导则－声环境》（HJ2.4-2009）；</w:t>
            </w:r>
          </w:p>
          <w:p>
            <w:pPr>
              <w:pStyle w:val="60"/>
              <w:ind w:firstLine="480"/>
              <w:rPr>
                <w:rFonts w:ascii="Times New Roman" w:hAnsi="Times New Roman"/>
                <w:color w:val="auto"/>
                <w:sz w:val="24"/>
                <w:szCs w:val="24"/>
              </w:rPr>
            </w:pPr>
            <w:r>
              <w:rPr>
                <w:rFonts w:ascii="Times New Roman" w:hAnsi="Times New Roman"/>
                <w:color w:val="auto"/>
                <w:sz w:val="24"/>
                <w:szCs w:val="24"/>
              </w:rPr>
              <w:t>（7）《环境影响评价技术导则－生态影响》（HJ19-2011）；</w:t>
            </w:r>
          </w:p>
          <w:p>
            <w:pPr>
              <w:pStyle w:val="60"/>
              <w:ind w:firstLine="480"/>
              <w:rPr>
                <w:rFonts w:ascii="Times New Roman" w:hAnsi="Times New Roman"/>
                <w:color w:val="auto"/>
                <w:sz w:val="24"/>
                <w:szCs w:val="24"/>
              </w:rPr>
            </w:pPr>
            <w:r>
              <w:rPr>
                <w:rFonts w:ascii="Times New Roman" w:hAnsi="Times New Roman"/>
                <w:color w:val="auto"/>
                <w:sz w:val="24"/>
                <w:szCs w:val="24"/>
              </w:rPr>
              <w:t>（8）《排污单位自行监测技术指南-总则》（HJ819-2017）；</w:t>
            </w:r>
          </w:p>
          <w:p>
            <w:pPr>
              <w:pStyle w:val="60"/>
              <w:ind w:firstLine="480"/>
              <w:rPr>
                <w:rFonts w:ascii="Times New Roman" w:hAnsi="Times New Roman"/>
                <w:color w:val="auto"/>
                <w:sz w:val="24"/>
                <w:szCs w:val="24"/>
              </w:rPr>
            </w:pPr>
            <w:r>
              <w:rPr>
                <w:rFonts w:ascii="Times New Roman" w:hAnsi="Times New Roman"/>
                <w:color w:val="auto"/>
                <w:sz w:val="24"/>
                <w:szCs w:val="24"/>
              </w:rPr>
              <w:t>（9）《建设项目环境风险评价技术导则》（HJ169-2018）；</w:t>
            </w:r>
          </w:p>
          <w:p>
            <w:pPr>
              <w:spacing w:line="360" w:lineRule="auto"/>
              <w:ind w:firstLine="482" w:firstLineChars="200"/>
              <w:rPr>
                <w:rFonts w:ascii="Times New Roman" w:hAnsi="Times New Roman"/>
                <w:b/>
                <w:bCs/>
                <w:color w:val="auto"/>
                <w:sz w:val="24"/>
              </w:rPr>
            </w:pPr>
            <w:r>
              <w:rPr>
                <w:rFonts w:ascii="Times New Roman" w:hAnsi="Times New Roman"/>
                <w:b/>
                <w:color w:val="auto"/>
                <w:sz w:val="24"/>
              </w:rPr>
              <w:t>4、</w:t>
            </w:r>
            <w:r>
              <w:rPr>
                <w:rFonts w:ascii="Times New Roman" w:hAnsi="Times New Roman"/>
                <w:b/>
                <w:bCs/>
                <w:color w:val="auto"/>
                <w:sz w:val="24"/>
              </w:rPr>
              <w:t>环境功能区划分</w:t>
            </w:r>
          </w:p>
          <w:p>
            <w:pPr>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4.1环境空气</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关于印发&lt;庆阳地区环境空气质量功能区划分方案&gt;的通知》（庆行署发[1999]20号），方案划分庆阳市除子午岭林区为环境空气功能一类区外，其余均为二类区。根据划分结果，项目地环境空气功能区为二类功能区。</w:t>
            </w:r>
          </w:p>
          <w:p>
            <w:pPr>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4.2地表水</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根据《甘肃省地表水功能区划（2012~2030）》（甘政函[2013]4号）中内容，项目所在区域地表水为马莲河的支流九龙河，环境功能区划为IV类水体。具体见附图1。</w:t>
            </w:r>
          </w:p>
          <w:p>
            <w:pPr>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4.3地下水</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根据《地下水质量标准》（GB14848-2017）中功能区的规定，项目评价区地下水为</w:t>
            </w:r>
            <w:r>
              <w:rPr>
                <w:rFonts w:hint="eastAsia" w:ascii="宋体" w:hAnsi="宋体" w:cs="宋体"/>
                <w:color w:val="auto"/>
                <w:kern w:val="0"/>
                <w:sz w:val="24"/>
              </w:rPr>
              <w:t>Ⅲ</w:t>
            </w:r>
            <w:r>
              <w:rPr>
                <w:rFonts w:ascii="Times New Roman" w:hAnsi="Times New Roman"/>
                <w:color w:val="auto"/>
                <w:kern w:val="0"/>
                <w:sz w:val="24"/>
              </w:rPr>
              <w:t>类水功能区。</w:t>
            </w:r>
          </w:p>
          <w:p>
            <w:pPr>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4.4声环境</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根据《声环境质量标准》（GB3096-2008）中声功能区的规定，项目地声环境为1类功能区。</w:t>
            </w:r>
          </w:p>
          <w:p>
            <w:pPr>
              <w:adjustRightInd w:val="0"/>
              <w:snapToGrid w:val="0"/>
              <w:spacing w:line="360" w:lineRule="auto"/>
              <w:ind w:firstLine="482" w:firstLineChars="200"/>
              <w:rPr>
                <w:rFonts w:ascii="Times New Roman" w:hAnsi="Times New Roman"/>
                <w:b/>
                <w:color w:val="auto"/>
                <w:kern w:val="0"/>
                <w:sz w:val="24"/>
              </w:rPr>
            </w:pPr>
            <w:bookmarkStart w:id="0" w:name="_Toc236540695"/>
            <w:bookmarkStart w:id="1" w:name="_Toc236060363"/>
            <w:bookmarkStart w:id="2" w:name="_Toc256719406"/>
            <w:bookmarkStart w:id="3" w:name="_Toc236061592"/>
            <w:bookmarkStart w:id="4" w:name="_Toc325719857"/>
            <w:bookmarkStart w:id="5" w:name="_Toc236059466"/>
            <w:bookmarkStart w:id="6" w:name="_Toc347242863"/>
            <w:bookmarkStart w:id="7" w:name="_Toc253143570"/>
            <w:bookmarkStart w:id="8" w:name="_Toc286139236"/>
            <w:bookmarkStart w:id="9" w:name="_Toc253143765"/>
            <w:bookmarkStart w:id="10" w:name="_Toc253143444"/>
            <w:bookmarkStart w:id="11" w:name="_Toc236061797"/>
            <w:bookmarkStart w:id="12" w:name="_Toc236059364"/>
            <w:r>
              <w:rPr>
                <w:rFonts w:ascii="Times New Roman" w:hAnsi="Times New Roman"/>
                <w:b/>
                <w:color w:val="auto"/>
                <w:kern w:val="0"/>
                <w:sz w:val="24"/>
              </w:rPr>
              <w:t>4.5生态环境</w:t>
            </w:r>
          </w:p>
          <w:p>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甘肃省生态功能区划》，拟建项目位于黄土高原农业生态区，属12-塬旱作农业强烈水土流失生态功能区，具体见附图2，根据《甘肃省人民政府关于划分水土流失重点防治区的通告》，项目所在地区属于水土流失重点治理区。具体见附图3。</w:t>
            </w:r>
          </w:p>
          <w:bookmarkEnd w:id="0"/>
          <w:bookmarkEnd w:id="1"/>
          <w:bookmarkEnd w:id="2"/>
          <w:bookmarkEnd w:id="3"/>
          <w:bookmarkEnd w:id="4"/>
          <w:bookmarkEnd w:id="5"/>
          <w:bookmarkEnd w:id="6"/>
          <w:bookmarkEnd w:id="7"/>
          <w:bookmarkEnd w:id="8"/>
          <w:bookmarkEnd w:id="9"/>
          <w:bookmarkEnd w:id="10"/>
          <w:bookmarkEnd w:id="11"/>
          <w:bookmarkEnd w:id="12"/>
          <w:p>
            <w:pPr>
              <w:spacing w:line="360" w:lineRule="auto"/>
              <w:ind w:firstLine="482" w:firstLineChars="200"/>
              <w:rPr>
                <w:rFonts w:ascii="Times New Roman" w:hAnsi="Times New Roman"/>
                <w:b/>
                <w:color w:val="auto"/>
                <w:sz w:val="24"/>
              </w:rPr>
            </w:pPr>
            <w:r>
              <w:rPr>
                <w:rFonts w:ascii="Times New Roman" w:hAnsi="Times New Roman"/>
                <w:b/>
                <w:color w:val="auto"/>
                <w:sz w:val="24"/>
              </w:rPr>
              <w:t>5、评价工作等级及评价范围</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5.1环境空气</w:t>
            </w:r>
          </w:p>
          <w:p>
            <w:pPr>
              <w:spacing w:line="360" w:lineRule="auto"/>
              <w:ind w:firstLine="480" w:firstLineChars="200"/>
              <w:jc w:val="left"/>
              <w:rPr>
                <w:rFonts w:ascii="Times New Roman" w:hAnsi="Times New Roman"/>
                <w:bCs/>
                <w:color w:val="auto"/>
                <w:sz w:val="24"/>
              </w:rPr>
            </w:pPr>
            <w:r>
              <w:rPr>
                <w:rFonts w:ascii="Times New Roman" w:hAnsi="Times New Roman"/>
                <w:bCs/>
                <w:color w:val="auto"/>
                <w:sz w:val="24"/>
              </w:rPr>
              <w:t>（1）大气环境影响评价工作等级的确定</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依据《环境影响评价技术导则-大气环境》(HJ2.2-2018)中5.3节工作等级的确定方法，结合项目工程分析结果，选择正常排放的主要污染物及排放参数，采用附录A推荐模型中的AERSCREEN模式计算项目污染源的最大环境影响，按评价工作分级判据进行分级。</w:t>
            </w:r>
          </w:p>
          <w:p>
            <w:pPr>
              <w:spacing w:line="480" w:lineRule="exact"/>
              <w:ind w:firstLine="422" w:firstLineChars="176"/>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1 \* GB3 </w:instrText>
            </w:r>
            <w:r>
              <w:rPr>
                <w:rFonts w:ascii="Times New Roman" w:hAnsi="Times New Roman"/>
                <w:color w:val="auto"/>
                <w:sz w:val="24"/>
              </w:rPr>
              <w:fldChar w:fldCharType="separate"/>
            </w:r>
            <w:r>
              <w:rPr>
                <w:rFonts w:hint="eastAsia" w:ascii="宋体" w:hAnsi="宋体" w:cs="宋体"/>
                <w:color w:val="auto"/>
                <w:sz w:val="24"/>
              </w:rPr>
              <w:t>①</w:t>
            </w:r>
            <w:r>
              <w:rPr>
                <w:rFonts w:ascii="Times New Roman" w:hAnsi="Times New Roman"/>
                <w:color w:val="auto"/>
                <w:sz w:val="24"/>
              </w:rPr>
              <w:fldChar w:fldCharType="end"/>
            </w:r>
            <w:r>
              <w:rPr>
                <w:rFonts w:ascii="Times New Roman" w:hAnsi="Times New Roman"/>
                <w:color w:val="auto"/>
                <w:sz w:val="24"/>
              </w:rPr>
              <w:t>Pm</w:t>
            </w:r>
            <w:r>
              <w:rPr>
                <w:rFonts w:ascii="Times New Roman" w:hAnsi="Times New Roman"/>
                <w:color w:val="auto"/>
                <w:sz w:val="24"/>
                <w:vertAlign w:val="subscript"/>
              </w:rPr>
              <w:t>ax</w:t>
            </w:r>
            <w:r>
              <w:rPr>
                <w:rFonts w:ascii="Times New Roman" w:hAnsi="Times New Roman"/>
                <w:color w:val="auto"/>
                <w:sz w:val="24"/>
              </w:rPr>
              <w:t>及D</w:t>
            </w:r>
            <w:r>
              <w:rPr>
                <w:rFonts w:ascii="Times New Roman" w:hAnsi="Times New Roman"/>
                <w:color w:val="auto"/>
                <w:sz w:val="24"/>
                <w:vertAlign w:val="subscript"/>
              </w:rPr>
              <w:t>10%</w:t>
            </w:r>
            <w:r>
              <w:rPr>
                <w:rFonts w:ascii="Times New Roman" w:hAnsi="Times New Roman"/>
                <w:color w:val="auto"/>
                <w:sz w:val="24"/>
              </w:rPr>
              <w:t>的确定</w:t>
            </w:r>
          </w:p>
          <w:p>
            <w:pPr>
              <w:spacing w:line="480" w:lineRule="exact"/>
              <w:ind w:firstLine="422" w:firstLineChars="176"/>
              <w:jc w:val="left"/>
              <w:rPr>
                <w:rFonts w:ascii="Times New Roman" w:hAnsi="Times New Roman"/>
                <w:color w:val="auto"/>
                <w:sz w:val="24"/>
              </w:rPr>
            </w:pPr>
            <w:r>
              <w:rPr>
                <w:rFonts w:ascii="Times New Roman" w:hAnsi="Times New Roman"/>
                <w:color w:val="auto"/>
                <w:sz w:val="24"/>
              </w:rPr>
              <w:t>依据《环境影响评价技术导则 大气环境》(HJ2.2-2018)中最大地面浓度占标率P</w:t>
            </w:r>
            <w:r>
              <w:rPr>
                <w:rFonts w:ascii="Times New Roman" w:hAnsi="Times New Roman"/>
                <w:i/>
                <w:color w:val="auto"/>
                <w:sz w:val="24"/>
              </w:rPr>
              <w:t>i</w:t>
            </w:r>
            <w:r>
              <w:rPr>
                <w:rFonts w:ascii="Times New Roman" w:hAnsi="Times New Roman"/>
                <w:color w:val="auto"/>
                <w:sz w:val="24"/>
              </w:rPr>
              <w:t>定义如下：</w:t>
            </w:r>
          </w:p>
          <w:p>
            <w:pPr>
              <w:spacing w:line="276" w:lineRule="auto"/>
              <w:ind w:firstLine="369" w:firstLineChars="176"/>
              <w:jc w:val="center"/>
              <w:rPr>
                <w:rFonts w:ascii="Times New Roman" w:hAnsi="Times New Roman"/>
                <w:color w:val="auto"/>
                <w:sz w:val="24"/>
              </w:rPr>
            </w:pPr>
            <w:r>
              <w:rPr>
                <w:rFonts w:ascii="Times New Roman" w:hAnsi="Times New Roman"/>
                <w:color w:val="auto"/>
              </w:rPr>
              <w:pict>
                <v:shape id="_x0000_i1025" o:spt="75" type="#_x0000_t75" style="height:33pt;width:89.25pt;" filled="f" o:preferrelative="t" stroked="f" coordsize="21600,21600" equationxml="&lt;">
                  <v:path/>
                  <v:fill on="f" focussize="0,0"/>
                  <v:stroke on="f" joinstyle="miter"/>
                  <v:imagedata r:id="rId9" chromakey="#FFFFFF" o:title=""/>
                  <o:lock v:ext="edit" aspectratio="t"/>
                  <w10:wrap type="none"/>
                  <w10:anchorlock/>
                </v:shape>
              </w:pict>
            </w:r>
          </w:p>
          <w:p>
            <w:pPr>
              <w:spacing w:line="480" w:lineRule="exact"/>
              <w:ind w:firstLine="422" w:firstLineChars="176"/>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QUOTE </w:instrText>
            </w:r>
            <w:r>
              <w:rPr>
                <w:rFonts w:ascii="Times New Roman" w:hAnsi="Times New Roman"/>
                <w:color w:val="auto"/>
                <w:position w:val="-6"/>
              </w:rPr>
              <w:pict>
                <v:shape id="_x0000_i1026" o:spt="75" type="#_x0000_t75" style="height:15.75pt;width:9.75pt;" filled="f" o:preferrelative="t" stroked="f" coordsize="21600,21600" equationxml="&lt;">
                  <v:path/>
                  <v:fill on="f" focussize="0,0"/>
                  <v:stroke on="f" joinstyle="miter"/>
                  <v:imagedata r:id="rId10" chromakey="#FFFFFF" o:title=""/>
                  <o:lock v:ext="edit" aspectratio="t"/>
                  <w10:wrap type="none"/>
                  <w10:anchorlock/>
                </v:shape>
              </w:pict>
            </w:r>
            <w:r>
              <w:rPr>
                <w:rFonts w:ascii="Times New Roman" w:hAnsi="Times New Roman"/>
                <w:color w:val="auto"/>
                <w:sz w:val="24"/>
              </w:rPr>
              <w:instrText xml:space="preserve"> </w:instrText>
            </w:r>
            <w:r>
              <w:rPr>
                <w:rFonts w:ascii="Times New Roman" w:hAnsi="Times New Roman"/>
                <w:color w:val="auto"/>
                <w:sz w:val="24"/>
              </w:rPr>
              <w:fldChar w:fldCharType="separate"/>
            </w:r>
            <w:r>
              <w:rPr>
                <w:rFonts w:ascii="Times New Roman" w:hAnsi="Times New Roman"/>
                <w:color w:val="auto"/>
                <w:position w:val="-6"/>
              </w:rPr>
              <w:pict>
                <v:shape id="_x0000_i1027" o:spt="75" type="#_x0000_t75" style="height:15.75pt;width:9.75pt;" filled="f" o:preferrelative="t" stroked="f" coordsize="21600,21600" equationxml="&lt;">
                  <v:path/>
                  <v:fill on="f" focussize="0,0"/>
                  <v:stroke on="f" joinstyle="miter"/>
                  <v:imagedata r:id="rId10" chromakey="#FFFFFF" o:title=""/>
                  <o:lock v:ext="edit" aspectratio="t"/>
                  <w10:wrap type="none"/>
                  <w10:anchorlock/>
                </v:shape>
              </w:pict>
            </w:r>
            <w:r>
              <w:rPr>
                <w:rFonts w:ascii="Times New Roman" w:hAnsi="Times New Roman"/>
                <w:color w:val="auto"/>
                <w:sz w:val="24"/>
              </w:rPr>
              <w:fldChar w:fldCharType="end"/>
            </w:r>
            <w:r>
              <w:rPr>
                <w:rFonts w:ascii="Times New Roman" w:hAnsi="Times New Roman"/>
                <w:color w:val="auto"/>
                <w:sz w:val="24"/>
              </w:rPr>
              <w:t xml:space="preserve"> ——第i个污染物的最大地面空气质量浓度 占标率，%；</w:t>
            </w:r>
          </w:p>
          <w:p>
            <w:pPr>
              <w:spacing w:line="480" w:lineRule="exact"/>
              <w:ind w:firstLine="422" w:firstLineChars="176"/>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QUOTE </w:instrText>
            </w:r>
            <w:r>
              <w:rPr>
                <w:rFonts w:ascii="Times New Roman" w:hAnsi="Times New Roman"/>
                <w:color w:val="auto"/>
                <w:position w:val="-6"/>
              </w:rPr>
              <w:pict>
                <v:shape id="_x0000_i1028" o:spt="75" type="#_x0000_t75" style="height:15.75pt;width:10.5pt;" filled="f" o:preferrelative="t" stroked="f" coordsize="21600,21600" equationxml="&lt;">
                  <v:path/>
                  <v:fill on="f" focussize="0,0"/>
                  <v:stroke on="f" joinstyle="miter"/>
                  <v:imagedata r:id="rId11" chromakey="#FFFFFF" o:title=""/>
                  <o:lock v:ext="edit" aspectratio="t"/>
                  <w10:wrap type="none"/>
                  <w10:anchorlock/>
                </v:shape>
              </w:pict>
            </w:r>
            <w:r>
              <w:rPr>
                <w:rFonts w:ascii="Times New Roman" w:hAnsi="Times New Roman"/>
                <w:color w:val="auto"/>
                <w:sz w:val="24"/>
              </w:rPr>
              <w:instrText xml:space="preserve"> </w:instrText>
            </w:r>
            <w:r>
              <w:rPr>
                <w:rFonts w:ascii="Times New Roman" w:hAnsi="Times New Roman"/>
                <w:color w:val="auto"/>
                <w:sz w:val="24"/>
              </w:rPr>
              <w:fldChar w:fldCharType="separate"/>
            </w:r>
            <w:r>
              <w:rPr>
                <w:rFonts w:ascii="Times New Roman" w:hAnsi="Times New Roman"/>
                <w:color w:val="auto"/>
                <w:position w:val="-6"/>
              </w:rPr>
              <w:pict>
                <v:shape id="_x0000_i1029" o:spt="75" type="#_x0000_t75" style="height:15.75pt;width:10.5pt;" filled="f" o:preferrelative="t" stroked="f" coordsize="21600,21600" equationxml="&lt;">
                  <v:path/>
                  <v:fill on="f" focussize="0,0"/>
                  <v:stroke on="f" joinstyle="miter"/>
                  <v:imagedata r:id="rId11" chromakey="#FFFFFF" o:title=""/>
                  <o:lock v:ext="edit" aspectratio="t"/>
                  <w10:wrap type="none"/>
                  <w10:anchorlock/>
                </v:shape>
              </w:pict>
            </w:r>
            <w:r>
              <w:rPr>
                <w:rFonts w:ascii="Times New Roman" w:hAnsi="Times New Roman"/>
                <w:color w:val="auto"/>
                <w:sz w:val="24"/>
              </w:rPr>
              <w:fldChar w:fldCharType="end"/>
            </w:r>
            <w:r>
              <w:rPr>
                <w:rFonts w:ascii="Times New Roman" w:hAnsi="Times New Roman"/>
                <w:color w:val="auto"/>
                <w:sz w:val="24"/>
              </w:rPr>
              <w:t>——采用估算模型计算出的第i个污染物的最大1h地面空气质量浓度，μg/m</w:t>
            </w:r>
            <w:r>
              <w:rPr>
                <w:rFonts w:ascii="Times New Roman" w:hAnsi="Times New Roman"/>
                <w:color w:val="auto"/>
                <w:sz w:val="24"/>
                <w:vertAlign w:val="superscript"/>
              </w:rPr>
              <w:t>3</w:t>
            </w:r>
            <w:r>
              <w:rPr>
                <w:rFonts w:ascii="Times New Roman" w:hAnsi="Times New Roman"/>
                <w:color w:val="auto"/>
                <w:sz w:val="24"/>
              </w:rPr>
              <w:t>；</w:t>
            </w:r>
          </w:p>
          <w:p>
            <w:pPr>
              <w:spacing w:line="480" w:lineRule="exact"/>
              <w:ind w:firstLine="422" w:firstLineChars="176"/>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QUOTE </w:instrText>
            </w:r>
            <w:r>
              <w:rPr>
                <w:rFonts w:ascii="Times New Roman" w:hAnsi="Times New Roman"/>
                <w:color w:val="auto"/>
                <w:position w:val="-6"/>
              </w:rPr>
              <w:pict>
                <v:shape id="_x0000_i1030" o:spt="75" type="#_x0000_t75" style="height:15.75pt;width:15pt;" filled="f" o:preferrelative="t" stroked="f" coordsize="21600,21600" equationxml="&lt;">
                  <v:path/>
                  <v:fill on="f" focussize="0,0"/>
                  <v:stroke on="f" joinstyle="miter"/>
                  <v:imagedata r:id="rId12" chromakey="#FFFFFF" o:title=""/>
                  <o:lock v:ext="edit" aspectratio="t"/>
                  <w10:wrap type="none"/>
                  <w10:anchorlock/>
                </v:shape>
              </w:pict>
            </w:r>
            <w:r>
              <w:rPr>
                <w:rFonts w:ascii="Times New Roman" w:hAnsi="Times New Roman"/>
                <w:color w:val="auto"/>
                <w:sz w:val="24"/>
              </w:rPr>
              <w:instrText xml:space="preserve"> </w:instrText>
            </w:r>
            <w:r>
              <w:rPr>
                <w:rFonts w:ascii="Times New Roman" w:hAnsi="Times New Roman"/>
                <w:color w:val="auto"/>
                <w:sz w:val="24"/>
              </w:rPr>
              <w:fldChar w:fldCharType="separate"/>
            </w:r>
            <w:r>
              <w:rPr>
                <w:rFonts w:ascii="Times New Roman" w:hAnsi="Times New Roman"/>
                <w:color w:val="auto"/>
                <w:position w:val="-6"/>
              </w:rPr>
              <w:pict>
                <v:shape id="_x0000_i1031" o:spt="75" type="#_x0000_t75" style="height:15.75pt;width:15pt;" filled="f" o:preferrelative="t" stroked="f" coordsize="21600,21600" equationxml="&lt;">
                  <v:path/>
                  <v:fill on="f" focussize="0,0"/>
                  <v:stroke on="f" joinstyle="miter"/>
                  <v:imagedata r:id="rId12" chromakey="#FFFFFF" o:title=""/>
                  <o:lock v:ext="edit" aspectratio="t"/>
                  <w10:wrap type="none"/>
                  <w10:anchorlock/>
                </v:shape>
              </w:pict>
            </w:r>
            <w:r>
              <w:rPr>
                <w:rFonts w:ascii="Times New Roman" w:hAnsi="Times New Roman"/>
                <w:color w:val="auto"/>
                <w:sz w:val="24"/>
              </w:rPr>
              <w:fldChar w:fldCharType="end"/>
            </w:r>
            <w:r>
              <w:rPr>
                <w:rFonts w:ascii="Times New Roman" w:hAnsi="Times New Roman"/>
                <w:color w:val="auto"/>
                <w:sz w:val="24"/>
              </w:rPr>
              <w:t>——第i个污染物的环境空气质量浓度标准，μg/m</w:t>
            </w:r>
            <w:r>
              <w:rPr>
                <w:rFonts w:ascii="Times New Roman" w:hAnsi="Times New Roman"/>
                <w:color w:val="auto"/>
                <w:sz w:val="24"/>
                <w:vertAlign w:val="superscript"/>
              </w:rPr>
              <w:t>3</w:t>
            </w:r>
            <w:r>
              <w:rPr>
                <w:rFonts w:ascii="Times New Roman" w:hAnsi="Times New Roman"/>
                <w:color w:val="auto"/>
                <w:sz w:val="24"/>
              </w:rPr>
              <w:t>。</w:t>
            </w:r>
          </w:p>
          <w:p>
            <w:pPr>
              <w:spacing w:line="360" w:lineRule="auto"/>
              <w:ind w:firstLine="422" w:firstLineChars="176"/>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2 \* GB3 </w:instrText>
            </w:r>
            <w:r>
              <w:rPr>
                <w:rFonts w:ascii="Times New Roman" w:hAnsi="Times New Roman"/>
                <w:color w:val="auto"/>
                <w:sz w:val="24"/>
              </w:rPr>
              <w:fldChar w:fldCharType="separate"/>
            </w:r>
            <w:r>
              <w:rPr>
                <w:rFonts w:hint="eastAsia" w:ascii="宋体" w:hAnsi="宋体" w:cs="宋体"/>
                <w:color w:val="auto"/>
                <w:sz w:val="24"/>
              </w:rPr>
              <w:t>②</w:t>
            </w:r>
            <w:r>
              <w:rPr>
                <w:rFonts w:ascii="Times New Roman" w:hAnsi="Times New Roman"/>
                <w:color w:val="auto"/>
                <w:sz w:val="24"/>
              </w:rPr>
              <w:fldChar w:fldCharType="end"/>
            </w:r>
            <w:r>
              <w:rPr>
                <w:rFonts w:ascii="Times New Roman" w:hAnsi="Times New Roman"/>
                <w:color w:val="auto"/>
                <w:sz w:val="24"/>
              </w:rPr>
              <w:t>评价等级判别表</w:t>
            </w:r>
          </w:p>
          <w:p>
            <w:pPr>
              <w:spacing w:line="360" w:lineRule="auto"/>
              <w:ind w:firstLine="422" w:firstLineChars="176"/>
              <w:jc w:val="left"/>
              <w:rPr>
                <w:rFonts w:ascii="Times New Roman" w:hAnsi="Times New Roman"/>
                <w:color w:val="auto"/>
                <w:sz w:val="24"/>
              </w:rPr>
            </w:pPr>
            <w:r>
              <w:rPr>
                <w:rFonts w:ascii="Times New Roman" w:hAnsi="Times New Roman"/>
                <w:color w:val="auto"/>
                <w:sz w:val="24"/>
              </w:rPr>
              <w:t>评价等级按下表的分级判据进行划分</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表1-1  评价等级判别表</w:t>
            </w:r>
          </w:p>
          <w:tbl>
            <w:tblPr>
              <w:tblStyle w:val="26"/>
              <w:tblW w:w="923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54"/>
              <w:gridCol w:w="46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4554" w:type="dxa"/>
                  <w:vAlign w:val="center"/>
                </w:tcPr>
                <w:p>
                  <w:pPr>
                    <w:jc w:val="center"/>
                    <w:rPr>
                      <w:rFonts w:ascii="Times New Roman" w:hAnsi="Times New Roman"/>
                      <w:color w:val="auto"/>
                      <w:szCs w:val="21"/>
                    </w:rPr>
                  </w:pPr>
                  <w:r>
                    <w:rPr>
                      <w:rFonts w:ascii="Times New Roman" w:hAnsi="Times New Roman"/>
                      <w:color w:val="auto"/>
                      <w:szCs w:val="21"/>
                    </w:rPr>
                    <w:t>评价工作等级</w:t>
                  </w:r>
                </w:p>
              </w:tc>
              <w:tc>
                <w:tcPr>
                  <w:tcW w:w="4683" w:type="dxa"/>
                  <w:vAlign w:val="center"/>
                </w:tcPr>
                <w:p>
                  <w:pPr>
                    <w:jc w:val="center"/>
                    <w:rPr>
                      <w:rFonts w:ascii="Times New Roman" w:hAnsi="Times New Roman"/>
                      <w:color w:val="auto"/>
                      <w:szCs w:val="21"/>
                    </w:rPr>
                  </w:pPr>
                  <w:r>
                    <w:rPr>
                      <w:rFonts w:ascii="Times New Roman" w:hAnsi="Times New Roman"/>
                      <w:color w:val="auto"/>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4554" w:type="dxa"/>
                  <w:vAlign w:val="center"/>
                </w:tcPr>
                <w:p>
                  <w:pPr>
                    <w:jc w:val="center"/>
                    <w:rPr>
                      <w:rFonts w:ascii="Times New Roman" w:hAnsi="Times New Roman"/>
                      <w:color w:val="auto"/>
                      <w:szCs w:val="21"/>
                    </w:rPr>
                  </w:pPr>
                  <w:r>
                    <w:rPr>
                      <w:rFonts w:ascii="Times New Roman" w:hAnsi="Times New Roman"/>
                      <w:color w:val="auto"/>
                      <w:szCs w:val="21"/>
                    </w:rPr>
                    <w:t>一级评价</w:t>
                  </w:r>
                </w:p>
              </w:tc>
              <w:tc>
                <w:tcPr>
                  <w:tcW w:w="4683" w:type="dxa"/>
                  <w:vAlign w:val="center"/>
                </w:tcPr>
                <w:p>
                  <w:pPr>
                    <w:jc w:val="center"/>
                    <w:rPr>
                      <w:rFonts w:ascii="Times New Roman" w:hAnsi="Times New Roman"/>
                      <w:color w:val="auto"/>
                      <w:szCs w:val="21"/>
                    </w:rPr>
                  </w:pPr>
                  <w:r>
                    <w:rPr>
                      <w:rFonts w:ascii="Times New Roman" w:hAnsi="Times New Roman"/>
                      <w:color w:val="auto"/>
                      <w:szCs w:val="21"/>
                    </w:rPr>
                    <w:t>Pmax</w:t>
                  </w:r>
                  <w:r>
                    <w:rPr>
                      <w:rFonts w:hint="eastAsia" w:ascii="宋体" w:hAnsi="宋体" w:cs="宋体"/>
                      <w:color w:val="auto"/>
                      <w:szCs w:val="21"/>
                    </w:rPr>
                    <w:t>≧</w:t>
                  </w:r>
                  <w:r>
                    <w:rPr>
                      <w:rFonts w:ascii="Times New Roman" w:hAnsi="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4554" w:type="dxa"/>
                  <w:vAlign w:val="center"/>
                </w:tcPr>
                <w:p>
                  <w:pPr>
                    <w:jc w:val="center"/>
                    <w:rPr>
                      <w:rFonts w:ascii="Times New Roman" w:hAnsi="Times New Roman"/>
                      <w:color w:val="auto"/>
                      <w:szCs w:val="21"/>
                    </w:rPr>
                  </w:pPr>
                  <w:r>
                    <w:rPr>
                      <w:rFonts w:ascii="Times New Roman" w:hAnsi="Times New Roman"/>
                      <w:color w:val="auto"/>
                      <w:szCs w:val="21"/>
                    </w:rPr>
                    <w:t>二级评价</w:t>
                  </w:r>
                </w:p>
              </w:tc>
              <w:tc>
                <w:tcPr>
                  <w:tcW w:w="4683" w:type="dxa"/>
                  <w:vAlign w:val="center"/>
                </w:tcPr>
                <w:p>
                  <w:pPr>
                    <w:jc w:val="center"/>
                    <w:rPr>
                      <w:rFonts w:ascii="Times New Roman" w:hAnsi="Times New Roman"/>
                      <w:color w:val="auto"/>
                      <w:szCs w:val="21"/>
                    </w:rPr>
                  </w:pPr>
                  <w:r>
                    <w:rPr>
                      <w:rFonts w:ascii="Times New Roman" w:hAnsi="Times New Roman"/>
                      <w:color w:val="auto"/>
                      <w:szCs w:val="21"/>
                    </w:rPr>
                    <w:t>1%</w:t>
                  </w:r>
                  <w:r>
                    <w:rPr>
                      <w:rFonts w:hint="eastAsia" w:ascii="宋体" w:hAnsi="宋体" w:cs="宋体"/>
                      <w:color w:val="auto"/>
                      <w:szCs w:val="21"/>
                    </w:rPr>
                    <w:t>≦</w:t>
                  </w:r>
                  <w:r>
                    <w:rPr>
                      <w:rFonts w:ascii="Times New Roman" w:hAnsi="Times New Roman"/>
                      <w:color w:val="auto"/>
                      <w:szCs w:val="21"/>
                    </w:rPr>
                    <w:t>Pmax&lt;10%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4554" w:type="dxa"/>
                  <w:vAlign w:val="center"/>
                </w:tcPr>
                <w:p>
                  <w:pPr>
                    <w:jc w:val="center"/>
                    <w:rPr>
                      <w:rFonts w:ascii="Times New Roman" w:hAnsi="Times New Roman"/>
                      <w:color w:val="auto"/>
                      <w:szCs w:val="21"/>
                    </w:rPr>
                  </w:pPr>
                  <w:r>
                    <w:rPr>
                      <w:rFonts w:ascii="Times New Roman" w:hAnsi="Times New Roman"/>
                      <w:color w:val="auto"/>
                      <w:szCs w:val="21"/>
                    </w:rPr>
                    <w:t>三级评价</w:t>
                  </w:r>
                </w:p>
              </w:tc>
              <w:tc>
                <w:tcPr>
                  <w:tcW w:w="4683" w:type="dxa"/>
                  <w:vAlign w:val="center"/>
                </w:tcPr>
                <w:p>
                  <w:pPr>
                    <w:jc w:val="center"/>
                    <w:rPr>
                      <w:rFonts w:ascii="Times New Roman" w:hAnsi="Times New Roman"/>
                      <w:color w:val="auto"/>
                      <w:szCs w:val="21"/>
                    </w:rPr>
                  </w:pPr>
                  <w:r>
                    <w:rPr>
                      <w:rFonts w:ascii="Times New Roman" w:hAnsi="Times New Roman"/>
                      <w:color w:val="auto"/>
                      <w:szCs w:val="21"/>
                    </w:rPr>
                    <w:t>Pmax&lt;1%</w:t>
                  </w:r>
                </w:p>
              </w:tc>
            </w:tr>
          </w:tbl>
          <w:p>
            <w:pPr>
              <w:spacing w:line="360" w:lineRule="auto"/>
              <w:ind w:firstLine="422" w:firstLineChars="176"/>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3 \* GB3 </w:instrText>
            </w:r>
            <w:r>
              <w:rPr>
                <w:rFonts w:ascii="Times New Roman" w:hAnsi="Times New Roman"/>
                <w:color w:val="auto"/>
                <w:sz w:val="24"/>
              </w:rPr>
              <w:fldChar w:fldCharType="separate"/>
            </w:r>
            <w:r>
              <w:rPr>
                <w:rFonts w:hint="eastAsia" w:ascii="宋体" w:hAnsi="宋体" w:cs="宋体"/>
                <w:color w:val="auto"/>
                <w:sz w:val="24"/>
              </w:rPr>
              <w:t>③</w:t>
            </w:r>
            <w:r>
              <w:rPr>
                <w:rFonts w:ascii="Times New Roman" w:hAnsi="Times New Roman"/>
                <w:color w:val="auto"/>
                <w:sz w:val="24"/>
              </w:rPr>
              <w:fldChar w:fldCharType="end"/>
            </w:r>
            <w:r>
              <w:rPr>
                <w:rFonts w:ascii="Times New Roman" w:hAnsi="Times New Roman"/>
                <w:color w:val="auto"/>
                <w:sz w:val="24"/>
              </w:rPr>
              <w:t>污染物评价标准</w:t>
            </w:r>
          </w:p>
          <w:p>
            <w:pPr>
              <w:spacing w:line="360" w:lineRule="auto"/>
              <w:ind w:firstLine="422" w:firstLineChars="176"/>
              <w:jc w:val="left"/>
              <w:rPr>
                <w:rFonts w:ascii="Times New Roman" w:hAnsi="Times New Roman"/>
                <w:color w:val="auto"/>
                <w:sz w:val="24"/>
              </w:rPr>
            </w:pPr>
            <w:r>
              <w:rPr>
                <w:rFonts w:ascii="Times New Roman" w:hAnsi="Times New Roman"/>
                <w:color w:val="auto"/>
                <w:sz w:val="24"/>
              </w:rPr>
              <w:t>污染物评价标准和来源见下表。</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表1-2  污染物评价标准</w:t>
            </w:r>
          </w:p>
          <w:tbl>
            <w:tblPr>
              <w:tblStyle w:val="26"/>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134"/>
              <w:gridCol w:w="852"/>
              <w:gridCol w:w="990"/>
              <w:gridCol w:w="5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污染物</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功能区</w:t>
                  </w: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时间</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标准值</w:t>
                  </w:r>
                </w:p>
                <w:p>
                  <w:pPr>
                    <w:jc w:val="center"/>
                    <w:rPr>
                      <w:rFonts w:ascii="Times New Roman" w:hAnsi="Times New Roman"/>
                      <w:color w:val="auto"/>
                      <w:szCs w:val="21"/>
                    </w:rPr>
                  </w:pPr>
                  <w:r>
                    <w:rPr>
                      <w:rFonts w:ascii="Times New Roman" w:hAnsi="Times New Roman"/>
                      <w:color w:val="auto"/>
                      <w:szCs w:val="21"/>
                    </w:rPr>
                    <w:t>(μg/m</w:t>
                  </w:r>
                  <w:r>
                    <w:rPr>
                      <w:rFonts w:ascii="Times New Roman" w:hAnsi="Times New Roman"/>
                      <w:color w:val="auto"/>
                      <w:szCs w:val="21"/>
                      <w:vertAlign w:val="superscript"/>
                    </w:rPr>
                    <w:t>3</w:t>
                  </w:r>
                  <w:r>
                    <w:rPr>
                      <w:rFonts w:ascii="Times New Roman" w:hAnsi="Times New Roman"/>
                      <w:color w:val="auto"/>
                      <w:szCs w:val="21"/>
                    </w:rPr>
                    <w:t>)</w:t>
                  </w:r>
                </w:p>
              </w:tc>
              <w:tc>
                <w:tcPr>
                  <w:tcW w:w="538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二类限区</w:t>
                  </w: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一小时</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200.0</w:t>
                  </w:r>
                </w:p>
              </w:tc>
              <w:tc>
                <w:tcPr>
                  <w:tcW w:w="538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auto"/>
                      <w:szCs w:val="21"/>
                    </w:rPr>
                  </w:pPr>
                  <w:r>
                    <w:rPr>
                      <w:rFonts w:ascii="Times New Roman" w:hAnsi="Times New Roman"/>
                      <w:color w:val="auto"/>
                      <w:szCs w:val="21"/>
                    </w:rPr>
                    <w:t>环境影响评价技术导则-大气环境》 HJ 2.2-2018 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二类限区</w:t>
                  </w: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一小时</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10.0</w:t>
                  </w:r>
                </w:p>
              </w:tc>
              <w:tc>
                <w:tcPr>
                  <w:tcW w:w="538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环境影响评价技术导则-大气环境》 HJ 2.2-2018 附录D</w:t>
                  </w:r>
                </w:p>
              </w:tc>
            </w:tr>
          </w:tbl>
          <w:p>
            <w:pPr>
              <w:spacing w:line="480" w:lineRule="exact"/>
              <w:ind w:firstLine="422" w:firstLineChars="176"/>
              <w:jc w:val="left"/>
              <w:rPr>
                <w:rFonts w:ascii="Times New Roman" w:hAnsi="Times New Roman"/>
                <w:color w:val="auto"/>
                <w:sz w:val="24"/>
              </w:rPr>
            </w:pPr>
            <w:r>
              <w:rPr>
                <w:rFonts w:ascii="Times New Roman" w:hAnsi="Times New Roman"/>
                <w:color w:val="auto"/>
                <w:sz w:val="24"/>
              </w:rPr>
              <w:t>（2）污染源参数</w:t>
            </w:r>
          </w:p>
          <w:p>
            <w:pPr>
              <w:spacing w:line="360" w:lineRule="auto"/>
              <w:ind w:firstLine="422" w:firstLineChars="176"/>
              <w:jc w:val="left"/>
              <w:rPr>
                <w:rFonts w:ascii="Times New Roman" w:hAnsi="Times New Roman"/>
                <w:color w:val="auto"/>
                <w:sz w:val="24"/>
              </w:rPr>
            </w:pPr>
            <w:r>
              <w:rPr>
                <w:rFonts w:ascii="Times New Roman" w:hAnsi="Times New Roman"/>
                <w:color w:val="auto"/>
                <w:sz w:val="24"/>
              </w:rPr>
              <w:t>主要废气污染源排放参数见下表：</w:t>
            </w:r>
          </w:p>
          <w:p>
            <w:pPr>
              <w:adjustRightInd w:val="0"/>
              <w:snapToGrid w:val="0"/>
              <w:jc w:val="center"/>
              <w:rPr>
                <w:rFonts w:ascii="Times New Roman" w:hAnsi="Times New Roman"/>
                <w:b/>
                <w:bCs/>
                <w:color w:val="auto"/>
                <w:kern w:val="0"/>
                <w:szCs w:val="21"/>
              </w:rPr>
            </w:pPr>
            <w:r>
              <w:rPr>
                <w:rFonts w:ascii="Times New Roman" w:hAnsi="Times New Roman"/>
                <w:b/>
                <w:color w:val="auto"/>
                <w:sz w:val="24"/>
              </w:rPr>
              <w:t>表1-3  主要废气污染源参数一览表（矩形面源）</w:t>
            </w:r>
          </w:p>
          <w:tbl>
            <w:tblPr>
              <w:tblStyle w:val="26"/>
              <w:tblW w:w="9241"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9"/>
              <w:gridCol w:w="1277"/>
              <w:gridCol w:w="1166"/>
              <w:gridCol w:w="830"/>
              <w:gridCol w:w="724"/>
              <w:gridCol w:w="724"/>
              <w:gridCol w:w="858"/>
              <w:gridCol w:w="1057"/>
              <w:gridCol w:w="956"/>
              <w:gridCol w:w="9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0" w:hRule="atLeast"/>
              </w:trPr>
              <w:tc>
                <w:tcPr>
                  <w:tcW w:w="679"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污染源名称</w:t>
                  </w:r>
                </w:p>
              </w:tc>
              <w:tc>
                <w:tcPr>
                  <w:tcW w:w="2443"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坐标(°)</w:t>
                  </w:r>
                </w:p>
              </w:tc>
              <w:tc>
                <w:tcPr>
                  <w:tcW w:w="830"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海拔高度(m)</w:t>
                  </w:r>
                </w:p>
              </w:tc>
              <w:tc>
                <w:tcPr>
                  <w:tcW w:w="2306"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矩形面源</w:t>
                  </w:r>
                </w:p>
              </w:tc>
              <w:tc>
                <w:tcPr>
                  <w:tcW w:w="2983"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污染物排放速率(kg/h)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0" w:hRule="atLeast"/>
              </w:trPr>
              <w:tc>
                <w:tcPr>
                  <w:tcW w:w="679" w:type="dxa"/>
                  <w:vMerge w:val="continue"/>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Cs w:val="21"/>
                    </w:rPr>
                  </w:pPr>
                </w:p>
              </w:tc>
              <w:tc>
                <w:tcPr>
                  <w:tcW w:w="12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经度</w:t>
                  </w:r>
                </w:p>
              </w:tc>
              <w:tc>
                <w:tcPr>
                  <w:tcW w:w="116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纬度</w:t>
                  </w:r>
                </w:p>
              </w:tc>
              <w:tc>
                <w:tcPr>
                  <w:tcW w:w="830" w:type="dxa"/>
                  <w:vMerge w:val="continue"/>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Cs w:val="21"/>
                    </w:rPr>
                  </w:pPr>
                </w:p>
              </w:tc>
              <w:tc>
                <w:tcPr>
                  <w:tcW w:w="724"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长度(m)</w:t>
                  </w:r>
                </w:p>
              </w:tc>
              <w:tc>
                <w:tcPr>
                  <w:tcW w:w="724"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宽度(m)</w:t>
                  </w:r>
                </w:p>
              </w:tc>
              <w:tc>
                <w:tcPr>
                  <w:tcW w:w="85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有效高度(m)</w:t>
                  </w:r>
                </w:p>
              </w:tc>
              <w:tc>
                <w:tcPr>
                  <w:tcW w:w="105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9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97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TSP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8" w:hRule="atLeast"/>
              </w:trPr>
              <w:tc>
                <w:tcPr>
                  <w:tcW w:w="67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矩形面源</w:t>
                  </w:r>
                </w:p>
              </w:tc>
              <w:tc>
                <w:tcPr>
                  <w:tcW w:w="12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108.320757</w:t>
                  </w:r>
                </w:p>
              </w:tc>
              <w:tc>
                <w:tcPr>
                  <w:tcW w:w="116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35.581388</w:t>
                  </w:r>
                </w:p>
              </w:tc>
              <w:tc>
                <w:tcPr>
                  <w:tcW w:w="83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1273</w:t>
                  </w:r>
                </w:p>
              </w:tc>
              <w:tc>
                <w:tcPr>
                  <w:tcW w:w="724"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14.74</w:t>
                  </w:r>
                </w:p>
              </w:tc>
              <w:tc>
                <w:tcPr>
                  <w:tcW w:w="724"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78.88</w:t>
                  </w:r>
                </w:p>
              </w:tc>
              <w:tc>
                <w:tcPr>
                  <w:tcW w:w="85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8.00</w:t>
                  </w:r>
                </w:p>
              </w:tc>
              <w:tc>
                <w:tcPr>
                  <w:tcW w:w="105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0.000004</w:t>
                  </w:r>
                </w:p>
              </w:tc>
              <w:tc>
                <w:tcPr>
                  <w:tcW w:w="9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0.00008</w:t>
                  </w:r>
                </w:p>
              </w:tc>
              <w:tc>
                <w:tcPr>
                  <w:tcW w:w="97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0.00001</w:t>
                  </w:r>
                </w:p>
              </w:tc>
            </w:tr>
          </w:tbl>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（3）项目参数</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估算模式所用参数见表。</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表1-5  估算模型参数表</w:t>
            </w:r>
          </w:p>
          <w:tbl>
            <w:tblPr>
              <w:tblStyle w:val="26"/>
              <w:tblW w:w="923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494"/>
              <w:gridCol w:w="2875"/>
              <w:gridCol w:w="38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5369" w:type="dxa"/>
                  <w:gridSpan w:val="2"/>
                  <w:vAlign w:val="center"/>
                </w:tcPr>
                <w:p>
                  <w:pPr>
                    <w:jc w:val="center"/>
                    <w:rPr>
                      <w:rFonts w:ascii="Times New Roman" w:hAnsi="Times New Roman"/>
                      <w:color w:val="auto"/>
                      <w:szCs w:val="21"/>
                    </w:rPr>
                  </w:pPr>
                  <w:r>
                    <w:rPr>
                      <w:rFonts w:ascii="Times New Roman" w:hAnsi="Times New Roman"/>
                      <w:color w:val="auto"/>
                      <w:szCs w:val="21"/>
                    </w:rPr>
                    <w:t>参数</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取值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2494" w:type="dxa"/>
                  <w:vMerge w:val="restart"/>
                  <w:vAlign w:val="center"/>
                </w:tcPr>
                <w:p>
                  <w:pPr>
                    <w:jc w:val="center"/>
                    <w:rPr>
                      <w:rFonts w:ascii="Times New Roman" w:hAnsi="Times New Roman"/>
                      <w:color w:val="auto"/>
                      <w:szCs w:val="21"/>
                    </w:rPr>
                  </w:pPr>
                  <w:r>
                    <w:rPr>
                      <w:rFonts w:ascii="Times New Roman" w:hAnsi="Times New Roman"/>
                      <w:color w:val="auto"/>
                      <w:szCs w:val="21"/>
                    </w:rPr>
                    <w:t>城市农村/选项</w:t>
                  </w:r>
                </w:p>
              </w:tc>
              <w:tc>
                <w:tcPr>
                  <w:tcW w:w="2875" w:type="dxa"/>
                  <w:vAlign w:val="center"/>
                </w:tcPr>
                <w:p>
                  <w:pPr>
                    <w:jc w:val="center"/>
                    <w:rPr>
                      <w:rFonts w:ascii="Times New Roman" w:hAnsi="Times New Roman"/>
                      <w:color w:val="auto"/>
                      <w:szCs w:val="21"/>
                    </w:rPr>
                  </w:pPr>
                  <w:r>
                    <w:rPr>
                      <w:rFonts w:ascii="Times New Roman" w:hAnsi="Times New Roman"/>
                      <w:color w:val="auto"/>
                      <w:szCs w:val="21"/>
                    </w:rPr>
                    <w:t>城市/农村</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农村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494" w:type="dxa"/>
                  <w:vMerge w:val="continue"/>
                  <w:vAlign w:val="center"/>
                </w:tcPr>
                <w:p>
                  <w:pPr>
                    <w:widowControl/>
                    <w:jc w:val="center"/>
                    <w:rPr>
                      <w:rFonts w:ascii="Times New Roman" w:hAnsi="Times New Roman"/>
                      <w:color w:val="auto"/>
                      <w:szCs w:val="21"/>
                    </w:rPr>
                  </w:pPr>
                </w:p>
              </w:tc>
              <w:tc>
                <w:tcPr>
                  <w:tcW w:w="2875" w:type="dxa"/>
                  <w:vAlign w:val="center"/>
                </w:tcPr>
                <w:p>
                  <w:pPr>
                    <w:jc w:val="center"/>
                    <w:rPr>
                      <w:rFonts w:ascii="Times New Roman" w:hAnsi="Times New Roman"/>
                      <w:color w:val="auto"/>
                      <w:szCs w:val="21"/>
                    </w:rPr>
                  </w:pPr>
                  <w:r>
                    <w:rPr>
                      <w:rFonts w:ascii="Times New Roman" w:hAnsi="Times New Roman"/>
                      <w:color w:val="auto"/>
                      <w:szCs w:val="21"/>
                    </w:rPr>
                    <w:t>人口数(城市人口数)</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5369" w:type="dxa"/>
                  <w:gridSpan w:val="2"/>
                  <w:vAlign w:val="center"/>
                </w:tcPr>
                <w:p>
                  <w:pPr>
                    <w:jc w:val="center"/>
                    <w:rPr>
                      <w:rFonts w:ascii="Times New Roman" w:hAnsi="Times New Roman"/>
                      <w:color w:val="auto"/>
                      <w:szCs w:val="21"/>
                    </w:rPr>
                  </w:pPr>
                  <w:r>
                    <w:rPr>
                      <w:rFonts w:ascii="Times New Roman" w:hAnsi="Times New Roman"/>
                      <w:color w:val="auto"/>
                      <w:szCs w:val="21"/>
                    </w:rPr>
                    <w:t>最高环境温度</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38.9 °C</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5369" w:type="dxa"/>
                  <w:gridSpan w:val="2"/>
                  <w:vAlign w:val="center"/>
                </w:tcPr>
                <w:p>
                  <w:pPr>
                    <w:jc w:val="center"/>
                    <w:rPr>
                      <w:rFonts w:ascii="Times New Roman" w:hAnsi="Times New Roman"/>
                      <w:color w:val="auto"/>
                      <w:szCs w:val="21"/>
                    </w:rPr>
                  </w:pPr>
                  <w:r>
                    <w:rPr>
                      <w:rFonts w:ascii="Times New Roman" w:hAnsi="Times New Roman"/>
                      <w:color w:val="auto"/>
                      <w:szCs w:val="21"/>
                    </w:rPr>
                    <w:t>最低环境温度</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-25.4 °C</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5369" w:type="dxa"/>
                  <w:gridSpan w:val="2"/>
                  <w:vAlign w:val="center"/>
                </w:tcPr>
                <w:p>
                  <w:pPr>
                    <w:jc w:val="center"/>
                    <w:rPr>
                      <w:rFonts w:ascii="Times New Roman" w:hAnsi="Times New Roman"/>
                      <w:color w:val="auto"/>
                      <w:szCs w:val="21"/>
                    </w:rPr>
                  </w:pPr>
                  <w:r>
                    <w:rPr>
                      <w:rFonts w:ascii="Times New Roman" w:hAnsi="Times New Roman"/>
                      <w:color w:val="auto"/>
                      <w:szCs w:val="21"/>
                    </w:rPr>
                    <w:t>土地利用类型</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农田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5369" w:type="dxa"/>
                  <w:gridSpan w:val="2"/>
                  <w:vAlign w:val="center"/>
                </w:tcPr>
                <w:p>
                  <w:pPr>
                    <w:jc w:val="center"/>
                    <w:rPr>
                      <w:rFonts w:ascii="Times New Roman" w:hAnsi="Times New Roman"/>
                      <w:color w:val="auto"/>
                      <w:szCs w:val="21"/>
                    </w:rPr>
                  </w:pPr>
                  <w:r>
                    <w:rPr>
                      <w:rFonts w:ascii="Times New Roman" w:hAnsi="Times New Roman"/>
                      <w:color w:val="auto"/>
                      <w:szCs w:val="21"/>
                    </w:rPr>
                    <w:t>区域湿度条件</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干燥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2494" w:type="dxa"/>
                  <w:vMerge w:val="restart"/>
                  <w:vAlign w:val="center"/>
                </w:tcPr>
                <w:p>
                  <w:pPr>
                    <w:jc w:val="center"/>
                    <w:rPr>
                      <w:rFonts w:ascii="Times New Roman" w:hAnsi="Times New Roman"/>
                      <w:color w:val="auto"/>
                      <w:szCs w:val="21"/>
                    </w:rPr>
                  </w:pPr>
                  <w:r>
                    <w:rPr>
                      <w:rFonts w:ascii="Times New Roman" w:hAnsi="Times New Roman"/>
                      <w:color w:val="auto"/>
                      <w:szCs w:val="21"/>
                    </w:rPr>
                    <w:t>是否考虑地形</w:t>
                  </w:r>
                </w:p>
              </w:tc>
              <w:tc>
                <w:tcPr>
                  <w:tcW w:w="2875" w:type="dxa"/>
                  <w:vAlign w:val="center"/>
                </w:tcPr>
                <w:p>
                  <w:pPr>
                    <w:jc w:val="center"/>
                    <w:rPr>
                      <w:rFonts w:ascii="Times New Roman" w:hAnsi="Times New Roman"/>
                      <w:color w:val="auto"/>
                      <w:szCs w:val="21"/>
                    </w:rPr>
                  </w:pPr>
                  <w:r>
                    <w:rPr>
                      <w:rFonts w:ascii="Times New Roman" w:hAnsi="Times New Roman"/>
                      <w:color w:val="auto"/>
                      <w:szCs w:val="21"/>
                    </w:rPr>
                    <w:t>考虑地形</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2494" w:type="dxa"/>
                  <w:vMerge w:val="continue"/>
                  <w:vAlign w:val="center"/>
                </w:tcPr>
                <w:p>
                  <w:pPr>
                    <w:widowControl/>
                    <w:jc w:val="center"/>
                    <w:rPr>
                      <w:rFonts w:ascii="Times New Roman" w:hAnsi="Times New Roman"/>
                      <w:color w:val="auto"/>
                      <w:szCs w:val="21"/>
                    </w:rPr>
                  </w:pPr>
                </w:p>
              </w:tc>
              <w:tc>
                <w:tcPr>
                  <w:tcW w:w="2875" w:type="dxa"/>
                  <w:vAlign w:val="center"/>
                </w:tcPr>
                <w:p>
                  <w:pPr>
                    <w:jc w:val="center"/>
                    <w:rPr>
                      <w:rFonts w:ascii="Times New Roman" w:hAnsi="Times New Roman"/>
                      <w:color w:val="auto"/>
                      <w:szCs w:val="21"/>
                    </w:rPr>
                  </w:pPr>
                  <w:r>
                    <w:rPr>
                      <w:rFonts w:ascii="Times New Roman" w:hAnsi="Times New Roman"/>
                      <w:color w:val="auto"/>
                      <w:szCs w:val="21"/>
                    </w:rPr>
                    <w:t>地形数据分辨率(m)</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2494" w:type="dxa"/>
                  <w:vMerge w:val="restart"/>
                  <w:vAlign w:val="center"/>
                </w:tcPr>
                <w:p>
                  <w:pPr>
                    <w:jc w:val="center"/>
                    <w:rPr>
                      <w:rFonts w:ascii="Times New Roman" w:hAnsi="Times New Roman"/>
                      <w:color w:val="auto"/>
                      <w:szCs w:val="21"/>
                    </w:rPr>
                  </w:pPr>
                  <w:r>
                    <w:rPr>
                      <w:rFonts w:ascii="Times New Roman" w:hAnsi="Times New Roman"/>
                      <w:color w:val="auto"/>
                      <w:szCs w:val="21"/>
                    </w:rPr>
                    <w:t>是否考虑海岸线熏烟</w:t>
                  </w:r>
                </w:p>
              </w:tc>
              <w:tc>
                <w:tcPr>
                  <w:tcW w:w="2875" w:type="dxa"/>
                  <w:vAlign w:val="center"/>
                </w:tcPr>
                <w:p>
                  <w:pPr>
                    <w:jc w:val="center"/>
                    <w:rPr>
                      <w:rFonts w:ascii="Times New Roman" w:hAnsi="Times New Roman"/>
                      <w:color w:val="auto"/>
                      <w:szCs w:val="21"/>
                    </w:rPr>
                  </w:pPr>
                  <w:r>
                    <w:rPr>
                      <w:rFonts w:ascii="Times New Roman" w:hAnsi="Times New Roman"/>
                      <w:color w:val="auto"/>
                      <w:szCs w:val="21"/>
                    </w:rPr>
                    <w:t>考虑海岸线熏烟</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2494" w:type="dxa"/>
                  <w:vMerge w:val="continue"/>
                  <w:vAlign w:val="center"/>
                </w:tcPr>
                <w:p>
                  <w:pPr>
                    <w:widowControl/>
                    <w:jc w:val="center"/>
                    <w:rPr>
                      <w:rFonts w:ascii="Times New Roman" w:hAnsi="Times New Roman"/>
                      <w:color w:val="auto"/>
                      <w:szCs w:val="21"/>
                    </w:rPr>
                  </w:pPr>
                </w:p>
              </w:tc>
              <w:tc>
                <w:tcPr>
                  <w:tcW w:w="2875" w:type="dxa"/>
                  <w:vAlign w:val="center"/>
                </w:tcPr>
                <w:p>
                  <w:pPr>
                    <w:jc w:val="center"/>
                    <w:rPr>
                      <w:rFonts w:ascii="Times New Roman" w:hAnsi="Times New Roman"/>
                      <w:color w:val="auto"/>
                      <w:szCs w:val="21"/>
                    </w:rPr>
                  </w:pPr>
                  <w:r>
                    <w:rPr>
                      <w:rFonts w:ascii="Times New Roman" w:hAnsi="Times New Roman"/>
                      <w:color w:val="auto"/>
                      <w:szCs w:val="21"/>
                    </w:rPr>
                    <w:t>海岸线距离/km</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6" w:hRule="atLeast"/>
                <w:jc w:val="center"/>
              </w:trPr>
              <w:tc>
                <w:tcPr>
                  <w:tcW w:w="2494" w:type="dxa"/>
                  <w:vMerge w:val="continue"/>
                  <w:vAlign w:val="center"/>
                </w:tcPr>
                <w:p>
                  <w:pPr>
                    <w:widowControl/>
                    <w:jc w:val="center"/>
                    <w:rPr>
                      <w:rFonts w:ascii="Times New Roman" w:hAnsi="Times New Roman"/>
                      <w:color w:val="auto"/>
                      <w:szCs w:val="21"/>
                    </w:rPr>
                  </w:pPr>
                </w:p>
              </w:tc>
              <w:tc>
                <w:tcPr>
                  <w:tcW w:w="2875" w:type="dxa"/>
                  <w:vAlign w:val="center"/>
                </w:tcPr>
                <w:p>
                  <w:pPr>
                    <w:jc w:val="center"/>
                    <w:rPr>
                      <w:rFonts w:ascii="Times New Roman" w:hAnsi="Times New Roman"/>
                      <w:color w:val="auto"/>
                      <w:szCs w:val="21"/>
                    </w:rPr>
                  </w:pPr>
                  <w:r>
                    <w:rPr>
                      <w:rFonts w:ascii="Times New Roman" w:hAnsi="Times New Roman"/>
                      <w:color w:val="auto"/>
                      <w:szCs w:val="21"/>
                    </w:rPr>
                    <w:t>海岸线方向/</w:t>
                  </w:r>
                  <w:r>
                    <w:rPr>
                      <w:rFonts w:ascii="Times New Roman" w:hAnsi="Times New Roman"/>
                      <w:color w:val="auto"/>
                      <w:szCs w:val="21"/>
                      <w:vertAlign w:val="superscript"/>
                    </w:rPr>
                    <w:t>o</w:t>
                  </w:r>
                </w:p>
              </w:tc>
              <w:tc>
                <w:tcPr>
                  <w:tcW w:w="3868" w:type="dxa"/>
                  <w:vAlign w:val="center"/>
                </w:tcPr>
                <w:p>
                  <w:pPr>
                    <w:jc w:val="center"/>
                    <w:rPr>
                      <w:rFonts w:ascii="Times New Roman" w:hAnsi="Times New Roman"/>
                      <w:color w:val="auto"/>
                      <w:szCs w:val="21"/>
                    </w:rPr>
                  </w:pPr>
                  <w:r>
                    <w:rPr>
                      <w:rFonts w:ascii="Times New Roman" w:hAnsi="Times New Roman"/>
                      <w:color w:val="auto"/>
                      <w:szCs w:val="21"/>
                    </w:rPr>
                    <w:t>/</w:t>
                  </w:r>
                </w:p>
              </w:tc>
            </w:tr>
          </w:tbl>
          <w:p>
            <w:pPr>
              <w:spacing w:line="480" w:lineRule="exact"/>
              <w:ind w:firstLine="422" w:firstLineChars="176"/>
              <w:jc w:val="left"/>
              <w:rPr>
                <w:rFonts w:ascii="Times New Roman" w:hAnsi="Times New Roman"/>
                <w:color w:val="auto"/>
                <w:sz w:val="24"/>
              </w:rPr>
            </w:pPr>
            <w:r>
              <w:rPr>
                <w:rFonts w:ascii="Times New Roman" w:hAnsi="Times New Roman"/>
                <w:color w:val="auto"/>
                <w:sz w:val="24"/>
              </w:rPr>
              <w:t>（4）评级工作等级确定</w:t>
            </w:r>
          </w:p>
          <w:p>
            <w:pPr>
              <w:spacing w:line="480" w:lineRule="exact"/>
              <w:ind w:firstLine="422" w:firstLineChars="176"/>
              <w:jc w:val="left"/>
              <w:rPr>
                <w:rFonts w:ascii="Times New Roman" w:hAnsi="Times New Roman"/>
                <w:color w:val="auto"/>
                <w:sz w:val="24"/>
              </w:rPr>
            </w:pPr>
            <w:r>
              <w:rPr>
                <w:rFonts w:ascii="Times New Roman" w:hAnsi="Times New Roman"/>
                <w:color w:val="auto"/>
                <w:sz w:val="24"/>
              </w:rPr>
              <w:t>本项目所有污染源的正常排放的污染物的Pm</w:t>
            </w:r>
            <w:r>
              <w:rPr>
                <w:rFonts w:ascii="Times New Roman" w:hAnsi="Times New Roman"/>
                <w:color w:val="auto"/>
                <w:sz w:val="24"/>
                <w:vertAlign w:val="subscript"/>
              </w:rPr>
              <w:t>ax</w:t>
            </w:r>
            <w:r>
              <w:rPr>
                <w:rFonts w:ascii="Times New Roman" w:hAnsi="Times New Roman"/>
                <w:color w:val="auto"/>
                <w:sz w:val="24"/>
              </w:rPr>
              <w:t>和D</w:t>
            </w:r>
            <w:r>
              <w:rPr>
                <w:rFonts w:ascii="Times New Roman" w:hAnsi="Times New Roman"/>
                <w:color w:val="auto"/>
                <w:sz w:val="24"/>
                <w:vertAlign w:val="subscript"/>
              </w:rPr>
              <w:t>10%</w:t>
            </w:r>
            <w:r>
              <w:rPr>
                <w:rFonts w:ascii="Times New Roman" w:hAnsi="Times New Roman"/>
                <w:color w:val="auto"/>
                <w:sz w:val="24"/>
              </w:rPr>
              <w:t>预测结果如下：</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表1-6   大气评价等级确定结果表</w:t>
            </w:r>
          </w:p>
          <w:tbl>
            <w:tblPr>
              <w:tblStyle w:val="26"/>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154"/>
              <w:gridCol w:w="1154"/>
              <w:gridCol w:w="1155"/>
              <w:gridCol w:w="1155"/>
              <w:gridCol w:w="1155"/>
              <w:gridCol w:w="1155"/>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dxa"/>
                  <w:vAlign w:val="center"/>
                </w:tcPr>
                <w:p>
                  <w:pPr>
                    <w:widowControl/>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污染源</w:t>
                  </w:r>
                </w:p>
              </w:tc>
              <w:tc>
                <w:tcPr>
                  <w:tcW w:w="1154" w:type="dxa"/>
                  <w:vAlign w:val="center"/>
                </w:tcPr>
                <w:p>
                  <w:pPr>
                    <w:widowControl/>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污染因子</w:t>
                  </w:r>
                </w:p>
              </w:tc>
              <w:tc>
                <w:tcPr>
                  <w:tcW w:w="1154" w:type="dxa"/>
                  <w:vAlign w:val="center"/>
                </w:tcPr>
                <w:p>
                  <w:pPr>
                    <w:widowControl/>
                    <w:adjustRightInd w:val="0"/>
                    <w:snapToGrid w:val="0"/>
                    <w:jc w:val="center"/>
                    <w:textAlignment w:val="center"/>
                    <w:rPr>
                      <w:rFonts w:ascii="Times New Roman" w:hAnsi="Times New Roman"/>
                      <w:color w:val="auto"/>
                      <w:kern w:val="0"/>
                      <w:szCs w:val="21"/>
                    </w:rPr>
                  </w:pPr>
                  <w:r>
                    <w:rPr>
                      <w:rFonts w:ascii="Times New Roman" w:hAnsi="Times New Roman"/>
                      <w:color w:val="auto"/>
                      <w:kern w:val="0"/>
                      <w:szCs w:val="21"/>
                    </w:rPr>
                    <w:t>最大落地浓度</w:t>
                  </w:r>
                </w:p>
                <w:p>
                  <w:pPr>
                    <w:widowControl/>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r>
                    <w:rPr>
                      <w:rFonts w:ascii="Times New Roman" w:hAnsi="Times New Roman"/>
                      <w:color w:val="auto"/>
                      <w:kern w:val="0"/>
                      <w:szCs w:val="21"/>
                    </w:rPr>
                    <w:t>)</w:t>
                  </w:r>
                </w:p>
              </w:tc>
              <w:tc>
                <w:tcPr>
                  <w:tcW w:w="1155" w:type="dxa"/>
                  <w:vAlign w:val="center"/>
                </w:tcPr>
                <w:p>
                  <w:pPr>
                    <w:widowControl/>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最大浓度落地点(m)</w:t>
                  </w:r>
                </w:p>
              </w:tc>
              <w:tc>
                <w:tcPr>
                  <w:tcW w:w="1155" w:type="dxa"/>
                  <w:vAlign w:val="center"/>
                </w:tcPr>
                <w:p>
                  <w:pPr>
                    <w:widowControl/>
                    <w:adjustRightInd w:val="0"/>
                    <w:snapToGrid w:val="0"/>
                    <w:jc w:val="center"/>
                    <w:textAlignment w:val="center"/>
                    <w:rPr>
                      <w:rFonts w:ascii="Times New Roman" w:hAnsi="Times New Roman"/>
                      <w:color w:val="auto"/>
                      <w:kern w:val="0"/>
                      <w:szCs w:val="21"/>
                    </w:rPr>
                  </w:pPr>
                  <w:r>
                    <w:rPr>
                      <w:rFonts w:ascii="Times New Roman" w:hAnsi="Times New Roman"/>
                      <w:color w:val="auto"/>
                      <w:kern w:val="0"/>
                      <w:szCs w:val="21"/>
                    </w:rPr>
                    <w:t>评价标准</w:t>
                  </w:r>
                </w:p>
                <w:p>
                  <w:pPr>
                    <w:widowControl/>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(mg/m</w:t>
                  </w:r>
                  <w:r>
                    <w:rPr>
                      <w:rFonts w:ascii="Times New Roman" w:hAnsi="Times New Roman"/>
                      <w:color w:val="auto"/>
                      <w:kern w:val="0"/>
                      <w:szCs w:val="21"/>
                      <w:vertAlign w:val="superscript"/>
                    </w:rPr>
                    <w:t>3</w:t>
                  </w:r>
                  <w:r>
                    <w:rPr>
                      <w:rFonts w:ascii="Times New Roman" w:hAnsi="Times New Roman"/>
                      <w:color w:val="auto"/>
                      <w:kern w:val="0"/>
                      <w:szCs w:val="21"/>
                    </w:rPr>
                    <w:t>)</w:t>
                  </w:r>
                </w:p>
              </w:tc>
              <w:tc>
                <w:tcPr>
                  <w:tcW w:w="1155" w:type="dxa"/>
                  <w:vAlign w:val="center"/>
                </w:tcPr>
                <w:p>
                  <w:pPr>
                    <w:widowControl/>
                    <w:adjustRightInd w:val="0"/>
                    <w:snapToGrid w:val="0"/>
                    <w:jc w:val="center"/>
                    <w:textAlignment w:val="center"/>
                    <w:rPr>
                      <w:rFonts w:ascii="Times New Roman" w:hAnsi="Times New Roman"/>
                      <w:color w:val="auto"/>
                      <w:kern w:val="0"/>
                      <w:szCs w:val="21"/>
                    </w:rPr>
                  </w:pPr>
                  <w:r>
                    <w:rPr>
                      <w:rFonts w:ascii="Times New Roman" w:hAnsi="Times New Roman"/>
                      <w:color w:val="auto"/>
                      <w:kern w:val="0"/>
                      <w:szCs w:val="21"/>
                    </w:rPr>
                    <w:t>占标率</w:t>
                  </w:r>
                </w:p>
                <w:p>
                  <w:pPr>
                    <w:widowControl/>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w:t>
                  </w:r>
                </w:p>
              </w:tc>
              <w:tc>
                <w:tcPr>
                  <w:tcW w:w="1155" w:type="dxa"/>
                  <w:vAlign w:val="center"/>
                </w:tcPr>
                <w:p>
                  <w:pPr>
                    <w:widowControl/>
                    <w:adjustRightInd w:val="0"/>
                    <w:snapToGrid w:val="0"/>
                    <w:jc w:val="center"/>
                    <w:textAlignment w:val="center"/>
                    <w:rPr>
                      <w:rFonts w:ascii="Times New Roman" w:hAnsi="Times New Roman"/>
                      <w:color w:val="auto"/>
                      <w:kern w:val="0"/>
                      <w:szCs w:val="21"/>
                    </w:rPr>
                  </w:pPr>
                  <w:r>
                    <w:rPr>
                      <w:rFonts w:ascii="Times New Roman" w:hAnsi="Times New Roman"/>
                      <w:color w:val="auto"/>
                      <w:kern w:val="0"/>
                      <w:szCs w:val="21"/>
                    </w:rPr>
                    <w:t>D10%</w:t>
                  </w:r>
                </w:p>
                <w:p>
                  <w:pPr>
                    <w:widowControl/>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(m)</w:t>
                  </w:r>
                </w:p>
              </w:tc>
              <w:tc>
                <w:tcPr>
                  <w:tcW w:w="1155" w:type="dxa"/>
                  <w:vAlign w:val="center"/>
                </w:tcPr>
                <w:p>
                  <w:pPr>
                    <w:widowControl/>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推荐评价等级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54" w:type="dxa"/>
                  <w:vMerge w:val="restart"/>
                  <w:vAlign w:val="center"/>
                </w:tcPr>
                <w:p>
                  <w:pPr>
                    <w:jc w:val="center"/>
                    <w:rPr>
                      <w:rFonts w:ascii="Times New Roman" w:hAnsi="Times New Roman"/>
                      <w:color w:val="auto"/>
                    </w:rPr>
                  </w:pPr>
                  <w:r>
                    <w:rPr>
                      <w:rFonts w:ascii="Times New Roman" w:hAnsi="Times New Roman"/>
                      <w:color w:val="auto"/>
                    </w:rPr>
                    <w:t>垃圾压缩</w:t>
                  </w:r>
                </w:p>
              </w:tc>
              <w:tc>
                <w:tcPr>
                  <w:tcW w:w="1154" w:type="dxa"/>
                  <w:vAlign w:val="center"/>
                </w:tcPr>
                <w:p>
                  <w:pPr>
                    <w:pStyle w:val="58"/>
                    <w:textAlignment w:val="baseline"/>
                    <w:rPr>
                      <w:rFonts w:ascii="Times New Roman" w:hAnsi="Times New Roman"/>
                      <w:color w:val="auto"/>
                      <w:sz w:val="21"/>
                      <w:szCs w:val="21"/>
                    </w:rPr>
                  </w:pPr>
                  <w:r>
                    <w:rPr>
                      <w:rFonts w:ascii="Times New Roman" w:hAnsi="Times New Roman"/>
                      <w:color w:val="auto"/>
                      <w:kern w:val="0"/>
                      <w:sz w:val="21"/>
                      <w:szCs w:val="21"/>
                    </w:rPr>
                    <w:t>氨</w:t>
                  </w:r>
                </w:p>
              </w:tc>
              <w:tc>
                <w:tcPr>
                  <w:tcW w:w="1154" w:type="dxa"/>
                  <w:vAlign w:val="center"/>
                </w:tcPr>
                <w:p>
                  <w:pPr>
                    <w:jc w:val="center"/>
                    <w:rPr>
                      <w:rFonts w:ascii="Times New Roman" w:hAnsi="Times New Roman"/>
                      <w:color w:val="auto"/>
                      <w:szCs w:val="21"/>
                    </w:rPr>
                  </w:pPr>
                  <w:r>
                    <w:rPr>
                      <w:rFonts w:ascii="Times New Roman" w:hAnsi="Times New Roman"/>
                      <w:color w:val="auto"/>
                      <w:szCs w:val="21"/>
                    </w:rPr>
                    <w:t>1.62830</w:t>
                  </w:r>
                </w:p>
              </w:tc>
              <w:tc>
                <w:tcPr>
                  <w:tcW w:w="1155" w:type="dxa"/>
                  <w:vMerge w:val="restart"/>
                  <w:vAlign w:val="center"/>
                </w:tcPr>
                <w:p>
                  <w:pPr>
                    <w:jc w:val="center"/>
                    <w:rPr>
                      <w:rFonts w:ascii="Times New Roman" w:hAnsi="Times New Roman"/>
                      <w:color w:val="auto"/>
                      <w:szCs w:val="21"/>
                    </w:rPr>
                  </w:pPr>
                  <w:r>
                    <w:rPr>
                      <w:rFonts w:ascii="Times New Roman" w:hAnsi="Times New Roman"/>
                      <w:color w:val="auto"/>
                      <w:szCs w:val="21"/>
                    </w:rPr>
                    <w:t>40m</w:t>
                  </w:r>
                </w:p>
              </w:tc>
              <w:tc>
                <w:tcPr>
                  <w:tcW w:w="1155" w:type="dxa"/>
                  <w:vAlign w:val="center"/>
                </w:tcPr>
                <w:p>
                  <w:pPr>
                    <w:jc w:val="center"/>
                    <w:rPr>
                      <w:rFonts w:ascii="Times New Roman" w:hAnsi="Times New Roman"/>
                      <w:color w:val="auto"/>
                      <w:szCs w:val="21"/>
                    </w:rPr>
                  </w:pPr>
                  <w:r>
                    <w:rPr>
                      <w:rFonts w:ascii="Times New Roman" w:hAnsi="Times New Roman"/>
                      <w:color w:val="auto"/>
                      <w:szCs w:val="21"/>
                    </w:rPr>
                    <w:t>0.2</w:t>
                  </w:r>
                </w:p>
              </w:tc>
              <w:tc>
                <w:tcPr>
                  <w:tcW w:w="1155" w:type="dxa"/>
                  <w:vAlign w:val="center"/>
                </w:tcPr>
                <w:p>
                  <w:pPr>
                    <w:jc w:val="center"/>
                    <w:rPr>
                      <w:rFonts w:ascii="Times New Roman" w:hAnsi="Times New Roman"/>
                      <w:color w:val="auto"/>
                      <w:szCs w:val="21"/>
                    </w:rPr>
                  </w:pPr>
                  <w:r>
                    <w:rPr>
                      <w:rFonts w:ascii="Times New Roman" w:hAnsi="Times New Roman"/>
                      <w:color w:val="auto"/>
                      <w:szCs w:val="21"/>
                    </w:rPr>
                    <w:t>0.81415</w:t>
                  </w:r>
                </w:p>
              </w:tc>
              <w:tc>
                <w:tcPr>
                  <w:tcW w:w="1155" w:type="dxa"/>
                  <w:vMerge w:val="restart"/>
                  <w:vAlign w:val="center"/>
                </w:tcPr>
                <w:p>
                  <w:pPr>
                    <w:jc w:val="center"/>
                    <w:rPr>
                      <w:rFonts w:ascii="Times New Roman" w:hAnsi="Times New Roman"/>
                      <w:color w:val="auto"/>
                      <w:szCs w:val="21"/>
                    </w:rPr>
                  </w:pPr>
                </w:p>
              </w:tc>
              <w:tc>
                <w:tcPr>
                  <w:tcW w:w="1155" w:type="dxa"/>
                  <w:vMerge w:val="restart"/>
                  <w:vAlign w:val="center"/>
                </w:tcPr>
                <w:p>
                  <w:pPr>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4" w:type="dxa"/>
                  <w:vMerge w:val="continue"/>
                  <w:vAlign w:val="center"/>
                </w:tcPr>
                <w:p>
                  <w:pPr>
                    <w:jc w:val="center"/>
                    <w:rPr>
                      <w:rFonts w:ascii="Times New Roman" w:hAnsi="Times New Roman"/>
                      <w:color w:val="auto"/>
                    </w:rPr>
                  </w:pPr>
                </w:p>
              </w:tc>
              <w:tc>
                <w:tcPr>
                  <w:tcW w:w="1154" w:type="dxa"/>
                  <w:vAlign w:val="center"/>
                </w:tcPr>
                <w:p>
                  <w:pPr>
                    <w:pStyle w:val="58"/>
                    <w:textAlignment w:val="baseline"/>
                    <w:rPr>
                      <w:rFonts w:ascii="Times New Roman" w:hAnsi="Times New Roman"/>
                      <w:color w:val="auto"/>
                      <w:sz w:val="21"/>
                      <w:szCs w:val="21"/>
                    </w:rPr>
                  </w:pPr>
                  <w:r>
                    <w:rPr>
                      <w:rFonts w:ascii="Times New Roman" w:hAnsi="Times New Roman"/>
                      <w:color w:val="auto"/>
                      <w:sz w:val="21"/>
                      <w:szCs w:val="21"/>
                    </w:rPr>
                    <w:t>硫化氢</w:t>
                  </w:r>
                </w:p>
              </w:tc>
              <w:tc>
                <w:tcPr>
                  <w:tcW w:w="1154" w:type="dxa"/>
                  <w:vAlign w:val="center"/>
                </w:tcPr>
                <w:p>
                  <w:pPr>
                    <w:jc w:val="center"/>
                    <w:rPr>
                      <w:rFonts w:ascii="Times New Roman" w:hAnsi="Times New Roman"/>
                      <w:color w:val="auto"/>
                      <w:szCs w:val="21"/>
                    </w:rPr>
                  </w:pPr>
                  <w:r>
                    <w:rPr>
                      <w:rFonts w:ascii="Times New Roman" w:hAnsi="Times New Roman"/>
                      <w:color w:val="auto"/>
                      <w:szCs w:val="21"/>
                    </w:rPr>
                    <w:t>0.16283</w:t>
                  </w:r>
                </w:p>
              </w:tc>
              <w:tc>
                <w:tcPr>
                  <w:tcW w:w="1155" w:type="dxa"/>
                  <w:vMerge w:val="continue"/>
                  <w:vAlign w:val="center"/>
                </w:tcPr>
                <w:p>
                  <w:pPr>
                    <w:jc w:val="center"/>
                    <w:rPr>
                      <w:rFonts w:ascii="Times New Roman" w:hAnsi="Times New Roman"/>
                      <w:color w:val="auto"/>
                      <w:szCs w:val="21"/>
                    </w:rPr>
                  </w:pPr>
                </w:p>
              </w:tc>
              <w:tc>
                <w:tcPr>
                  <w:tcW w:w="1155" w:type="dxa"/>
                  <w:vAlign w:val="center"/>
                </w:tcPr>
                <w:p>
                  <w:pPr>
                    <w:jc w:val="center"/>
                    <w:rPr>
                      <w:rFonts w:ascii="Times New Roman" w:hAnsi="Times New Roman"/>
                      <w:color w:val="auto"/>
                      <w:szCs w:val="21"/>
                    </w:rPr>
                  </w:pPr>
                  <w:r>
                    <w:rPr>
                      <w:rFonts w:ascii="Times New Roman" w:hAnsi="Times New Roman"/>
                      <w:color w:val="auto"/>
                      <w:szCs w:val="21"/>
                    </w:rPr>
                    <w:t>0.01</w:t>
                  </w:r>
                </w:p>
              </w:tc>
              <w:tc>
                <w:tcPr>
                  <w:tcW w:w="1155" w:type="dxa"/>
                  <w:vAlign w:val="center"/>
                </w:tcPr>
                <w:p>
                  <w:pPr>
                    <w:jc w:val="center"/>
                    <w:rPr>
                      <w:rFonts w:ascii="Times New Roman" w:hAnsi="Times New Roman"/>
                      <w:color w:val="auto"/>
                      <w:szCs w:val="21"/>
                    </w:rPr>
                  </w:pPr>
                  <w:r>
                    <w:rPr>
                      <w:rFonts w:ascii="Times New Roman" w:hAnsi="Times New Roman"/>
                      <w:color w:val="auto"/>
                      <w:szCs w:val="21"/>
                    </w:rPr>
                    <w:t>1.6283</w:t>
                  </w:r>
                </w:p>
              </w:tc>
              <w:tc>
                <w:tcPr>
                  <w:tcW w:w="1155" w:type="dxa"/>
                  <w:vMerge w:val="continue"/>
                  <w:vAlign w:val="center"/>
                </w:tcPr>
                <w:p>
                  <w:pPr>
                    <w:jc w:val="center"/>
                    <w:rPr>
                      <w:rFonts w:ascii="Times New Roman" w:hAnsi="Times New Roman"/>
                      <w:color w:val="auto"/>
                      <w:szCs w:val="21"/>
                    </w:rPr>
                  </w:pPr>
                </w:p>
              </w:tc>
              <w:tc>
                <w:tcPr>
                  <w:tcW w:w="1155" w:type="dxa"/>
                  <w:vMerge w:val="continue"/>
                  <w:vAlign w:val="center"/>
                </w:tcPr>
                <w:p>
                  <w:pPr>
                    <w:jc w:val="center"/>
                    <w:rPr>
                      <w:rFonts w:ascii="Times New Roman" w:hAnsi="Times New Roman"/>
                      <w:color w:val="auto"/>
                      <w:szCs w:val="21"/>
                    </w:rPr>
                  </w:pPr>
                </w:p>
              </w:tc>
            </w:tr>
          </w:tbl>
          <w:p>
            <w:pPr>
              <w:spacing w:line="360" w:lineRule="auto"/>
              <w:ind w:firstLine="422" w:firstLineChars="176"/>
              <w:rPr>
                <w:rFonts w:ascii="Times New Roman" w:hAnsi="Times New Roman"/>
                <w:color w:val="auto"/>
                <w:sz w:val="24"/>
              </w:rPr>
            </w:pPr>
            <w:r>
              <w:rPr>
                <w:rFonts w:ascii="Times New Roman" w:hAnsi="Times New Roman"/>
                <w:color w:val="auto"/>
                <w:kern w:val="0"/>
                <w:sz w:val="24"/>
              </w:rPr>
              <w:t>本项目Pmax最大值出现为矩形面源排放的H</w:t>
            </w:r>
            <w:r>
              <w:rPr>
                <w:rFonts w:ascii="Times New Roman" w:hAnsi="Times New Roman"/>
                <w:color w:val="auto"/>
                <w:kern w:val="0"/>
                <w:sz w:val="24"/>
                <w:vertAlign w:val="subscript"/>
              </w:rPr>
              <w:t>2</w:t>
            </w:r>
            <w:r>
              <w:rPr>
                <w:rFonts w:ascii="Times New Roman" w:hAnsi="Times New Roman"/>
                <w:color w:val="auto"/>
                <w:kern w:val="0"/>
                <w:sz w:val="24"/>
              </w:rPr>
              <w:t>SPmax值为1.6283%,Cmax为0.16283μg/m³，根据《环境影响评价技术导则大气环境》（HJ2.2-2018）分级判据，确定本项目大气环境影响评价工作等级为二级</w:t>
            </w:r>
            <w:r>
              <w:rPr>
                <w:rFonts w:ascii="Times New Roman" w:hAnsi="Times New Roman"/>
                <w:color w:val="auto"/>
                <w:sz w:val="24"/>
              </w:rPr>
              <w:t>。</w:t>
            </w:r>
          </w:p>
          <w:p>
            <w:pPr>
              <w:keepNext/>
              <w:keepLines/>
              <w:spacing w:line="360" w:lineRule="auto"/>
              <w:ind w:firstLine="482" w:firstLineChars="200"/>
              <w:outlineLvl w:val="2"/>
              <w:rPr>
                <w:rFonts w:ascii="Times New Roman" w:hAnsi="Times New Roman"/>
                <w:b/>
                <w:bCs/>
                <w:color w:val="auto"/>
                <w:sz w:val="24"/>
              </w:rPr>
            </w:pPr>
            <w:r>
              <w:rPr>
                <w:rFonts w:ascii="Times New Roman" w:hAnsi="Times New Roman"/>
                <w:b/>
                <w:bCs/>
                <w:color w:val="auto"/>
                <w:sz w:val="24"/>
              </w:rPr>
              <w:t>5.2地表水环境影响评价工作等级</w:t>
            </w:r>
          </w:p>
          <w:p>
            <w:pPr>
              <w:spacing w:line="360" w:lineRule="auto"/>
              <w:ind w:firstLine="480" w:firstLineChars="200"/>
              <w:rPr>
                <w:rFonts w:ascii="Times New Roman" w:hAnsi="Times New Roman"/>
                <w:color w:val="auto"/>
                <w:sz w:val="24"/>
                <w:szCs w:val="21"/>
              </w:rPr>
            </w:pPr>
            <w:r>
              <w:rPr>
                <w:rFonts w:ascii="Times New Roman" w:hAnsi="Times New Roman"/>
                <w:color w:val="auto"/>
                <w:sz w:val="24"/>
                <w:szCs w:val="21"/>
              </w:rPr>
              <w:t>根据《环境影响评价技术导则 地表水环境》（HJ2.3-2018），建设项目地表水环境影响评价等级按照影响类型、排放方式、排放量或者影响情况、受纳水体环境质量现状、水环境保护目标等综合确定。</w:t>
            </w:r>
          </w:p>
          <w:p>
            <w:pPr>
              <w:spacing w:line="360" w:lineRule="auto"/>
              <w:ind w:firstLine="480" w:firstLineChars="200"/>
              <w:rPr>
                <w:rFonts w:ascii="Times New Roman" w:hAnsi="Times New Roman"/>
                <w:color w:val="auto"/>
                <w:kern w:val="0"/>
                <w:sz w:val="24"/>
                <w:szCs w:val="20"/>
              </w:rPr>
            </w:pPr>
            <w:r>
              <w:rPr>
                <w:rFonts w:ascii="Times New Roman" w:hAnsi="Times New Roman"/>
                <w:color w:val="auto"/>
                <w:sz w:val="24"/>
                <w:szCs w:val="21"/>
              </w:rPr>
              <w:t>本项目属于环境卫生管理项目，项目废水主要为渗滤液、地面冲洗废水、设备冲洗废水、生活污水。地面冲洗废水、设备冲洗废水、渗滤液经渗滤液暂存池暂存后运至宁县污水处理厂，项目区设置1座旱厕，生活污水</w:t>
            </w:r>
            <w:r>
              <w:rPr>
                <w:rFonts w:hint="eastAsia" w:ascii="Times New Roman" w:hAnsi="Times New Roman"/>
                <w:color w:val="auto"/>
                <w:sz w:val="24"/>
                <w:szCs w:val="21"/>
              </w:rPr>
              <w:t>经沉淀后</w:t>
            </w:r>
            <w:r>
              <w:rPr>
                <w:rFonts w:ascii="Times New Roman" w:hAnsi="Times New Roman"/>
                <w:color w:val="auto"/>
                <w:sz w:val="24"/>
                <w:szCs w:val="21"/>
              </w:rPr>
              <w:t>泼洒抑尘</w:t>
            </w:r>
            <w:r>
              <w:rPr>
                <w:rFonts w:ascii="Times New Roman" w:hAnsi="Times New Roman"/>
                <w:bCs/>
                <w:color w:val="auto"/>
                <w:sz w:val="24"/>
              </w:rPr>
              <w:t>。由此，确定本能项目评价工作等级为三级B。</w:t>
            </w:r>
          </w:p>
          <w:p>
            <w:pPr>
              <w:pStyle w:val="37"/>
              <w:ind w:firstLine="480"/>
              <w:jc w:val="center"/>
              <w:rPr>
                <w:rFonts w:ascii="Times New Roman"/>
                <w:b/>
                <w:color w:val="auto"/>
              </w:rPr>
            </w:pPr>
            <w:bookmarkStart w:id="13" w:name="_Toc369273863"/>
            <w:r>
              <w:rPr>
                <w:rFonts w:ascii="Times New Roman"/>
                <w:b/>
                <w:color w:val="auto"/>
              </w:rPr>
              <w:t>表1-7     水污染影响型建设项目评价等级判定表</w:t>
            </w:r>
          </w:p>
          <w:tbl>
            <w:tblPr>
              <w:tblStyle w:val="26"/>
              <w:tblW w:w="92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09"/>
              <w:gridCol w:w="1881"/>
              <w:gridCol w:w="60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09" w:type="dxa"/>
                  <w:vMerge w:val="restart"/>
                  <w:vAlign w:val="center"/>
                </w:tcPr>
                <w:p>
                  <w:pPr>
                    <w:pStyle w:val="48"/>
                    <w:spacing w:line="240" w:lineRule="auto"/>
                    <w:ind w:firstLine="0" w:firstLineChars="0"/>
                    <w:rPr>
                      <w:color w:val="auto"/>
                    </w:rPr>
                  </w:pPr>
                  <w:r>
                    <w:rPr>
                      <w:color w:val="auto"/>
                    </w:rPr>
                    <w:t>评价等级</w:t>
                  </w:r>
                </w:p>
              </w:tc>
              <w:tc>
                <w:tcPr>
                  <w:tcW w:w="7922" w:type="dxa"/>
                  <w:gridSpan w:val="2"/>
                  <w:vAlign w:val="center"/>
                </w:tcPr>
                <w:p>
                  <w:pPr>
                    <w:pStyle w:val="48"/>
                    <w:spacing w:line="240" w:lineRule="auto"/>
                    <w:ind w:firstLine="0" w:firstLineChars="0"/>
                    <w:rPr>
                      <w:color w:val="auto"/>
                    </w:rPr>
                  </w:pPr>
                  <w:r>
                    <w:rPr>
                      <w:color w:val="auto"/>
                    </w:rPr>
                    <w:t>判定依据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09" w:type="dxa"/>
                  <w:vMerge w:val="continue"/>
                  <w:vAlign w:val="center"/>
                </w:tcPr>
                <w:p>
                  <w:pPr>
                    <w:widowControl/>
                    <w:jc w:val="left"/>
                    <w:rPr>
                      <w:rFonts w:ascii="Times New Roman" w:hAnsi="Times New Roman"/>
                      <w:color w:val="auto"/>
                    </w:rPr>
                  </w:pPr>
                </w:p>
              </w:tc>
              <w:tc>
                <w:tcPr>
                  <w:tcW w:w="1881" w:type="dxa"/>
                  <w:vAlign w:val="center"/>
                </w:tcPr>
                <w:p>
                  <w:pPr>
                    <w:pStyle w:val="48"/>
                    <w:spacing w:line="240" w:lineRule="auto"/>
                    <w:ind w:firstLine="0" w:firstLineChars="0"/>
                    <w:rPr>
                      <w:color w:val="auto"/>
                    </w:rPr>
                  </w:pPr>
                  <w:r>
                    <w:rPr>
                      <w:color w:val="auto"/>
                    </w:rPr>
                    <w:t>排放方式</w:t>
                  </w:r>
                </w:p>
              </w:tc>
              <w:tc>
                <w:tcPr>
                  <w:tcW w:w="6041" w:type="dxa"/>
                  <w:vAlign w:val="center"/>
                </w:tcPr>
                <w:p>
                  <w:pPr>
                    <w:pStyle w:val="48"/>
                    <w:spacing w:line="240" w:lineRule="auto"/>
                    <w:ind w:firstLine="0" w:firstLineChars="0"/>
                    <w:rPr>
                      <w:color w:val="auto"/>
                    </w:rPr>
                  </w:pPr>
                  <w:r>
                    <w:rPr>
                      <w:color w:val="auto"/>
                    </w:rPr>
                    <w:t>废水排放量Q/（m</w:t>
                  </w:r>
                  <w:r>
                    <w:rPr>
                      <w:color w:val="auto"/>
                      <w:vertAlign w:val="superscript"/>
                    </w:rPr>
                    <w:t>3</w:t>
                  </w:r>
                  <w:r>
                    <w:rPr>
                      <w:color w:val="auto"/>
                    </w:rPr>
                    <w:t>/d）；水污染物当量数W/（量纲一）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09" w:type="dxa"/>
                  <w:vAlign w:val="center"/>
                </w:tcPr>
                <w:p>
                  <w:pPr>
                    <w:pStyle w:val="48"/>
                    <w:spacing w:line="240" w:lineRule="auto"/>
                    <w:ind w:firstLine="0" w:firstLineChars="0"/>
                    <w:rPr>
                      <w:color w:val="auto"/>
                    </w:rPr>
                  </w:pPr>
                  <w:r>
                    <w:rPr>
                      <w:color w:val="auto"/>
                    </w:rPr>
                    <w:t>一级</w:t>
                  </w:r>
                </w:p>
              </w:tc>
              <w:tc>
                <w:tcPr>
                  <w:tcW w:w="1881" w:type="dxa"/>
                  <w:vAlign w:val="center"/>
                </w:tcPr>
                <w:p>
                  <w:pPr>
                    <w:pStyle w:val="48"/>
                    <w:spacing w:line="240" w:lineRule="auto"/>
                    <w:ind w:firstLine="0" w:firstLineChars="0"/>
                    <w:rPr>
                      <w:color w:val="auto"/>
                    </w:rPr>
                  </w:pPr>
                  <w:r>
                    <w:rPr>
                      <w:color w:val="auto"/>
                    </w:rPr>
                    <w:t>直接排放</w:t>
                  </w:r>
                </w:p>
              </w:tc>
              <w:tc>
                <w:tcPr>
                  <w:tcW w:w="6041" w:type="dxa"/>
                  <w:vAlign w:val="center"/>
                </w:tcPr>
                <w:p>
                  <w:pPr>
                    <w:pStyle w:val="48"/>
                    <w:spacing w:line="240" w:lineRule="auto"/>
                    <w:ind w:firstLine="0" w:firstLineChars="0"/>
                    <w:rPr>
                      <w:color w:val="auto"/>
                    </w:rPr>
                  </w:pPr>
                  <w:r>
                    <w:rPr>
                      <w:color w:val="auto"/>
                    </w:rPr>
                    <w:t>Q≥20000或W≥600000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09" w:type="dxa"/>
                  <w:vAlign w:val="center"/>
                </w:tcPr>
                <w:p>
                  <w:pPr>
                    <w:pStyle w:val="48"/>
                    <w:spacing w:line="240" w:lineRule="auto"/>
                    <w:ind w:firstLine="0" w:firstLineChars="0"/>
                    <w:rPr>
                      <w:color w:val="auto"/>
                    </w:rPr>
                  </w:pPr>
                  <w:r>
                    <w:rPr>
                      <w:color w:val="auto"/>
                    </w:rPr>
                    <w:t>二级</w:t>
                  </w:r>
                </w:p>
              </w:tc>
              <w:tc>
                <w:tcPr>
                  <w:tcW w:w="1881" w:type="dxa"/>
                  <w:vAlign w:val="center"/>
                </w:tcPr>
                <w:p>
                  <w:pPr>
                    <w:pStyle w:val="48"/>
                    <w:spacing w:line="240" w:lineRule="auto"/>
                    <w:ind w:firstLine="0" w:firstLineChars="0"/>
                    <w:rPr>
                      <w:color w:val="auto"/>
                    </w:rPr>
                  </w:pPr>
                  <w:r>
                    <w:rPr>
                      <w:color w:val="auto"/>
                    </w:rPr>
                    <w:t>直接排放</w:t>
                  </w:r>
                </w:p>
              </w:tc>
              <w:tc>
                <w:tcPr>
                  <w:tcW w:w="6041" w:type="dxa"/>
                  <w:vAlign w:val="center"/>
                </w:tcPr>
                <w:p>
                  <w:pPr>
                    <w:pStyle w:val="48"/>
                    <w:spacing w:line="240" w:lineRule="auto"/>
                    <w:ind w:firstLine="0" w:firstLineChars="0"/>
                    <w:rPr>
                      <w:color w:val="auto"/>
                    </w:rPr>
                  </w:pPr>
                  <w:r>
                    <w:rPr>
                      <w:color w:val="auto"/>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09" w:type="dxa"/>
                  <w:vAlign w:val="center"/>
                </w:tcPr>
                <w:p>
                  <w:pPr>
                    <w:pStyle w:val="48"/>
                    <w:spacing w:line="240" w:lineRule="auto"/>
                    <w:ind w:firstLine="0" w:firstLineChars="0"/>
                    <w:rPr>
                      <w:color w:val="auto"/>
                    </w:rPr>
                  </w:pPr>
                  <w:r>
                    <w:rPr>
                      <w:color w:val="auto"/>
                    </w:rPr>
                    <w:t>三级A</w:t>
                  </w:r>
                </w:p>
              </w:tc>
              <w:tc>
                <w:tcPr>
                  <w:tcW w:w="1881" w:type="dxa"/>
                  <w:vAlign w:val="center"/>
                </w:tcPr>
                <w:p>
                  <w:pPr>
                    <w:pStyle w:val="48"/>
                    <w:spacing w:line="240" w:lineRule="auto"/>
                    <w:ind w:firstLine="0" w:firstLineChars="0"/>
                    <w:rPr>
                      <w:color w:val="auto"/>
                    </w:rPr>
                  </w:pPr>
                  <w:r>
                    <w:rPr>
                      <w:color w:val="auto"/>
                    </w:rPr>
                    <w:t>直接排放</w:t>
                  </w:r>
                </w:p>
              </w:tc>
              <w:tc>
                <w:tcPr>
                  <w:tcW w:w="6041" w:type="dxa"/>
                  <w:vAlign w:val="center"/>
                </w:tcPr>
                <w:p>
                  <w:pPr>
                    <w:pStyle w:val="48"/>
                    <w:spacing w:line="240" w:lineRule="auto"/>
                    <w:ind w:firstLine="0" w:firstLineChars="0"/>
                    <w:rPr>
                      <w:color w:val="auto"/>
                    </w:rPr>
                  </w:pPr>
                  <w:r>
                    <w:rPr>
                      <w:color w:val="auto"/>
                    </w:rPr>
                    <w:t>Q＜200且W＜6000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09" w:type="dxa"/>
                  <w:vAlign w:val="center"/>
                </w:tcPr>
                <w:p>
                  <w:pPr>
                    <w:pStyle w:val="48"/>
                    <w:spacing w:line="240" w:lineRule="auto"/>
                    <w:ind w:firstLine="0" w:firstLineChars="0"/>
                    <w:rPr>
                      <w:color w:val="auto"/>
                    </w:rPr>
                  </w:pPr>
                  <w:r>
                    <w:rPr>
                      <w:color w:val="auto"/>
                    </w:rPr>
                    <w:t>三级B</w:t>
                  </w:r>
                </w:p>
              </w:tc>
              <w:tc>
                <w:tcPr>
                  <w:tcW w:w="1881" w:type="dxa"/>
                  <w:vAlign w:val="center"/>
                </w:tcPr>
                <w:p>
                  <w:pPr>
                    <w:pStyle w:val="48"/>
                    <w:spacing w:line="240" w:lineRule="auto"/>
                    <w:ind w:firstLine="0" w:firstLineChars="0"/>
                    <w:rPr>
                      <w:color w:val="auto"/>
                    </w:rPr>
                  </w:pPr>
                  <w:r>
                    <w:rPr>
                      <w:color w:val="auto"/>
                    </w:rPr>
                    <w:t>间接排放</w:t>
                  </w:r>
                </w:p>
              </w:tc>
              <w:tc>
                <w:tcPr>
                  <w:tcW w:w="6041" w:type="dxa"/>
                  <w:vAlign w:val="center"/>
                </w:tcPr>
                <w:p>
                  <w:pPr>
                    <w:pStyle w:val="48"/>
                    <w:spacing w:line="240" w:lineRule="auto"/>
                    <w:ind w:firstLine="0" w:firstLineChars="0"/>
                    <w:rPr>
                      <w:color w:val="auto"/>
                    </w:rPr>
                  </w:pPr>
                  <w:r>
                    <w:rPr>
                      <w:color w:val="auto"/>
                    </w:rPr>
                    <w:t>--</w:t>
                  </w:r>
                </w:p>
              </w:tc>
            </w:tr>
          </w:tbl>
          <w:p>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5.3地下水环境影响评价等级</w:t>
            </w:r>
          </w:p>
          <w:p>
            <w:pPr>
              <w:spacing w:line="360" w:lineRule="auto"/>
              <w:ind w:firstLine="480"/>
              <w:rPr>
                <w:rFonts w:ascii="Times New Roman" w:hAnsi="Times New Roman"/>
                <w:color w:val="auto"/>
                <w:sz w:val="24"/>
              </w:rPr>
            </w:pPr>
            <w:r>
              <w:rPr>
                <w:rFonts w:ascii="Times New Roman" w:hAnsi="Times New Roman"/>
                <w:color w:val="auto"/>
                <w:sz w:val="24"/>
              </w:rPr>
              <w:t>根据《环境影响评价技术导则-地下水环境》（HJ610-2016）中项目对地下水环境影响的程度及项目类别进行本项目地下水环境影响评价工作等级划分。</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（1）建设项目行业分类</w:t>
            </w:r>
          </w:p>
          <w:p>
            <w:pPr>
              <w:spacing w:line="360" w:lineRule="auto"/>
              <w:ind w:firstLine="480"/>
              <w:rPr>
                <w:rFonts w:ascii="Times New Roman" w:hAnsi="Times New Roman"/>
                <w:color w:val="auto"/>
                <w:kern w:val="0"/>
                <w:sz w:val="24"/>
              </w:rPr>
            </w:pPr>
            <w:r>
              <w:rPr>
                <w:rFonts w:ascii="Times New Roman" w:hAnsi="Times New Roman"/>
                <w:color w:val="auto"/>
                <w:sz w:val="24"/>
              </w:rPr>
              <w:t>根据《环境影响评价技术导则 地下水环境》（HJ 610-2016）附录 A 地下水环境影响评价行业分类表，本项目属于U-城镇基础建设及房地产-148-生活垃圾转运站，地下水环境影响评价项目类别为IV类，</w:t>
            </w:r>
            <w:r>
              <w:rPr>
                <w:rFonts w:ascii="Times New Roman" w:hAnsi="Times New Roman"/>
                <w:color w:val="auto"/>
                <w:kern w:val="0"/>
                <w:sz w:val="24"/>
              </w:rPr>
              <w:t>可不开展地下水环境影响评价工作。</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本项目所在地地下水环境敏感程度按照导则中表1的要求，建设项目周边无集中式饮用水源，敏感程度为不敏感。</w:t>
            </w:r>
          </w:p>
          <w:p>
            <w:pPr>
              <w:adjustRightInd w:val="0"/>
              <w:snapToGrid w:val="0"/>
              <w:spacing w:line="360" w:lineRule="auto"/>
              <w:jc w:val="center"/>
              <w:rPr>
                <w:rFonts w:ascii="Times New Roman" w:hAnsi="Times New Roman"/>
                <w:b/>
                <w:color w:val="auto"/>
                <w:sz w:val="24"/>
                <w:szCs w:val="20"/>
              </w:rPr>
            </w:pPr>
            <w:r>
              <w:rPr>
                <w:rFonts w:ascii="Times New Roman" w:hAnsi="Times New Roman"/>
                <w:b/>
                <w:color w:val="auto"/>
                <w:sz w:val="24"/>
              </w:rPr>
              <w:t>表1-8  地下水环境敏感程度分级表</w:t>
            </w:r>
          </w:p>
          <w:tbl>
            <w:tblPr>
              <w:tblStyle w:val="26"/>
              <w:tblW w:w="923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75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1" w:type="dxa"/>
                  <w:vAlign w:val="center"/>
                </w:tcPr>
                <w:p>
                  <w:pPr>
                    <w:pStyle w:val="23"/>
                    <w:adjustRightInd w:val="0"/>
                    <w:snapToGrid w:val="0"/>
                    <w:spacing w:before="0" w:beforeAutospacing="0" w:after="0" w:afterAutospacing="0"/>
                    <w:jc w:val="center"/>
                    <w:rPr>
                      <w:rFonts w:ascii="Times New Roman" w:hAnsi="Times New Roman"/>
                      <w:b/>
                      <w:color w:val="auto"/>
                    </w:rPr>
                  </w:pPr>
                  <w:r>
                    <w:rPr>
                      <w:rFonts w:ascii="Times New Roman" w:hAnsi="Times New Roman"/>
                      <w:color w:val="auto"/>
                      <w:sz w:val="21"/>
                    </w:rPr>
                    <w:t>敏感程度</w:t>
                  </w:r>
                </w:p>
              </w:tc>
              <w:tc>
                <w:tcPr>
                  <w:tcW w:w="7556" w:type="dxa"/>
                  <w:vAlign w:val="center"/>
                </w:tcPr>
                <w:p>
                  <w:pPr>
                    <w:pStyle w:val="23"/>
                    <w:adjustRightInd w:val="0"/>
                    <w:snapToGrid w:val="0"/>
                    <w:spacing w:before="0" w:beforeAutospacing="0" w:after="0" w:afterAutospacing="0"/>
                    <w:jc w:val="center"/>
                    <w:rPr>
                      <w:rFonts w:ascii="Times New Roman" w:hAnsi="Times New Roman"/>
                      <w:b/>
                      <w:color w:val="auto"/>
                    </w:rPr>
                  </w:pPr>
                  <w:r>
                    <w:rPr>
                      <w:rFonts w:ascii="Times New Roman" w:hAnsi="Times New Roman"/>
                      <w:color w:val="auto"/>
                      <w:sz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1" w:type="dxa"/>
                  <w:vAlign w:val="center"/>
                </w:tcPr>
                <w:p>
                  <w:pPr>
                    <w:pStyle w:val="23"/>
                    <w:adjustRightInd w:val="0"/>
                    <w:snapToGrid w:val="0"/>
                    <w:spacing w:before="0" w:beforeAutospacing="0" w:after="0" w:afterAutospacing="0"/>
                    <w:jc w:val="center"/>
                    <w:rPr>
                      <w:rFonts w:ascii="Times New Roman" w:hAnsi="Times New Roman"/>
                      <w:b/>
                      <w:color w:val="auto"/>
                    </w:rPr>
                  </w:pPr>
                  <w:r>
                    <w:rPr>
                      <w:rFonts w:ascii="Times New Roman" w:hAnsi="Times New Roman"/>
                      <w:color w:val="auto"/>
                      <w:sz w:val="21"/>
                    </w:rPr>
                    <w:t>敏感</w:t>
                  </w:r>
                </w:p>
              </w:tc>
              <w:tc>
                <w:tcPr>
                  <w:tcW w:w="7556" w:type="dxa"/>
                  <w:vAlign w:val="center"/>
                </w:tcPr>
                <w:p>
                  <w:pPr>
                    <w:pStyle w:val="23"/>
                    <w:adjustRightInd w:val="0"/>
                    <w:snapToGrid w:val="0"/>
                    <w:spacing w:before="0" w:beforeAutospacing="0" w:after="0" w:afterAutospacing="0"/>
                    <w:jc w:val="center"/>
                    <w:rPr>
                      <w:rFonts w:ascii="Times New Roman" w:hAnsi="Times New Roman"/>
                      <w:b/>
                      <w:color w:val="auto"/>
                    </w:rPr>
                  </w:pPr>
                  <w:r>
                    <w:rPr>
                      <w:rFonts w:ascii="Times New Roman" w:hAnsi="Times New Roman"/>
                      <w:color w:val="auto"/>
                      <w:sz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1" w:type="dxa"/>
                  <w:vAlign w:val="center"/>
                </w:tcPr>
                <w:p>
                  <w:pPr>
                    <w:pStyle w:val="23"/>
                    <w:adjustRightInd w:val="0"/>
                    <w:snapToGrid w:val="0"/>
                    <w:spacing w:before="0" w:beforeAutospacing="0" w:after="0" w:afterAutospacing="0"/>
                    <w:jc w:val="center"/>
                    <w:rPr>
                      <w:rFonts w:ascii="Times New Roman" w:hAnsi="Times New Roman"/>
                      <w:b/>
                      <w:color w:val="auto"/>
                    </w:rPr>
                  </w:pPr>
                  <w:r>
                    <w:rPr>
                      <w:rFonts w:ascii="Times New Roman" w:hAnsi="Times New Roman"/>
                      <w:color w:val="auto"/>
                      <w:sz w:val="21"/>
                    </w:rPr>
                    <w:t>较敏感</w:t>
                  </w:r>
                </w:p>
              </w:tc>
              <w:tc>
                <w:tcPr>
                  <w:tcW w:w="7556" w:type="dxa"/>
                  <w:vAlign w:val="center"/>
                </w:tcPr>
                <w:p>
                  <w:pPr>
                    <w:pStyle w:val="23"/>
                    <w:adjustRightInd w:val="0"/>
                    <w:snapToGrid w:val="0"/>
                    <w:spacing w:before="0" w:beforeAutospacing="0" w:after="0" w:afterAutospacing="0"/>
                    <w:jc w:val="center"/>
                    <w:rPr>
                      <w:rFonts w:ascii="Times New Roman" w:hAnsi="Times New Roman"/>
                      <w:b/>
                      <w:color w:val="auto"/>
                    </w:rPr>
                  </w:pPr>
                  <w:r>
                    <w:rPr>
                      <w:rFonts w:ascii="Times New Roman" w:hAnsi="Times New Roman"/>
                      <w:color w:val="auto"/>
                      <w:sz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1" w:type="dxa"/>
                  <w:vAlign w:val="center"/>
                </w:tcPr>
                <w:p>
                  <w:pPr>
                    <w:pStyle w:val="23"/>
                    <w:adjustRightInd w:val="0"/>
                    <w:snapToGrid w:val="0"/>
                    <w:spacing w:before="0" w:beforeAutospacing="0" w:after="0" w:afterAutospacing="0"/>
                    <w:jc w:val="center"/>
                    <w:rPr>
                      <w:rFonts w:ascii="Times New Roman" w:hAnsi="Times New Roman"/>
                      <w:b/>
                      <w:color w:val="auto"/>
                    </w:rPr>
                  </w:pPr>
                  <w:r>
                    <w:rPr>
                      <w:rFonts w:ascii="Times New Roman" w:hAnsi="Times New Roman"/>
                      <w:color w:val="auto"/>
                      <w:sz w:val="21"/>
                    </w:rPr>
                    <w:t>不敏感</w:t>
                  </w:r>
                </w:p>
              </w:tc>
              <w:tc>
                <w:tcPr>
                  <w:tcW w:w="7556" w:type="dxa"/>
                  <w:vAlign w:val="center"/>
                </w:tcPr>
                <w:p>
                  <w:pPr>
                    <w:pStyle w:val="23"/>
                    <w:adjustRightInd w:val="0"/>
                    <w:snapToGrid w:val="0"/>
                    <w:spacing w:before="0" w:beforeAutospacing="0" w:after="0" w:afterAutospacing="0"/>
                    <w:jc w:val="center"/>
                    <w:rPr>
                      <w:rFonts w:ascii="Times New Roman" w:hAnsi="Times New Roman"/>
                      <w:b/>
                      <w:color w:val="auto"/>
                    </w:rPr>
                  </w:pPr>
                  <w:r>
                    <w:rPr>
                      <w:rFonts w:ascii="Times New Roman" w:hAnsi="Times New Roman"/>
                      <w:color w:val="auto"/>
                      <w:sz w:val="21"/>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237" w:type="dxa"/>
                  <w:gridSpan w:val="2"/>
                  <w:vAlign w:val="center"/>
                </w:tcPr>
                <w:p>
                  <w:pPr>
                    <w:pStyle w:val="23"/>
                    <w:adjustRightInd w:val="0"/>
                    <w:snapToGrid w:val="0"/>
                    <w:spacing w:before="0" w:beforeAutospacing="0" w:after="0" w:afterAutospacing="0"/>
                    <w:jc w:val="both"/>
                    <w:rPr>
                      <w:rFonts w:ascii="Times New Roman" w:hAnsi="Times New Roman"/>
                      <w:b/>
                      <w:color w:val="auto"/>
                    </w:rPr>
                  </w:pPr>
                  <w:r>
                    <w:rPr>
                      <w:rFonts w:ascii="Times New Roman" w:hAnsi="Times New Roman"/>
                      <w:color w:val="auto"/>
                      <w:sz w:val="21"/>
                    </w:rPr>
                    <w:t>注：“环境敏感区”是指《建设项目环境影响评价分类管理名录》中所界定的涉及地下水的环境敏感区。</w:t>
                  </w:r>
                </w:p>
              </w:tc>
            </w:tr>
          </w:tbl>
          <w:p>
            <w:pPr>
              <w:keepNext/>
              <w:keepLines/>
              <w:spacing w:line="360" w:lineRule="auto"/>
              <w:ind w:firstLine="482" w:firstLineChars="200"/>
              <w:outlineLvl w:val="2"/>
              <w:rPr>
                <w:rFonts w:ascii="Times New Roman" w:hAnsi="Times New Roman"/>
                <w:b/>
                <w:bCs/>
                <w:color w:val="auto"/>
                <w:sz w:val="24"/>
              </w:rPr>
            </w:pPr>
            <w:r>
              <w:rPr>
                <w:rFonts w:ascii="Times New Roman" w:hAnsi="Times New Roman"/>
                <w:b/>
                <w:bCs/>
                <w:color w:val="auto"/>
                <w:sz w:val="24"/>
              </w:rPr>
              <w:t>5.4噪声环境影响评价工作等级</w:t>
            </w:r>
            <w:bookmarkEnd w:id="13"/>
          </w:p>
          <w:p>
            <w:pPr>
              <w:adjustRightInd w:val="0"/>
              <w:snapToGrid w:val="0"/>
              <w:spacing w:line="360" w:lineRule="auto"/>
              <w:ind w:firstLine="470" w:firstLineChars="196"/>
              <w:rPr>
                <w:rFonts w:ascii="Times New Roman" w:hAnsi="Times New Roman"/>
                <w:color w:val="auto"/>
                <w:sz w:val="24"/>
              </w:rPr>
            </w:pPr>
            <w:r>
              <w:rPr>
                <w:rFonts w:ascii="Times New Roman" w:hAnsi="Times New Roman"/>
                <w:color w:val="auto"/>
                <w:sz w:val="24"/>
              </w:rPr>
              <w:t>根据《环境影响评价技术导则-声环境》（HJ2.4-2009中声环境评价工作等级划分方法，拟建项目位于《声环境质量标准》（GB3096－2008）规定的1类地区，拟建项目建设前后噪声级增加较小，且受影响人口变化不大，根据预测其对周边环境的影响小于3dB(A)，按导则中规定，声环境影响评价工作等级为三级。</w:t>
            </w:r>
          </w:p>
          <w:p>
            <w:pPr>
              <w:keepNext/>
              <w:keepLines/>
              <w:spacing w:line="360" w:lineRule="auto"/>
              <w:ind w:firstLine="482" w:firstLineChars="200"/>
              <w:outlineLvl w:val="2"/>
              <w:rPr>
                <w:rFonts w:ascii="Times New Roman" w:hAnsi="Times New Roman"/>
                <w:b/>
                <w:bCs/>
                <w:color w:val="auto"/>
                <w:sz w:val="24"/>
              </w:rPr>
            </w:pPr>
            <w:r>
              <w:rPr>
                <w:rFonts w:ascii="Times New Roman" w:hAnsi="Times New Roman"/>
                <w:b/>
                <w:bCs/>
                <w:color w:val="auto"/>
                <w:sz w:val="24"/>
              </w:rPr>
              <w:t>5.5环境风险评价等级</w:t>
            </w:r>
          </w:p>
          <w:p>
            <w:pPr>
              <w:spacing w:line="360" w:lineRule="auto"/>
              <w:ind w:firstLine="480"/>
              <w:rPr>
                <w:rFonts w:ascii="Times New Roman" w:hAnsi="Times New Roman"/>
                <w:color w:val="auto"/>
                <w:sz w:val="24"/>
              </w:rPr>
            </w:pPr>
            <w:r>
              <w:rPr>
                <w:rFonts w:ascii="Times New Roman" w:hAnsi="Times New Roman"/>
                <w:color w:val="auto"/>
                <w:sz w:val="24"/>
              </w:rPr>
              <w:t>本项目不涉及《</w:t>
            </w:r>
            <w:r>
              <w:rPr>
                <w:rFonts w:ascii="Times New Roman" w:hAnsi="Times New Roman"/>
                <w:bCs/>
                <w:color w:val="auto"/>
                <w:sz w:val="24"/>
              </w:rPr>
              <w:t>建设项目环境风险评价技术导则</w:t>
            </w:r>
            <w:r>
              <w:rPr>
                <w:rFonts w:ascii="Times New Roman" w:hAnsi="Times New Roman"/>
                <w:color w:val="auto"/>
                <w:sz w:val="24"/>
              </w:rPr>
              <w:t>》（HJ 169-2018）规定的有毒有害和易燃易爆物质的生产、使用、贮运等，环境风险潜势为I，即为简单分析。</w:t>
            </w:r>
          </w:p>
          <w:p>
            <w:pPr>
              <w:keepNext/>
              <w:keepLines/>
              <w:spacing w:line="360" w:lineRule="auto"/>
              <w:ind w:firstLine="482" w:firstLineChars="200"/>
              <w:outlineLvl w:val="2"/>
              <w:rPr>
                <w:rFonts w:ascii="Times New Roman" w:hAnsi="Times New Roman"/>
                <w:b/>
                <w:bCs/>
                <w:color w:val="auto"/>
                <w:sz w:val="24"/>
              </w:rPr>
            </w:pPr>
            <w:r>
              <w:rPr>
                <w:rFonts w:ascii="Times New Roman" w:hAnsi="Times New Roman"/>
                <w:b/>
                <w:bCs/>
                <w:color w:val="auto"/>
                <w:sz w:val="24"/>
              </w:rPr>
              <w:t>5.6土壤评价等级</w:t>
            </w:r>
          </w:p>
          <w:p>
            <w:pPr>
              <w:widowControl/>
              <w:spacing w:line="360" w:lineRule="auto"/>
              <w:ind w:firstLine="480" w:firstLineChars="200"/>
              <w:jc w:val="left"/>
              <w:rPr>
                <w:rFonts w:ascii="Times New Roman" w:hAnsi="Times New Roman"/>
                <w:b/>
                <w:bCs/>
                <w:color w:val="auto"/>
                <w:szCs w:val="21"/>
              </w:rPr>
            </w:pPr>
            <w:r>
              <w:rPr>
                <w:rFonts w:ascii="Times New Roman" w:hAnsi="Times New Roman"/>
                <w:color w:val="auto"/>
                <w:sz w:val="24"/>
              </w:rPr>
              <w:t>根据《环境影响评价技术导则 土壤环境（试行）》（HJ 964-2018），根据土壤环境影响评价类别、占地规模与敏感程度划分评价工作等级，等级划分表见下表。</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表1-9  工作等级划分表</w:t>
            </w:r>
          </w:p>
          <w:tbl>
            <w:tblPr>
              <w:tblStyle w:val="26"/>
              <w:tblW w:w="9232"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07"/>
              <w:gridCol w:w="701"/>
              <w:gridCol w:w="771"/>
              <w:gridCol w:w="835"/>
              <w:gridCol w:w="815"/>
              <w:gridCol w:w="761"/>
              <w:gridCol w:w="733"/>
              <w:gridCol w:w="776"/>
              <w:gridCol w:w="776"/>
              <w:gridCol w:w="7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307" w:type="dxa"/>
                  <w:vMerge w:val="restart"/>
                  <w:vAlign w:val="center"/>
                </w:tcPr>
                <w:p>
                  <w:pPr>
                    <w:snapToGrid w:val="0"/>
                    <w:jc w:val="left"/>
                    <w:rPr>
                      <w:rFonts w:ascii="Times New Roman" w:hAnsi="Times New Roman"/>
                      <w:b/>
                      <w:bCs/>
                      <w:color w:val="auto"/>
                      <w:szCs w:val="21"/>
                    </w:rPr>
                  </w:pPr>
                  <w:r>
                    <w:rPr>
                      <w:rFonts w:ascii="Times New Roman" w:hAnsi="Times New Roman"/>
                      <w:b/>
                      <w:bCs/>
                      <w:color w:val="auto"/>
                      <w:szCs w:val="21"/>
                    </w:rPr>
                    <w:t>敏感程度</w:t>
                  </w:r>
                </w:p>
                <w:p>
                  <w:pPr>
                    <w:snapToGrid w:val="0"/>
                    <w:ind w:firstLine="517" w:firstLineChars="245"/>
                    <w:rPr>
                      <w:rFonts w:ascii="Times New Roman" w:hAnsi="Times New Roman"/>
                      <w:b/>
                      <w:bCs/>
                      <w:color w:val="auto"/>
                      <w:szCs w:val="21"/>
                    </w:rPr>
                  </w:pPr>
                  <w:r>
                    <w:rPr>
                      <w:rFonts w:ascii="Times New Roman" w:hAnsi="Times New Roman"/>
                      <w:b/>
                      <w:bCs/>
                      <w:color w:val="auto"/>
                      <w:szCs w:val="21"/>
                    </w:rPr>
                    <w:t>评价工作等级</w:t>
                  </w:r>
                </w:p>
                <w:p>
                  <w:pPr>
                    <w:jc w:val="right"/>
                    <w:rPr>
                      <w:rFonts w:ascii="Times New Roman" w:hAnsi="Times New Roman"/>
                      <w:color w:val="auto"/>
                      <w:szCs w:val="21"/>
                    </w:rPr>
                  </w:pPr>
                  <w:r>
                    <w:rPr>
                      <w:rFonts w:ascii="Times New Roman" w:hAnsi="Times New Roman"/>
                      <w:b/>
                      <w:bCs/>
                      <w:color w:val="auto"/>
                      <w:szCs w:val="21"/>
                    </w:rPr>
                    <w:t>占地规模</w:t>
                  </w:r>
                </w:p>
              </w:tc>
              <w:tc>
                <w:tcPr>
                  <w:tcW w:w="2307" w:type="dxa"/>
                  <w:gridSpan w:val="3"/>
                  <w:vAlign w:val="center"/>
                </w:tcPr>
                <w:p>
                  <w:pPr>
                    <w:jc w:val="center"/>
                    <w:rPr>
                      <w:rFonts w:ascii="Times New Roman" w:hAnsi="Times New Roman"/>
                      <w:color w:val="auto"/>
                      <w:szCs w:val="21"/>
                    </w:rPr>
                  </w:pPr>
                  <w:r>
                    <w:rPr>
                      <w:rFonts w:hint="eastAsia" w:ascii="宋体" w:hAnsi="宋体" w:cs="宋体"/>
                      <w:b/>
                      <w:bCs/>
                      <w:color w:val="auto"/>
                      <w:szCs w:val="21"/>
                    </w:rPr>
                    <w:t>Ⅰ</w:t>
                  </w:r>
                  <w:r>
                    <w:rPr>
                      <w:rFonts w:ascii="Times New Roman" w:hAnsi="Times New Roman"/>
                      <w:b/>
                      <w:bCs/>
                      <w:color w:val="auto"/>
                      <w:szCs w:val="21"/>
                    </w:rPr>
                    <w:t>类</w:t>
                  </w:r>
                </w:p>
              </w:tc>
              <w:tc>
                <w:tcPr>
                  <w:tcW w:w="2309" w:type="dxa"/>
                  <w:gridSpan w:val="3"/>
                  <w:vAlign w:val="center"/>
                </w:tcPr>
                <w:p>
                  <w:pPr>
                    <w:jc w:val="center"/>
                    <w:rPr>
                      <w:rFonts w:ascii="Times New Roman" w:hAnsi="Times New Roman"/>
                      <w:color w:val="auto"/>
                      <w:szCs w:val="21"/>
                    </w:rPr>
                  </w:pPr>
                  <w:r>
                    <w:rPr>
                      <w:rFonts w:hint="eastAsia" w:ascii="宋体" w:hAnsi="宋体" w:cs="宋体"/>
                      <w:b/>
                      <w:bCs/>
                      <w:color w:val="auto"/>
                      <w:szCs w:val="21"/>
                    </w:rPr>
                    <w:t>Ⅱ</w:t>
                  </w:r>
                  <w:r>
                    <w:rPr>
                      <w:rFonts w:ascii="Times New Roman" w:hAnsi="Times New Roman"/>
                      <w:b/>
                      <w:bCs/>
                      <w:color w:val="auto"/>
                      <w:szCs w:val="21"/>
                    </w:rPr>
                    <w:t>类</w:t>
                  </w:r>
                </w:p>
              </w:tc>
              <w:tc>
                <w:tcPr>
                  <w:tcW w:w="2309" w:type="dxa"/>
                  <w:gridSpan w:val="3"/>
                  <w:vAlign w:val="center"/>
                </w:tcPr>
                <w:p>
                  <w:pPr>
                    <w:jc w:val="center"/>
                    <w:rPr>
                      <w:rFonts w:ascii="Times New Roman" w:hAnsi="Times New Roman"/>
                      <w:color w:val="auto"/>
                      <w:szCs w:val="21"/>
                    </w:rPr>
                  </w:pPr>
                  <w:r>
                    <w:rPr>
                      <w:rFonts w:hint="eastAsia" w:ascii="宋体" w:hAnsi="宋体" w:cs="宋体"/>
                      <w:b/>
                      <w:bCs/>
                      <w:color w:val="auto"/>
                      <w:szCs w:val="21"/>
                    </w:rPr>
                    <w:t>Ⅲ</w:t>
                  </w:r>
                  <w:r>
                    <w:rPr>
                      <w:rFonts w:ascii="Times New Roman" w:hAnsi="Times New Roman"/>
                      <w:b/>
                      <w:bCs/>
                      <w:color w:val="auto"/>
                      <w:szCs w:val="21"/>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07" w:type="dxa"/>
                  <w:vMerge w:val="continue"/>
                  <w:vAlign w:val="center"/>
                </w:tcPr>
                <w:p>
                  <w:pPr>
                    <w:widowControl/>
                    <w:jc w:val="left"/>
                    <w:rPr>
                      <w:rFonts w:ascii="Times New Roman" w:hAnsi="Times New Roman"/>
                      <w:color w:val="auto"/>
                      <w:szCs w:val="21"/>
                    </w:rPr>
                  </w:pPr>
                </w:p>
              </w:tc>
              <w:tc>
                <w:tcPr>
                  <w:tcW w:w="701" w:type="dxa"/>
                  <w:vAlign w:val="center"/>
                </w:tcPr>
                <w:p>
                  <w:pPr>
                    <w:jc w:val="center"/>
                    <w:rPr>
                      <w:rFonts w:ascii="Times New Roman" w:hAnsi="Times New Roman"/>
                      <w:color w:val="auto"/>
                      <w:szCs w:val="21"/>
                    </w:rPr>
                  </w:pPr>
                  <w:r>
                    <w:rPr>
                      <w:rFonts w:ascii="Times New Roman" w:hAnsi="Times New Roman"/>
                      <w:b/>
                      <w:bCs/>
                      <w:color w:val="auto"/>
                      <w:szCs w:val="21"/>
                    </w:rPr>
                    <w:t>大</w:t>
                  </w:r>
                </w:p>
              </w:tc>
              <w:tc>
                <w:tcPr>
                  <w:tcW w:w="771" w:type="dxa"/>
                  <w:vAlign w:val="center"/>
                </w:tcPr>
                <w:p>
                  <w:pPr>
                    <w:jc w:val="center"/>
                    <w:rPr>
                      <w:rFonts w:ascii="Times New Roman" w:hAnsi="Times New Roman"/>
                      <w:color w:val="auto"/>
                      <w:szCs w:val="21"/>
                    </w:rPr>
                  </w:pPr>
                  <w:r>
                    <w:rPr>
                      <w:rFonts w:ascii="Times New Roman" w:hAnsi="Times New Roman"/>
                      <w:b/>
                      <w:bCs/>
                      <w:color w:val="auto"/>
                      <w:szCs w:val="21"/>
                    </w:rPr>
                    <w:t>中</w:t>
                  </w:r>
                </w:p>
              </w:tc>
              <w:tc>
                <w:tcPr>
                  <w:tcW w:w="835" w:type="dxa"/>
                  <w:vAlign w:val="center"/>
                </w:tcPr>
                <w:p>
                  <w:pPr>
                    <w:jc w:val="center"/>
                    <w:rPr>
                      <w:rFonts w:ascii="Times New Roman" w:hAnsi="Times New Roman"/>
                      <w:color w:val="auto"/>
                      <w:szCs w:val="21"/>
                    </w:rPr>
                  </w:pPr>
                  <w:r>
                    <w:rPr>
                      <w:rFonts w:ascii="Times New Roman" w:hAnsi="Times New Roman"/>
                      <w:b/>
                      <w:bCs/>
                      <w:color w:val="auto"/>
                      <w:szCs w:val="21"/>
                    </w:rPr>
                    <w:t>小</w:t>
                  </w:r>
                </w:p>
              </w:tc>
              <w:tc>
                <w:tcPr>
                  <w:tcW w:w="815" w:type="dxa"/>
                  <w:vAlign w:val="center"/>
                </w:tcPr>
                <w:p>
                  <w:pPr>
                    <w:jc w:val="center"/>
                    <w:rPr>
                      <w:rFonts w:ascii="Times New Roman" w:hAnsi="Times New Roman"/>
                      <w:color w:val="auto"/>
                      <w:szCs w:val="21"/>
                    </w:rPr>
                  </w:pPr>
                  <w:r>
                    <w:rPr>
                      <w:rFonts w:ascii="Times New Roman" w:hAnsi="Times New Roman"/>
                      <w:b/>
                      <w:bCs/>
                      <w:color w:val="auto"/>
                      <w:szCs w:val="21"/>
                    </w:rPr>
                    <w:t>大</w:t>
                  </w:r>
                </w:p>
              </w:tc>
              <w:tc>
                <w:tcPr>
                  <w:tcW w:w="761" w:type="dxa"/>
                  <w:vAlign w:val="center"/>
                </w:tcPr>
                <w:p>
                  <w:pPr>
                    <w:jc w:val="center"/>
                    <w:rPr>
                      <w:rFonts w:ascii="Times New Roman" w:hAnsi="Times New Roman"/>
                      <w:color w:val="auto"/>
                      <w:szCs w:val="21"/>
                    </w:rPr>
                  </w:pPr>
                  <w:r>
                    <w:rPr>
                      <w:rFonts w:ascii="Times New Roman" w:hAnsi="Times New Roman"/>
                      <w:b/>
                      <w:bCs/>
                      <w:color w:val="auto"/>
                      <w:szCs w:val="21"/>
                    </w:rPr>
                    <w:t>中</w:t>
                  </w:r>
                </w:p>
              </w:tc>
              <w:tc>
                <w:tcPr>
                  <w:tcW w:w="733" w:type="dxa"/>
                  <w:vAlign w:val="center"/>
                </w:tcPr>
                <w:p>
                  <w:pPr>
                    <w:jc w:val="center"/>
                    <w:rPr>
                      <w:rFonts w:ascii="Times New Roman" w:hAnsi="Times New Roman"/>
                      <w:color w:val="auto"/>
                      <w:szCs w:val="21"/>
                    </w:rPr>
                  </w:pPr>
                  <w:r>
                    <w:rPr>
                      <w:rFonts w:ascii="Times New Roman" w:hAnsi="Times New Roman"/>
                      <w:b/>
                      <w:bCs/>
                      <w:color w:val="auto"/>
                      <w:szCs w:val="21"/>
                    </w:rPr>
                    <w:t>小</w:t>
                  </w:r>
                </w:p>
              </w:tc>
              <w:tc>
                <w:tcPr>
                  <w:tcW w:w="776" w:type="dxa"/>
                  <w:vAlign w:val="center"/>
                </w:tcPr>
                <w:p>
                  <w:pPr>
                    <w:jc w:val="center"/>
                    <w:rPr>
                      <w:rFonts w:ascii="Times New Roman" w:hAnsi="Times New Roman"/>
                      <w:color w:val="auto"/>
                      <w:szCs w:val="21"/>
                    </w:rPr>
                  </w:pPr>
                  <w:r>
                    <w:rPr>
                      <w:rFonts w:ascii="Times New Roman" w:hAnsi="Times New Roman"/>
                      <w:b/>
                      <w:bCs/>
                      <w:color w:val="auto"/>
                      <w:szCs w:val="21"/>
                    </w:rPr>
                    <w:t>大</w:t>
                  </w:r>
                </w:p>
              </w:tc>
              <w:tc>
                <w:tcPr>
                  <w:tcW w:w="776" w:type="dxa"/>
                  <w:vAlign w:val="center"/>
                </w:tcPr>
                <w:p>
                  <w:pPr>
                    <w:jc w:val="center"/>
                    <w:rPr>
                      <w:rFonts w:ascii="Times New Roman" w:hAnsi="Times New Roman"/>
                      <w:color w:val="auto"/>
                      <w:szCs w:val="21"/>
                    </w:rPr>
                  </w:pPr>
                  <w:r>
                    <w:rPr>
                      <w:rFonts w:ascii="Times New Roman" w:hAnsi="Times New Roman"/>
                      <w:b/>
                      <w:bCs/>
                      <w:color w:val="auto"/>
                      <w:szCs w:val="21"/>
                    </w:rPr>
                    <w:t>中</w:t>
                  </w:r>
                </w:p>
              </w:tc>
              <w:tc>
                <w:tcPr>
                  <w:tcW w:w="757" w:type="dxa"/>
                  <w:vAlign w:val="center"/>
                </w:tcPr>
                <w:p>
                  <w:pPr>
                    <w:jc w:val="center"/>
                    <w:rPr>
                      <w:rFonts w:ascii="Times New Roman" w:hAnsi="Times New Roman"/>
                      <w:color w:val="auto"/>
                      <w:szCs w:val="21"/>
                    </w:rPr>
                  </w:pPr>
                  <w:r>
                    <w:rPr>
                      <w:rFonts w:ascii="Times New Roman" w:hAnsi="Times New Roman"/>
                      <w:b/>
                      <w:bCs/>
                      <w:color w:val="auto"/>
                      <w:szCs w:val="21"/>
                    </w:rPr>
                    <w:t>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07" w:type="dxa"/>
                  <w:vAlign w:val="center"/>
                </w:tcPr>
                <w:p>
                  <w:pPr>
                    <w:jc w:val="center"/>
                    <w:rPr>
                      <w:rFonts w:ascii="Times New Roman" w:hAnsi="Times New Roman"/>
                      <w:color w:val="auto"/>
                      <w:szCs w:val="21"/>
                    </w:rPr>
                  </w:pPr>
                  <w:r>
                    <w:rPr>
                      <w:rFonts w:ascii="Times New Roman" w:hAnsi="Times New Roman"/>
                      <w:color w:val="auto"/>
                      <w:szCs w:val="21"/>
                    </w:rPr>
                    <w:t>敏感</w:t>
                  </w:r>
                </w:p>
              </w:tc>
              <w:tc>
                <w:tcPr>
                  <w:tcW w:w="701" w:type="dxa"/>
                  <w:vAlign w:val="center"/>
                </w:tcPr>
                <w:p>
                  <w:pPr>
                    <w:jc w:val="center"/>
                    <w:rPr>
                      <w:rFonts w:ascii="Times New Roman" w:hAnsi="Times New Roman"/>
                      <w:color w:val="auto"/>
                      <w:szCs w:val="21"/>
                    </w:rPr>
                  </w:pPr>
                  <w:r>
                    <w:rPr>
                      <w:rFonts w:ascii="Times New Roman" w:hAnsi="Times New Roman"/>
                      <w:color w:val="auto"/>
                      <w:szCs w:val="21"/>
                    </w:rPr>
                    <w:t>一级</w:t>
                  </w:r>
                </w:p>
              </w:tc>
              <w:tc>
                <w:tcPr>
                  <w:tcW w:w="771" w:type="dxa"/>
                  <w:vAlign w:val="center"/>
                </w:tcPr>
                <w:p>
                  <w:pPr>
                    <w:jc w:val="center"/>
                    <w:rPr>
                      <w:rFonts w:ascii="Times New Roman" w:hAnsi="Times New Roman"/>
                      <w:color w:val="auto"/>
                      <w:szCs w:val="21"/>
                    </w:rPr>
                  </w:pPr>
                  <w:r>
                    <w:rPr>
                      <w:rFonts w:ascii="Times New Roman" w:hAnsi="Times New Roman"/>
                      <w:color w:val="auto"/>
                      <w:szCs w:val="21"/>
                    </w:rPr>
                    <w:t>一级</w:t>
                  </w:r>
                </w:p>
              </w:tc>
              <w:tc>
                <w:tcPr>
                  <w:tcW w:w="835" w:type="dxa"/>
                  <w:vAlign w:val="center"/>
                </w:tcPr>
                <w:p>
                  <w:pPr>
                    <w:jc w:val="center"/>
                    <w:rPr>
                      <w:rFonts w:ascii="Times New Roman" w:hAnsi="Times New Roman"/>
                      <w:color w:val="auto"/>
                      <w:szCs w:val="21"/>
                    </w:rPr>
                  </w:pPr>
                  <w:r>
                    <w:rPr>
                      <w:rFonts w:ascii="Times New Roman" w:hAnsi="Times New Roman"/>
                      <w:color w:val="auto"/>
                      <w:szCs w:val="21"/>
                    </w:rPr>
                    <w:t>一级</w:t>
                  </w:r>
                </w:p>
              </w:tc>
              <w:tc>
                <w:tcPr>
                  <w:tcW w:w="815"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761"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733"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776" w:type="dxa"/>
                  <w:vAlign w:val="center"/>
                </w:tcPr>
                <w:p>
                  <w:pPr>
                    <w:jc w:val="center"/>
                    <w:rPr>
                      <w:rFonts w:ascii="Times New Roman" w:hAnsi="Times New Roman"/>
                      <w:color w:val="auto"/>
                      <w:szCs w:val="21"/>
                    </w:rPr>
                  </w:pPr>
                  <w:r>
                    <w:rPr>
                      <w:rFonts w:ascii="Times New Roman" w:hAnsi="Times New Roman"/>
                      <w:color w:val="auto"/>
                      <w:szCs w:val="21"/>
                    </w:rPr>
                    <w:t>三级</w:t>
                  </w:r>
                </w:p>
              </w:tc>
              <w:tc>
                <w:tcPr>
                  <w:tcW w:w="776" w:type="dxa"/>
                  <w:vAlign w:val="center"/>
                </w:tcPr>
                <w:p>
                  <w:pPr>
                    <w:jc w:val="center"/>
                    <w:rPr>
                      <w:rFonts w:ascii="Times New Roman" w:hAnsi="Times New Roman"/>
                      <w:color w:val="auto"/>
                      <w:szCs w:val="21"/>
                    </w:rPr>
                  </w:pPr>
                  <w:r>
                    <w:rPr>
                      <w:rFonts w:ascii="Times New Roman" w:hAnsi="Times New Roman"/>
                      <w:color w:val="auto"/>
                      <w:szCs w:val="21"/>
                    </w:rPr>
                    <w:t>三级</w:t>
                  </w:r>
                </w:p>
              </w:tc>
              <w:tc>
                <w:tcPr>
                  <w:tcW w:w="757" w:type="dxa"/>
                  <w:vAlign w:val="center"/>
                </w:tcPr>
                <w:p>
                  <w:pPr>
                    <w:jc w:val="center"/>
                    <w:rPr>
                      <w:rFonts w:ascii="Times New Roman" w:hAnsi="Times New Roman"/>
                      <w:color w:val="auto"/>
                      <w:szCs w:val="21"/>
                    </w:rPr>
                  </w:pPr>
                  <w:r>
                    <w:rPr>
                      <w:rFonts w:ascii="Times New Roman" w:hAnsi="Times New Roman"/>
                      <w:color w:val="auto"/>
                      <w:szCs w:val="21"/>
                    </w:rPr>
                    <w:t>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07" w:type="dxa"/>
                  <w:vAlign w:val="center"/>
                </w:tcPr>
                <w:p>
                  <w:pPr>
                    <w:jc w:val="center"/>
                    <w:rPr>
                      <w:rFonts w:ascii="Times New Roman" w:hAnsi="Times New Roman"/>
                      <w:color w:val="auto"/>
                      <w:szCs w:val="21"/>
                    </w:rPr>
                  </w:pPr>
                  <w:r>
                    <w:rPr>
                      <w:rFonts w:ascii="Times New Roman" w:hAnsi="Times New Roman"/>
                      <w:color w:val="auto"/>
                      <w:szCs w:val="21"/>
                    </w:rPr>
                    <w:t>较敏感</w:t>
                  </w:r>
                </w:p>
              </w:tc>
              <w:tc>
                <w:tcPr>
                  <w:tcW w:w="701" w:type="dxa"/>
                  <w:vAlign w:val="center"/>
                </w:tcPr>
                <w:p>
                  <w:pPr>
                    <w:jc w:val="center"/>
                    <w:rPr>
                      <w:rFonts w:ascii="Times New Roman" w:hAnsi="Times New Roman"/>
                      <w:color w:val="auto"/>
                      <w:szCs w:val="21"/>
                    </w:rPr>
                  </w:pPr>
                  <w:r>
                    <w:rPr>
                      <w:rFonts w:ascii="Times New Roman" w:hAnsi="Times New Roman"/>
                      <w:color w:val="auto"/>
                      <w:szCs w:val="21"/>
                    </w:rPr>
                    <w:t>一级</w:t>
                  </w:r>
                </w:p>
              </w:tc>
              <w:tc>
                <w:tcPr>
                  <w:tcW w:w="771" w:type="dxa"/>
                  <w:vAlign w:val="center"/>
                </w:tcPr>
                <w:p>
                  <w:pPr>
                    <w:jc w:val="center"/>
                    <w:rPr>
                      <w:rFonts w:ascii="Times New Roman" w:hAnsi="Times New Roman"/>
                      <w:color w:val="auto"/>
                      <w:szCs w:val="21"/>
                    </w:rPr>
                  </w:pPr>
                  <w:r>
                    <w:rPr>
                      <w:rFonts w:ascii="Times New Roman" w:hAnsi="Times New Roman"/>
                      <w:color w:val="auto"/>
                      <w:szCs w:val="21"/>
                    </w:rPr>
                    <w:t>一级</w:t>
                  </w:r>
                </w:p>
              </w:tc>
              <w:tc>
                <w:tcPr>
                  <w:tcW w:w="835"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815"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761"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733" w:type="dxa"/>
                  <w:vAlign w:val="center"/>
                </w:tcPr>
                <w:p>
                  <w:pPr>
                    <w:jc w:val="center"/>
                    <w:rPr>
                      <w:rFonts w:ascii="Times New Roman" w:hAnsi="Times New Roman"/>
                      <w:color w:val="auto"/>
                      <w:szCs w:val="21"/>
                    </w:rPr>
                  </w:pPr>
                  <w:r>
                    <w:rPr>
                      <w:rFonts w:ascii="Times New Roman" w:hAnsi="Times New Roman"/>
                      <w:color w:val="auto"/>
                      <w:szCs w:val="21"/>
                    </w:rPr>
                    <w:t>三级</w:t>
                  </w:r>
                </w:p>
              </w:tc>
              <w:tc>
                <w:tcPr>
                  <w:tcW w:w="776" w:type="dxa"/>
                  <w:vAlign w:val="center"/>
                </w:tcPr>
                <w:p>
                  <w:pPr>
                    <w:jc w:val="center"/>
                    <w:rPr>
                      <w:rFonts w:ascii="Times New Roman" w:hAnsi="Times New Roman"/>
                      <w:color w:val="auto"/>
                      <w:szCs w:val="21"/>
                    </w:rPr>
                  </w:pPr>
                  <w:r>
                    <w:rPr>
                      <w:rFonts w:ascii="Times New Roman" w:hAnsi="Times New Roman"/>
                      <w:color w:val="auto"/>
                      <w:szCs w:val="21"/>
                    </w:rPr>
                    <w:t>三级</w:t>
                  </w:r>
                </w:p>
              </w:tc>
              <w:tc>
                <w:tcPr>
                  <w:tcW w:w="776" w:type="dxa"/>
                  <w:vAlign w:val="center"/>
                </w:tcPr>
                <w:p>
                  <w:pPr>
                    <w:jc w:val="center"/>
                    <w:rPr>
                      <w:rFonts w:ascii="Times New Roman" w:hAnsi="Times New Roman"/>
                      <w:color w:val="auto"/>
                      <w:szCs w:val="21"/>
                    </w:rPr>
                  </w:pPr>
                  <w:r>
                    <w:rPr>
                      <w:rFonts w:ascii="Times New Roman" w:hAnsi="Times New Roman"/>
                      <w:color w:val="auto"/>
                      <w:szCs w:val="21"/>
                    </w:rPr>
                    <w:t>三级</w:t>
                  </w:r>
                </w:p>
              </w:tc>
              <w:tc>
                <w:tcPr>
                  <w:tcW w:w="757" w:type="dxa"/>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07" w:type="dxa"/>
                  <w:vAlign w:val="center"/>
                </w:tcPr>
                <w:p>
                  <w:pPr>
                    <w:jc w:val="center"/>
                    <w:rPr>
                      <w:rFonts w:ascii="Times New Roman" w:hAnsi="Times New Roman"/>
                      <w:color w:val="auto"/>
                      <w:szCs w:val="21"/>
                    </w:rPr>
                  </w:pPr>
                  <w:r>
                    <w:rPr>
                      <w:rFonts w:ascii="Times New Roman" w:hAnsi="Times New Roman"/>
                      <w:color w:val="auto"/>
                      <w:szCs w:val="21"/>
                    </w:rPr>
                    <w:t>不敏感</w:t>
                  </w:r>
                </w:p>
              </w:tc>
              <w:tc>
                <w:tcPr>
                  <w:tcW w:w="701" w:type="dxa"/>
                  <w:vAlign w:val="center"/>
                </w:tcPr>
                <w:p>
                  <w:pPr>
                    <w:jc w:val="center"/>
                    <w:rPr>
                      <w:rFonts w:ascii="Times New Roman" w:hAnsi="Times New Roman"/>
                      <w:color w:val="auto"/>
                      <w:szCs w:val="21"/>
                    </w:rPr>
                  </w:pPr>
                  <w:r>
                    <w:rPr>
                      <w:rFonts w:ascii="Times New Roman" w:hAnsi="Times New Roman"/>
                      <w:color w:val="auto"/>
                      <w:szCs w:val="21"/>
                    </w:rPr>
                    <w:t>一级</w:t>
                  </w:r>
                </w:p>
              </w:tc>
              <w:tc>
                <w:tcPr>
                  <w:tcW w:w="771"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835"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815" w:type="dxa"/>
                  <w:vAlign w:val="center"/>
                </w:tcPr>
                <w:p>
                  <w:pPr>
                    <w:jc w:val="center"/>
                    <w:rPr>
                      <w:rFonts w:ascii="Times New Roman" w:hAnsi="Times New Roman"/>
                      <w:color w:val="auto"/>
                      <w:szCs w:val="21"/>
                    </w:rPr>
                  </w:pPr>
                  <w:r>
                    <w:rPr>
                      <w:rFonts w:ascii="Times New Roman" w:hAnsi="Times New Roman"/>
                      <w:color w:val="auto"/>
                      <w:szCs w:val="21"/>
                    </w:rPr>
                    <w:t>二级</w:t>
                  </w:r>
                </w:p>
              </w:tc>
              <w:tc>
                <w:tcPr>
                  <w:tcW w:w="761" w:type="dxa"/>
                  <w:vAlign w:val="center"/>
                </w:tcPr>
                <w:p>
                  <w:pPr>
                    <w:jc w:val="center"/>
                    <w:rPr>
                      <w:rFonts w:ascii="Times New Roman" w:hAnsi="Times New Roman"/>
                      <w:color w:val="auto"/>
                      <w:szCs w:val="21"/>
                    </w:rPr>
                  </w:pPr>
                  <w:r>
                    <w:rPr>
                      <w:rFonts w:ascii="Times New Roman" w:hAnsi="Times New Roman"/>
                      <w:color w:val="auto"/>
                      <w:szCs w:val="21"/>
                    </w:rPr>
                    <w:t>三级</w:t>
                  </w:r>
                </w:p>
              </w:tc>
              <w:tc>
                <w:tcPr>
                  <w:tcW w:w="733" w:type="dxa"/>
                  <w:vAlign w:val="center"/>
                </w:tcPr>
                <w:p>
                  <w:pPr>
                    <w:jc w:val="center"/>
                    <w:rPr>
                      <w:rFonts w:ascii="Times New Roman" w:hAnsi="Times New Roman"/>
                      <w:color w:val="auto"/>
                      <w:szCs w:val="21"/>
                    </w:rPr>
                  </w:pPr>
                  <w:r>
                    <w:rPr>
                      <w:rFonts w:ascii="Times New Roman" w:hAnsi="Times New Roman"/>
                      <w:color w:val="auto"/>
                      <w:szCs w:val="21"/>
                    </w:rPr>
                    <w:t>三级</w:t>
                  </w:r>
                </w:p>
              </w:tc>
              <w:tc>
                <w:tcPr>
                  <w:tcW w:w="776" w:type="dxa"/>
                  <w:vAlign w:val="center"/>
                </w:tcPr>
                <w:p>
                  <w:pPr>
                    <w:jc w:val="center"/>
                    <w:rPr>
                      <w:rFonts w:ascii="Times New Roman" w:hAnsi="Times New Roman"/>
                      <w:color w:val="auto"/>
                      <w:szCs w:val="21"/>
                    </w:rPr>
                  </w:pPr>
                  <w:r>
                    <w:rPr>
                      <w:rFonts w:ascii="Times New Roman" w:hAnsi="Times New Roman"/>
                      <w:color w:val="auto"/>
                      <w:szCs w:val="21"/>
                    </w:rPr>
                    <w:t>三级</w:t>
                  </w:r>
                </w:p>
              </w:tc>
              <w:tc>
                <w:tcPr>
                  <w:tcW w:w="776" w:type="dxa"/>
                  <w:vAlign w:val="center"/>
                </w:tcPr>
                <w:p>
                  <w:pPr>
                    <w:jc w:val="center"/>
                    <w:rPr>
                      <w:rFonts w:ascii="Times New Roman" w:hAnsi="Times New Roman"/>
                      <w:color w:val="auto"/>
                      <w:szCs w:val="21"/>
                    </w:rPr>
                  </w:pPr>
                  <w:r>
                    <w:rPr>
                      <w:rFonts w:ascii="Times New Roman" w:hAnsi="Times New Roman"/>
                      <w:color w:val="auto"/>
                      <w:szCs w:val="21"/>
                    </w:rPr>
                    <w:t>-</w:t>
                  </w:r>
                </w:p>
              </w:tc>
              <w:tc>
                <w:tcPr>
                  <w:tcW w:w="757" w:type="dxa"/>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232" w:type="dxa"/>
                  <w:gridSpan w:val="10"/>
                  <w:vAlign w:val="center"/>
                </w:tcPr>
                <w:p>
                  <w:pPr>
                    <w:jc w:val="left"/>
                    <w:rPr>
                      <w:rFonts w:ascii="Times New Roman" w:hAnsi="Times New Roman"/>
                      <w:color w:val="auto"/>
                      <w:szCs w:val="21"/>
                    </w:rPr>
                  </w:pPr>
                  <w:r>
                    <w:rPr>
                      <w:rFonts w:ascii="Times New Roman" w:hAnsi="Times New Roman"/>
                      <w:color w:val="auto"/>
                      <w:szCs w:val="21"/>
                    </w:rPr>
                    <w:t>注：“-”表示可不开展土壤环境影响评价工作。</w:t>
                  </w:r>
                </w:p>
              </w:tc>
            </w:tr>
          </w:tbl>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建设项目占地规模分为大型（</w:t>
            </w:r>
            <w:r>
              <w:rPr>
                <w:rFonts w:hint="eastAsia" w:ascii="宋体" w:hAnsi="宋体" w:cs="宋体"/>
                <w:color w:val="auto"/>
                <w:sz w:val="24"/>
              </w:rPr>
              <w:t>≧</w:t>
            </w:r>
            <w:r>
              <w:rPr>
                <w:rFonts w:ascii="Times New Roman" w:hAnsi="Times New Roman"/>
                <w:color w:val="auto"/>
                <w:sz w:val="24"/>
              </w:rPr>
              <w:t>50hm</w:t>
            </w:r>
            <w:r>
              <w:rPr>
                <w:rFonts w:ascii="Times New Roman" w:hAnsi="Times New Roman"/>
                <w:color w:val="auto"/>
                <w:sz w:val="24"/>
                <w:vertAlign w:val="superscript"/>
              </w:rPr>
              <w:t>2</w:t>
            </w:r>
            <w:r>
              <w:rPr>
                <w:rFonts w:ascii="Times New Roman" w:hAnsi="Times New Roman"/>
                <w:color w:val="auto"/>
                <w:sz w:val="24"/>
              </w:rPr>
              <w:t>）、中型（5~50hm</w:t>
            </w:r>
            <w:r>
              <w:rPr>
                <w:rFonts w:ascii="Times New Roman" w:hAnsi="Times New Roman"/>
                <w:color w:val="auto"/>
                <w:sz w:val="24"/>
                <w:vertAlign w:val="superscript"/>
              </w:rPr>
              <w:t>2</w:t>
            </w:r>
            <w:r>
              <w:rPr>
                <w:rFonts w:ascii="Times New Roman" w:hAnsi="Times New Roman"/>
                <w:color w:val="auto"/>
                <w:sz w:val="24"/>
              </w:rPr>
              <w:t>）、小型（</w:t>
            </w:r>
            <w:r>
              <w:rPr>
                <w:rFonts w:hint="eastAsia" w:ascii="宋体" w:hAnsi="宋体" w:cs="宋体"/>
                <w:color w:val="auto"/>
                <w:sz w:val="24"/>
              </w:rPr>
              <w:t>≦</w:t>
            </w:r>
            <w:r>
              <w:rPr>
                <w:rFonts w:ascii="Times New Roman" w:hAnsi="Times New Roman"/>
                <w:color w:val="auto"/>
                <w:sz w:val="24"/>
              </w:rPr>
              <w:t>5hm</w:t>
            </w:r>
            <w:r>
              <w:rPr>
                <w:rFonts w:ascii="Times New Roman" w:hAnsi="Times New Roman"/>
                <w:color w:val="auto"/>
                <w:sz w:val="24"/>
                <w:vertAlign w:val="superscript"/>
              </w:rPr>
              <w:t>2</w:t>
            </w:r>
            <w:r>
              <w:rPr>
                <w:rFonts w:ascii="Times New Roman" w:hAnsi="Times New Roman"/>
                <w:color w:val="auto"/>
                <w:sz w:val="24"/>
              </w:rPr>
              <w:t>），项目占地为永久占地。本项目占地面积为2087.67m</w:t>
            </w:r>
            <w:r>
              <w:rPr>
                <w:rFonts w:ascii="Times New Roman" w:hAnsi="Times New Roman"/>
                <w:color w:val="auto"/>
                <w:sz w:val="24"/>
                <w:vertAlign w:val="superscript"/>
              </w:rPr>
              <w:t>2</w:t>
            </w:r>
            <w:r>
              <w:rPr>
                <w:rFonts w:ascii="Times New Roman" w:hAnsi="Times New Roman"/>
                <w:color w:val="auto"/>
                <w:sz w:val="24"/>
              </w:rPr>
              <w:t>，占地规模属于小型。</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建设项目所在地周边土壤环境敏感程度分为敏感、较敏感、不敏感，判别依据见下表：</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表1-10  敏感程度分级表</w:t>
            </w:r>
          </w:p>
          <w:tbl>
            <w:tblPr>
              <w:tblStyle w:val="26"/>
              <w:tblW w:w="923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05"/>
              <w:gridCol w:w="79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305" w:type="dxa"/>
                  <w:vAlign w:val="center"/>
                </w:tcPr>
                <w:p>
                  <w:pPr>
                    <w:jc w:val="center"/>
                    <w:rPr>
                      <w:rFonts w:ascii="Times New Roman" w:hAnsi="Times New Roman"/>
                      <w:b/>
                      <w:bCs/>
                      <w:color w:val="auto"/>
                      <w:szCs w:val="21"/>
                    </w:rPr>
                  </w:pPr>
                  <w:r>
                    <w:rPr>
                      <w:rFonts w:ascii="Times New Roman" w:hAnsi="Times New Roman"/>
                      <w:b/>
                      <w:bCs/>
                      <w:color w:val="auto"/>
                      <w:szCs w:val="21"/>
                    </w:rPr>
                    <w:t>敏感程度</w:t>
                  </w:r>
                </w:p>
              </w:tc>
              <w:tc>
                <w:tcPr>
                  <w:tcW w:w="7932" w:type="dxa"/>
                  <w:vAlign w:val="center"/>
                </w:tcPr>
                <w:p>
                  <w:pPr>
                    <w:jc w:val="center"/>
                    <w:rPr>
                      <w:rFonts w:ascii="Times New Roman" w:hAnsi="Times New Roman"/>
                      <w:b/>
                      <w:bCs/>
                      <w:color w:val="auto"/>
                      <w:szCs w:val="21"/>
                    </w:rPr>
                  </w:pPr>
                  <w:r>
                    <w:rPr>
                      <w:rFonts w:ascii="Times New Roman" w:hAnsi="Times New Roman"/>
                      <w:b/>
                      <w:bCs/>
                      <w:color w:val="auto"/>
                      <w:szCs w:val="21"/>
                    </w:rPr>
                    <w:t>判别依据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05" w:type="dxa"/>
                  <w:vAlign w:val="center"/>
                </w:tcPr>
                <w:p>
                  <w:pPr>
                    <w:jc w:val="center"/>
                    <w:rPr>
                      <w:rFonts w:ascii="Times New Roman" w:hAnsi="Times New Roman"/>
                      <w:color w:val="auto"/>
                      <w:szCs w:val="21"/>
                    </w:rPr>
                  </w:pPr>
                  <w:r>
                    <w:rPr>
                      <w:rFonts w:ascii="Times New Roman" w:hAnsi="Times New Roman"/>
                      <w:color w:val="auto"/>
                      <w:szCs w:val="21"/>
                    </w:rPr>
                    <w:t>敏感</w:t>
                  </w:r>
                </w:p>
              </w:tc>
              <w:tc>
                <w:tcPr>
                  <w:tcW w:w="7932" w:type="dxa"/>
                  <w:vAlign w:val="center"/>
                </w:tcPr>
                <w:p>
                  <w:pPr>
                    <w:jc w:val="left"/>
                    <w:rPr>
                      <w:rFonts w:ascii="Times New Roman" w:hAnsi="Times New Roman"/>
                      <w:color w:val="auto"/>
                      <w:szCs w:val="21"/>
                    </w:rPr>
                  </w:pPr>
                  <w:r>
                    <w:rPr>
                      <w:rFonts w:ascii="Times New Roman" w:hAnsi="Times New Roman"/>
                      <w:color w:val="auto"/>
                      <w:szCs w:val="21"/>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305" w:type="dxa"/>
                  <w:vAlign w:val="center"/>
                </w:tcPr>
                <w:p>
                  <w:pPr>
                    <w:jc w:val="center"/>
                    <w:rPr>
                      <w:rFonts w:ascii="Times New Roman" w:hAnsi="Times New Roman"/>
                      <w:color w:val="auto"/>
                      <w:szCs w:val="21"/>
                    </w:rPr>
                  </w:pPr>
                  <w:r>
                    <w:rPr>
                      <w:rFonts w:ascii="Times New Roman" w:hAnsi="Times New Roman"/>
                      <w:color w:val="auto"/>
                      <w:szCs w:val="21"/>
                    </w:rPr>
                    <w:t>较敏感</w:t>
                  </w:r>
                </w:p>
              </w:tc>
              <w:tc>
                <w:tcPr>
                  <w:tcW w:w="7932" w:type="dxa"/>
                  <w:vAlign w:val="center"/>
                </w:tcPr>
                <w:p>
                  <w:pPr>
                    <w:jc w:val="left"/>
                    <w:rPr>
                      <w:rFonts w:ascii="Times New Roman" w:hAnsi="Times New Roman"/>
                      <w:color w:val="auto"/>
                      <w:szCs w:val="21"/>
                    </w:rPr>
                  </w:pPr>
                  <w:r>
                    <w:rPr>
                      <w:rFonts w:ascii="Times New Roman" w:hAnsi="Times New Roman"/>
                      <w:color w:val="auto"/>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305" w:type="dxa"/>
                  <w:vAlign w:val="center"/>
                </w:tcPr>
                <w:p>
                  <w:pPr>
                    <w:jc w:val="center"/>
                    <w:rPr>
                      <w:rFonts w:ascii="Times New Roman" w:hAnsi="Times New Roman"/>
                      <w:color w:val="auto"/>
                      <w:szCs w:val="21"/>
                    </w:rPr>
                  </w:pPr>
                  <w:r>
                    <w:rPr>
                      <w:rFonts w:ascii="Times New Roman" w:hAnsi="Times New Roman"/>
                      <w:color w:val="auto"/>
                      <w:szCs w:val="21"/>
                    </w:rPr>
                    <w:t>不敏感</w:t>
                  </w:r>
                </w:p>
              </w:tc>
              <w:tc>
                <w:tcPr>
                  <w:tcW w:w="7932" w:type="dxa"/>
                  <w:vAlign w:val="center"/>
                </w:tcPr>
                <w:p>
                  <w:pPr>
                    <w:jc w:val="left"/>
                    <w:rPr>
                      <w:rFonts w:ascii="Times New Roman" w:hAnsi="Times New Roman"/>
                      <w:color w:val="auto"/>
                      <w:szCs w:val="21"/>
                    </w:rPr>
                  </w:pPr>
                  <w:r>
                    <w:rPr>
                      <w:rFonts w:ascii="Times New Roman" w:hAnsi="Times New Roman"/>
                      <w:color w:val="auto"/>
                      <w:szCs w:val="21"/>
                    </w:rPr>
                    <w:t>其他情况</w:t>
                  </w:r>
                </w:p>
              </w:tc>
            </w:tr>
          </w:tbl>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本项目周边存在其他土壤环境敏感目标，敏感程度为较敏感。但根据《环境影响评价技术导则-土壤环境（试行）》（HJ964-2018）附录A土壤环境影响评价项目类别，项目属于“环境和公共设施管理业”中“其他”，本项目土壤环境影响评价项目类别为</w:t>
            </w:r>
            <w:r>
              <w:rPr>
                <w:rFonts w:hint="eastAsia" w:ascii="宋体" w:hAnsi="宋体" w:cs="宋体"/>
                <w:color w:val="auto"/>
                <w:sz w:val="24"/>
              </w:rPr>
              <w:t>Ⅳ</w:t>
            </w:r>
            <w:r>
              <w:rPr>
                <w:rFonts w:ascii="Times New Roman" w:hAnsi="Times New Roman"/>
                <w:color w:val="auto"/>
                <w:sz w:val="24"/>
              </w:rPr>
              <w:t>类。</w:t>
            </w:r>
          </w:p>
          <w:p>
            <w:pPr>
              <w:adjustRightInd w:val="0"/>
              <w:snapToGrid w:val="0"/>
              <w:spacing w:line="360" w:lineRule="auto"/>
              <w:ind w:firstLine="482" w:firstLineChars="200"/>
              <w:textAlignment w:val="baseline"/>
              <w:rPr>
                <w:rFonts w:ascii="Times New Roman" w:hAnsi="Times New Roman"/>
                <w:b/>
                <w:color w:val="auto"/>
                <w:sz w:val="24"/>
              </w:rPr>
            </w:pPr>
            <w:r>
              <w:rPr>
                <w:rFonts w:ascii="Times New Roman" w:hAnsi="Times New Roman"/>
                <w:b/>
                <w:color w:val="auto"/>
                <w:sz w:val="24"/>
              </w:rPr>
              <w:t>6、项目概况</w:t>
            </w:r>
          </w:p>
          <w:p>
            <w:pPr>
              <w:tabs>
                <w:tab w:val="left" w:pos="8637"/>
              </w:tabs>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项目名称：宁县九岘乡鲁甲村垃圾转运站建设项目</w:t>
            </w:r>
          </w:p>
          <w:p>
            <w:pPr>
              <w:adjustRightInd w:val="0"/>
              <w:snapToGrid w:val="0"/>
              <w:spacing w:line="360" w:lineRule="auto"/>
              <w:ind w:firstLine="480" w:firstLineChars="200"/>
              <w:rPr>
                <w:rFonts w:ascii="Times New Roman" w:hAnsi="Times New Roman"/>
                <w:color w:val="auto"/>
                <w:sz w:val="24"/>
              </w:rPr>
            </w:pPr>
            <w:bookmarkStart w:id="14" w:name="OLE_LINK1"/>
            <w:r>
              <w:rPr>
                <w:rFonts w:ascii="Times New Roman" w:hAnsi="Times New Roman"/>
                <w:color w:val="auto"/>
                <w:sz w:val="24"/>
              </w:rPr>
              <w:t>建设性质</w:t>
            </w:r>
            <w:bookmarkEnd w:id="14"/>
            <w:r>
              <w:rPr>
                <w:rFonts w:ascii="Times New Roman" w:hAnsi="Times New Roman"/>
                <w:color w:val="auto"/>
                <w:sz w:val="24"/>
              </w:rPr>
              <w:t>：新建</w:t>
            </w:r>
          </w:p>
          <w:p>
            <w:pPr>
              <w:spacing w:line="360" w:lineRule="auto"/>
              <w:ind w:firstLine="480" w:firstLineChars="200"/>
              <w:rPr>
                <w:rFonts w:ascii="Times New Roman" w:hAnsi="Times New Roman"/>
                <w:color w:val="auto"/>
                <w:szCs w:val="21"/>
              </w:rPr>
            </w:pPr>
            <w:r>
              <w:rPr>
                <w:rFonts w:ascii="Times New Roman" w:hAnsi="Times New Roman"/>
                <w:color w:val="auto"/>
                <w:sz w:val="24"/>
              </w:rPr>
              <w:t>建设地点：九岘乡鲁甲村疙瘩组</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项目总投资：99.8万元</w:t>
            </w:r>
          </w:p>
          <w:p>
            <w:pPr>
              <w:spacing w:line="360" w:lineRule="auto"/>
              <w:ind w:firstLine="480" w:firstLineChars="200"/>
              <w:rPr>
                <w:rFonts w:ascii="Times New Roman" w:hAnsi="Times New Roman"/>
                <w:color w:val="auto"/>
                <w:sz w:val="24"/>
              </w:rPr>
            </w:pPr>
            <w:r>
              <w:rPr>
                <w:rFonts w:ascii="Times New Roman" w:hAnsi="Times New Roman"/>
                <w:color w:val="auto"/>
                <w:sz w:val="24"/>
              </w:rPr>
              <w:t>工作制度及劳动定员：定员2人，每天工作8小时，年运行365d。</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6.1交通地理位置</w:t>
            </w:r>
          </w:p>
          <w:p>
            <w:pPr>
              <w:pStyle w:val="2"/>
              <w:spacing w:line="360" w:lineRule="auto"/>
              <w:rPr>
                <w:rFonts w:ascii="Times New Roman" w:hAnsi="Times New Roman" w:eastAsia="宋体"/>
                <w:color w:val="auto"/>
                <w:spacing w:val="0"/>
                <w:kern w:val="2"/>
                <w:szCs w:val="24"/>
              </w:rPr>
            </w:pPr>
            <w:r>
              <w:rPr>
                <w:rFonts w:ascii="Times New Roman" w:hAnsi="Times New Roman" w:eastAsia="宋体"/>
                <w:color w:val="auto"/>
                <w:spacing w:val="0"/>
                <w:kern w:val="2"/>
                <w:szCs w:val="24"/>
              </w:rPr>
              <w:t>项目位于宁县九岘乡鲁甲村，</w:t>
            </w:r>
            <w:r>
              <w:rPr>
                <w:rFonts w:hint="eastAsia" w:ascii="Times New Roman" w:hAnsi="Times New Roman" w:eastAsia="宋体"/>
                <w:color w:val="auto"/>
                <w:spacing w:val="0"/>
                <w:kern w:val="2"/>
                <w:szCs w:val="24"/>
              </w:rPr>
              <w:t>地理坐标为北纬108°18′57.71326″，东经35°34′53.01237″。</w:t>
            </w:r>
            <w:r>
              <w:rPr>
                <w:rFonts w:ascii="Times New Roman" w:hAnsi="Times New Roman" w:eastAsia="宋体"/>
                <w:color w:val="auto"/>
                <w:spacing w:val="0"/>
                <w:kern w:val="2"/>
                <w:szCs w:val="24"/>
              </w:rPr>
              <w:t>行政隶属于宁县九岘乡管辖。宁五公路横穿宁县，满足转运站的运输需要，交通便利。交通地理位置见附图4。</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6.2项目工程内容</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项目占地面积为2087.67m</w:t>
            </w:r>
            <w:r>
              <w:rPr>
                <w:rFonts w:ascii="Times New Roman" w:hAnsi="Times New Roman"/>
                <w:color w:val="auto"/>
                <w:sz w:val="24"/>
                <w:vertAlign w:val="superscript"/>
              </w:rPr>
              <w:t>2</w:t>
            </w:r>
            <w:r>
              <w:rPr>
                <w:rFonts w:ascii="Times New Roman" w:hAnsi="Times New Roman"/>
                <w:color w:val="auto"/>
                <w:sz w:val="24"/>
              </w:rPr>
              <w:t>，本中转站设计生活垃圾转运量为4t/d，服务范围为鲁甲村、北庄村、九岘村、马洼村及九岘乡镇街道。建设垃圾中转房一座，管理用房及工具间一座。按主体工程、辅助工程、环保工程分类如表1-11所示。</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表1-11  项目工程内容一览表</w:t>
            </w:r>
          </w:p>
          <w:tbl>
            <w:tblPr>
              <w:tblStyle w:val="26"/>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77"/>
              <w:gridCol w:w="7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Align w:val="center"/>
                </w:tcPr>
                <w:p>
                  <w:pPr>
                    <w:tabs>
                      <w:tab w:val="left" w:pos="3225"/>
                    </w:tabs>
                    <w:adjustRightInd w:val="0"/>
                    <w:snapToGrid w:val="0"/>
                    <w:jc w:val="center"/>
                    <w:rPr>
                      <w:rFonts w:ascii="Times New Roman" w:hAnsi="Times New Roman"/>
                      <w:b/>
                      <w:bCs/>
                      <w:snapToGrid w:val="0"/>
                      <w:color w:val="auto"/>
                      <w:kern w:val="0"/>
                      <w:szCs w:val="21"/>
                    </w:rPr>
                  </w:pPr>
                  <w:r>
                    <w:rPr>
                      <w:rFonts w:ascii="Times New Roman" w:hAnsi="Times New Roman"/>
                      <w:b/>
                      <w:bCs/>
                      <w:snapToGrid w:val="0"/>
                      <w:color w:val="auto"/>
                      <w:kern w:val="0"/>
                      <w:szCs w:val="21"/>
                    </w:rPr>
                    <w:t>工程</w:t>
                  </w:r>
                </w:p>
              </w:tc>
              <w:tc>
                <w:tcPr>
                  <w:tcW w:w="1277" w:type="dxa"/>
                  <w:vAlign w:val="center"/>
                </w:tcPr>
                <w:p>
                  <w:pPr>
                    <w:tabs>
                      <w:tab w:val="left" w:pos="3225"/>
                    </w:tabs>
                    <w:adjustRightInd w:val="0"/>
                    <w:snapToGrid w:val="0"/>
                    <w:jc w:val="center"/>
                    <w:rPr>
                      <w:rFonts w:ascii="Times New Roman" w:hAnsi="Times New Roman"/>
                      <w:b/>
                      <w:bCs/>
                      <w:snapToGrid w:val="0"/>
                      <w:color w:val="auto"/>
                      <w:kern w:val="0"/>
                      <w:szCs w:val="21"/>
                    </w:rPr>
                  </w:pPr>
                  <w:r>
                    <w:rPr>
                      <w:rFonts w:ascii="Times New Roman" w:hAnsi="Times New Roman"/>
                      <w:b/>
                      <w:bCs/>
                      <w:snapToGrid w:val="0"/>
                      <w:color w:val="auto"/>
                      <w:kern w:val="0"/>
                      <w:szCs w:val="21"/>
                    </w:rPr>
                    <w:t>组成</w:t>
                  </w:r>
                </w:p>
              </w:tc>
              <w:tc>
                <w:tcPr>
                  <w:tcW w:w="7223" w:type="dxa"/>
                  <w:vAlign w:val="center"/>
                </w:tcPr>
                <w:p>
                  <w:pPr>
                    <w:tabs>
                      <w:tab w:val="left" w:pos="3225"/>
                    </w:tabs>
                    <w:adjustRightInd w:val="0"/>
                    <w:snapToGrid w:val="0"/>
                    <w:jc w:val="center"/>
                    <w:rPr>
                      <w:rFonts w:ascii="Times New Roman" w:hAnsi="Times New Roman"/>
                      <w:b/>
                      <w:bCs/>
                      <w:snapToGrid w:val="0"/>
                      <w:color w:val="auto"/>
                      <w:kern w:val="0"/>
                      <w:szCs w:val="21"/>
                    </w:rPr>
                  </w:pPr>
                  <w:r>
                    <w:rPr>
                      <w:rFonts w:ascii="Times New Roman" w:hAnsi="Times New Roman"/>
                      <w:b/>
                      <w:bCs/>
                      <w:snapToGrid w:val="0"/>
                      <w:color w:val="auto"/>
                      <w:kern w:val="0"/>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Align w:val="center"/>
                </w:tcPr>
                <w:p>
                  <w:pPr>
                    <w:widowControl/>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主体工程</w:t>
                  </w: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垃圾中转房</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vertAlign w:val="superscript"/>
                    </w:rPr>
                  </w:pPr>
                  <w:r>
                    <w:rPr>
                      <w:rFonts w:ascii="Times New Roman" w:hAnsi="Times New Roman"/>
                      <w:snapToGrid w:val="0"/>
                      <w:color w:val="auto"/>
                      <w:kern w:val="0"/>
                      <w:szCs w:val="21"/>
                    </w:rPr>
                    <w:t>1座，1F，框架结构，建筑面积110m</w:t>
                  </w:r>
                  <w:r>
                    <w:rPr>
                      <w:rFonts w:ascii="Times New Roman" w:hAnsi="Times New Roman"/>
                      <w:snapToGrid w:val="0"/>
                      <w:color w:val="auto"/>
                      <w:kern w:val="0"/>
                      <w:szCs w:val="21"/>
                      <w:vertAlign w:val="superscript"/>
                    </w:rPr>
                    <w:t>2</w:t>
                  </w:r>
                  <w:r>
                    <w:rPr>
                      <w:rFonts w:ascii="Times New Roman" w:hAnsi="Times New Roman"/>
                      <w:snapToGrid w:val="0"/>
                      <w:color w:val="auto"/>
                      <w:kern w:val="0"/>
                      <w:szCs w:val="21"/>
                    </w:rPr>
                    <w:t>，用于鲁甲村、北庄村、九岘村、马洼村及九岘乡镇街道生活垃圾的集中与周转。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37" w:type="dxa"/>
                  <w:vMerge w:val="restart"/>
                  <w:vAlign w:val="center"/>
                </w:tcPr>
                <w:p>
                  <w:pPr>
                    <w:widowControl/>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辅助工程</w:t>
                  </w: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管理用房及工具间</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1座，1F，框架结构，建筑面积40m</w:t>
                  </w:r>
                  <w:r>
                    <w:rPr>
                      <w:rFonts w:ascii="Times New Roman" w:hAnsi="Times New Roman"/>
                      <w:snapToGrid w:val="0"/>
                      <w:color w:val="auto"/>
                      <w:kern w:val="0"/>
                      <w:szCs w:val="21"/>
                      <w:vertAlign w:val="superscript"/>
                    </w:rPr>
                    <w:t>2</w:t>
                  </w:r>
                  <w:r>
                    <w:rPr>
                      <w:rFonts w:ascii="Times New Roman" w:hAnsi="Times New Roman"/>
                      <w:snapToGrid w:val="0"/>
                      <w:color w:val="auto"/>
                      <w:kern w:val="0"/>
                      <w:szCs w:val="21"/>
                    </w:rPr>
                    <w:t>，用于日常生活办公及工具存储。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道路及停车</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进出场道路及停车，建筑面积970m</w:t>
                  </w:r>
                  <w:r>
                    <w:rPr>
                      <w:rFonts w:ascii="Times New Roman" w:hAnsi="Times New Roman"/>
                      <w:snapToGrid w:val="0"/>
                      <w:color w:val="auto"/>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旱厕</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建筑面积为3m</w:t>
                  </w:r>
                  <w:r>
                    <w:rPr>
                      <w:rFonts w:ascii="Times New Roman" w:hAnsi="Times New Roman"/>
                      <w:snapToGrid w:val="0"/>
                      <w:color w:val="auto"/>
                      <w:kern w:val="0"/>
                      <w:szCs w:val="21"/>
                      <w:vertAlign w:val="superscript"/>
                    </w:rPr>
                    <w:t>2</w:t>
                  </w:r>
                  <w:r>
                    <w:rPr>
                      <w:rFonts w:ascii="Times New Roman" w:hAnsi="Times New Roman"/>
                      <w:snapToGrid w:val="0"/>
                      <w:color w:val="auto"/>
                      <w:kern w:val="0"/>
                      <w:szCs w:val="21"/>
                    </w:rPr>
                    <w:t xml:space="preserve"> ，位于厂区南侧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渗滤液暂存池</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设1座容积为10m</w:t>
                  </w:r>
                  <w:r>
                    <w:rPr>
                      <w:rFonts w:ascii="Times New Roman" w:hAnsi="Times New Roman"/>
                      <w:snapToGrid w:val="0"/>
                      <w:color w:val="auto"/>
                      <w:kern w:val="0"/>
                      <w:szCs w:val="21"/>
                      <w:vertAlign w:val="superscript"/>
                    </w:rPr>
                    <w:t>3</w:t>
                  </w:r>
                  <w:r>
                    <w:rPr>
                      <w:rFonts w:ascii="Times New Roman" w:hAnsi="Times New Roman"/>
                      <w:snapToGrid w:val="0"/>
                      <w:color w:val="auto"/>
                      <w:kern w:val="0"/>
                      <w:szCs w:val="21"/>
                    </w:rPr>
                    <w:t>，位于厂区西南侧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hint="eastAsia" w:ascii="Times New Roman" w:hAnsi="Times New Roman"/>
                      <w:snapToGrid w:val="0"/>
                      <w:color w:val="auto"/>
                      <w:kern w:val="0"/>
                      <w:szCs w:val="21"/>
                    </w:rPr>
                    <w:t>沉淀池</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rPr>
                  </w:pPr>
                  <w:r>
                    <w:rPr>
                      <w:rFonts w:hint="eastAsia" w:ascii="Times New Roman" w:hAnsi="Times New Roman"/>
                      <w:snapToGrid w:val="0"/>
                      <w:color w:val="auto"/>
                      <w:kern w:val="0"/>
                      <w:szCs w:val="21"/>
                    </w:rPr>
                    <w:t>设1座容积为5m</w:t>
                  </w:r>
                  <w:r>
                    <w:rPr>
                      <w:rFonts w:hint="eastAsia" w:ascii="Times New Roman" w:hAnsi="Times New Roman"/>
                      <w:snapToGrid w:val="0"/>
                      <w:color w:val="auto"/>
                      <w:kern w:val="0"/>
                      <w:szCs w:val="21"/>
                      <w:vertAlign w:val="superscript"/>
                    </w:rPr>
                    <w:t>3</w:t>
                  </w:r>
                  <w:r>
                    <w:rPr>
                      <w:rFonts w:hint="eastAsia" w:ascii="Times New Roman" w:hAnsi="Times New Roman"/>
                      <w:snapToGrid w:val="0"/>
                      <w:color w:val="auto"/>
                      <w:kern w:val="0"/>
                      <w:szCs w:val="21"/>
                    </w:rPr>
                    <w:t>的沉淀池，用于沉淀生活污水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Merge w:val="restart"/>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公用工程</w:t>
                  </w: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供水</w:t>
                  </w:r>
                </w:p>
              </w:tc>
              <w:tc>
                <w:tcPr>
                  <w:tcW w:w="7223" w:type="dxa"/>
                  <w:vAlign w:val="center"/>
                </w:tcPr>
                <w:p>
                  <w:pPr>
                    <w:widowControl/>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用水由自来水管网供给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Merge w:val="continue"/>
                  <w:vAlign w:val="center"/>
                </w:tcPr>
                <w:p>
                  <w:pPr>
                    <w:tabs>
                      <w:tab w:val="left" w:pos="3225"/>
                    </w:tabs>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排水</w:t>
                  </w:r>
                </w:p>
              </w:tc>
              <w:tc>
                <w:tcPr>
                  <w:tcW w:w="7223" w:type="dxa"/>
                  <w:vAlign w:val="center"/>
                </w:tcPr>
                <w:p>
                  <w:pPr>
                    <w:widowControl/>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厂区雨污分流，生活污水用于厂区泼洒抑尘，地面清洗、设备清洗废水进入沉淀池，渗滤液暂存于厂区渗滤液暂存池，最终运至庆阳圣元环保电力有限公司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供电</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乡镇电网供给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widowControl/>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供热</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采用电暖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Merge w:val="restart"/>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环保工程</w:t>
                  </w: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废水</w:t>
                  </w:r>
                </w:p>
              </w:tc>
              <w:tc>
                <w:tcPr>
                  <w:tcW w:w="7223" w:type="dxa"/>
                  <w:vAlign w:val="center"/>
                </w:tcPr>
                <w:p>
                  <w:pPr>
                    <w:tabs>
                      <w:tab w:val="left" w:pos="3225"/>
                    </w:tabs>
                    <w:adjustRightInd w:val="0"/>
                    <w:snapToGrid w:val="0"/>
                    <w:rPr>
                      <w:rFonts w:ascii="Times New Roman" w:hAnsi="Times New Roman"/>
                      <w:snapToGrid w:val="0"/>
                      <w:color w:val="auto"/>
                      <w:kern w:val="0"/>
                      <w:szCs w:val="21"/>
                    </w:rPr>
                  </w:pPr>
                  <w:r>
                    <w:rPr>
                      <w:rFonts w:hint="eastAsia" w:ascii="宋体" w:hAnsi="宋体" w:cs="宋体"/>
                      <w:snapToGrid w:val="0"/>
                      <w:color w:val="auto"/>
                      <w:kern w:val="0"/>
                      <w:szCs w:val="21"/>
                    </w:rPr>
                    <w:t>①</w:t>
                  </w:r>
                  <w:r>
                    <w:rPr>
                      <w:rFonts w:ascii="Times New Roman" w:hAnsi="Times New Roman"/>
                      <w:snapToGrid w:val="0"/>
                      <w:color w:val="auto"/>
                      <w:kern w:val="0"/>
                      <w:szCs w:val="21"/>
                    </w:rPr>
                    <w:t>生活污水</w:t>
                  </w:r>
                  <w:r>
                    <w:rPr>
                      <w:rFonts w:hint="eastAsia" w:ascii="Times New Roman" w:hAnsi="Times New Roman"/>
                      <w:snapToGrid w:val="0"/>
                      <w:color w:val="auto"/>
                      <w:kern w:val="0"/>
                      <w:szCs w:val="21"/>
                    </w:rPr>
                    <w:t>经沉淀</w:t>
                  </w:r>
                  <w:r>
                    <w:rPr>
                      <w:rFonts w:ascii="Times New Roman" w:hAnsi="Times New Roman"/>
                      <w:snapToGrid w:val="0"/>
                      <w:color w:val="auto"/>
                      <w:kern w:val="0"/>
                      <w:szCs w:val="21"/>
                    </w:rPr>
                    <w:t>用于厂区泼洒抑尘。</w:t>
                  </w:r>
                </w:p>
                <w:p>
                  <w:pPr>
                    <w:tabs>
                      <w:tab w:val="left" w:pos="3225"/>
                    </w:tabs>
                    <w:adjustRightInd w:val="0"/>
                    <w:snapToGrid w:val="0"/>
                    <w:rPr>
                      <w:rFonts w:ascii="Times New Roman" w:hAnsi="Times New Roman"/>
                      <w:snapToGrid w:val="0"/>
                      <w:color w:val="auto"/>
                      <w:kern w:val="0"/>
                      <w:szCs w:val="21"/>
                    </w:rPr>
                  </w:pPr>
                  <w:r>
                    <w:rPr>
                      <w:rFonts w:hint="eastAsia" w:ascii="宋体" w:hAnsi="宋体" w:cs="宋体"/>
                      <w:snapToGrid w:val="0"/>
                      <w:color w:val="auto"/>
                      <w:kern w:val="0"/>
                      <w:szCs w:val="21"/>
                    </w:rPr>
                    <w:t>②</w:t>
                  </w:r>
                  <w:r>
                    <w:rPr>
                      <w:rFonts w:ascii="Times New Roman" w:hAnsi="Times New Roman"/>
                      <w:snapToGrid w:val="0"/>
                      <w:color w:val="auto"/>
                      <w:kern w:val="0"/>
                      <w:szCs w:val="21"/>
                    </w:rPr>
                    <w:t>地面冲洗水、设备清洗水进入、垃圾渗滤液进入厂区1座10m</w:t>
                  </w:r>
                  <w:r>
                    <w:rPr>
                      <w:rFonts w:ascii="Times New Roman" w:hAnsi="Times New Roman"/>
                      <w:snapToGrid w:val="0"/>
                      <w:color w:val="auto"/>
                      <w:kern w:val="0"/>
                      <w:szCs w:val="21"/>
                      <w:vertAlign w:val="superscript"/>
                    </w:rPr>
                    <w:t>3</w:t>
                  </w:r>
                  <w:r>
                    <w:rPr>
                      <w:rFonts w:ascii="Times New Roman" w:hAnsi="Times New Roman"/>
                      <w:snapToGrid w:val="0"/>
                      <w:color w:val="auto"/>
                      <w:kern w:val="0"/>
                      <w:szCs w:val="21"/>
                    </w:rPr>
                    <w:t>渗滤液暂存池，渗滤液暂存池做防渗措施，专用桶收集后由车运至宁县污水处理厂，运输周期为7d/次。</w:t>
                  </w:r>
                </w:p>
                <w:p>
                  <w:pPr>
                    <w:pStyle w:val="2"/>
                    <w:spacing w:line="240" w:lineRule="auto"/>
                    <w:ind w:firstLine="0"/>
                    <w:jc w:val="left"/>
                    <w:rPr>
                      <w:rFonts w:ascii="Times New Roman" w:hAnsi="Times New Roman" w:eastAsia="宋体"/>
                      <w:color w:val="auto"/>
                      <w:sz w:val="21"/>
                      <w:szCs w:val="21"/>
                    </w:rPr>
                  </w:pPr>
                  <w:r>
                    <w:rPr>
                      <w:rFonts w:hint="eastAsia" w:ascii="宋体" w:hAnsi="宋体" w:eastAsia="宋体" w:cs="宋体"/>
                      <w:snapToGrid w:val="0"/>
                      <w:color w:val="auto"/>
                      <w:spacing w:val="0"/>
                      <w:kern w:val="0"/>
                      <w:sz w:val="21"/>
                      <w:szCs w:val="21"/>
                    </w:rPr>
                    <w:t>③</w:t>
                  </w:r>
                  <w:r>
                    <w:rPr>
                      <w:rFonts w:ascii="Times New Roman" w:hAnsi="Times New Roman" w:eastAsia="宋体"/>
                      <w:snapToGrid w:val="0"/>
                      <w:color w:val="auto"/>
                      <w:spacing w:val="0"/>
                      <w:kern w:val="0"/>
                      <w:sz w:val="21"/>
                      <w:szCs w:val="21"/>
                    </w:rPr>
                    <w:t>1座防渗旱厕，定期清掏用于周边居民堆肥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废气</w:t>
                  </w:r>
                </w:p>
              </w:tc>
              <w:tc>
                <w:tcPr>
                  <w:tcW w:w="7223" w:type="dxa"/>
                  <w:vAlign w:val="center"/>
                </w:tcPr>
                <w:p>
                  <w:pPr>
                    <w:tabs>
                      <w:tab w:val="left" w:pos="3225"/>
                    </w:tabs>
                    <w:adjustRightInd w:val="0"/>
                    <w:snapToGrid w:val="0"/>
                    <w:jc w:val="left"/>
                    <w:rPr>
                      <w:rFonts w:ascii="Times New Roman" w:hAnsi="Times New Roman"/>
                      <w:snapToGrid w:val="0"/>
                      <w:color w:val="auto"/>
                      <w:kern w:val="0"/>
                      <w:szCs w:val="21"/>
                    </w:rPr>
                  </w:pPr>
                  <w:r>
                    <w:rPr>
                      <w:rFonts w:hint="eastAsia" w:ascii="宋体" w:hAnsi="宋体" w:cs="宋体"/>
                      <w:snapToGrid w:val="0"/>
                      <w:color w:val="auto"/>
                      <w:kern w:val="0"/>
                      <w:szCs w:val="21"/>
                    </w:rPr>
                    <w:t>①</w:t>
                  </w:r>
                  <w:r>
                    <w:rPr>
                      <w:rFonts w:ascii="Times New Roman" w:hAnsi="Times New Roman"/>
                      <w:snapToGrid w:val="0"/>
                      <w:color w:val="auto"/>
                      <w:kern w:val="0"/>
                      <w:szCs w:val="21"/>
                    </w:rPr>
                    <w:t>卸料、压缩过程中产生的恶臭气体</w:t>
                  </w:r>
                  <w:r>
                    <w:rPr>
                      <w:rFonts w:hint="eastAsia" w:ascii="Times New Roman" w:hAnsi="Times New Roman"/>
                      <w:snapToGrid w:val="0"/>
                      <w:color w:val="auto"/>
                      <w:kern w:val="0"/>
                      <w:szCs w:val="21"/>
                    </w:rPr>
                    <w:t>通过</w:t>
                  </w:r>
                  <w:r>
                    <w:rPr>
                      <w:rFonts w:ascii="Times New Roman" w:hAnsi="Times New Roman"/>
                      <w:snapToGrid w:val="0"/>
                      <w:color w:val="auto"/>
                      <w:kern w:val="0"/>
                      <w:szCs w:val="21"/>
                    </w:rPr>
                    <w:t>喷洒</w:t>
                  </w:r>
                  <w:r>
                    <w:rPr>
                      <w:rFonts w:hint="eastAsia" w:ascii="Times New Roman" w:hAnsi="Times New Roman"/>
                      <w:snapToGrid w:val="0"/>
                      <w:color w:val="auto"/>
                      <w:kern w:val="0"/>
                      <w:szCs w:val="21"/>
                    </w:rPr>
                    <w:t>雾化</w:t>
                  </w:r>
                  <w:r>
                    <w:rPr>
                      <w:rFonts w:ascii="Times New Roman" w:hAnsi="Times New Roman"/>
                      <w:snapToGrid w:val="0"/>
                      <w:color w:val="auto"/>
                      <w:kern w:val="0"/>
                      <w:szCs w:val="21"/>
                    </w:rPr>
                    <w:t>生物除臭剂</w:t>
                  </w:r>
                  <w:r>
                    <w:rPr>
                      <w:rFonts w:hint="eastAsia" w:ascii="Times New Roman" w:hAnsi="Times New Roman"/>
                      <w:snapToGrid w:val="0"/>
                      <w:color w:val="auto"/>
                      <w:kern w:val="0"/>
                      <w:szCs w:val="21"/>
                    </w:rPr>
                    <w:t>抑臭</w:t>
                  </w:r>
                </w:p>
                <w:p>
                  <w:pPr>
                    <w:tabs>
                      <w:tab w:val="left" w:pos="3225"/>
                    </w:tabs>
                    <w:adjustRightInd w:val="0"/>
                    <w:snapToGrid w:val="0"/>
                    <w:jc w:val="left"/>
                    <w:rPr>
                      <w:rFonts w:ascii="Times New Roman" w:hAnsi="Times New Roman"/>
                      <w:snapToGrid w:val="0"/>
                      <w:color w:val="auto"/>
                      <w:kern w:val="0"/>
                      <w:szCs w:val="21"/>
                    </w:rPr>
                  </w:pPr>
                  <w:r>
                    <w:rPr>
                      <w:rFonts w:hint="eastAsia" w:ascii="宋体" w:hAnsi="宋体" w:cs="宋体"/>
                      <w:snapToGrid w:val="0"/>
                      <w:color w:val="auto"/>
                      <w:kern w:val="0"/>
                      <w:szCs w:val="21"/>
                    </w:rPr>
                    <w:t>②</w:t>
                  </w:r>
                  <w:r>
                    <w:rPr>
                      <w:rFonts w:ascii="Times New Roman" w:hAnsi="Times New Roman"/>
                      <w:snapToGrid w:val="0"/>
                      <w:color w:val="auto"/>
                      <w:kern w:val="0"/>
                      <w:szCs w:val="21"/>
                    </w:rPr>
                    <w:t>渗滤池加盖封闭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噪声</w:t>
                  </w:r>
                </w:p>
              </w:tc>
              <w:tc>
                <w:tcPr>
                  <w:tcW w:w="7223"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设备加减震垫、厂房隔声；运输过程避开道路高峰时期，避免高音扰民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dxa"/>
                  <w:vMerge w:val="continue"/>
                  <w:vAlign w:val="center"/>
                </w:tcPr>
                <w:p>
                  <w:pPr>
                    <w:widowControl/>
                    <w:adjustRightInd w:val="0"/>
                    <w:snapToGrid w:val="0"/>
                    <w:jc w:val="center"/>
                    <w:rPr>
                      <w:rFonts w:ascii="Times New Roman" w:hAnsi="Times New Roman"/>
                      <w:snapToGrid w:val="0"/>
                      <w:color w:val="auto"/>
                      <w:kern w:val="0"/>
                      <w:szCs w:val="21"/>
                    </w:rPr>
                  </w:pPr>
                </w:p>
              </w:tc>
              <w:tc>
                <w:tcPr>
                  <w:tcW w:w="1277" w:type="dxa"/>
                  <w:vAlign w:val="center"/>
                </w:tcPr>
                <w:p>
                  <w:pPr>
                    <w:tabs>
                      <w:tab w:val="left" w:pos="3225"/>
                    </w:tabs>
                    <w:adjustRightInd w:val="0"/>
                    <w:snapToGrid w:val="0"/>
                    <w:jc w:val="center"/>
                    <w:rPr>
                      <w:rFonts w:ascii="Times New Roman" w:hAnsi="Times New Roman"/>
                      <w:snapToGrid w:val="0"/>
                      <w:color w:val="auto"/>
                      <w:kern w:val="0"/>
                      <w:szCs w:val="21"/>
                    </w:rPr>
                  </w:pPr>
                  <w:r>
                    <w:rPr>
                      <w:rFonts w:ascii="Times New Roman" w:hAnsi="Times New Roman"/>
                      <w:snapToGrid w:val="0"/>
                      <w:color w:val="auto"/>
                      <w:kern w:val="0"/>
                      <w:szCs w:val="21"/>
                    </w:rPr>
                    <w:t>固废</w:t>
                  </w:r>
                </w:p>
              </w:tc>
              <w:tc>
                <w:tcPr>
                  <w:tcW w:w="7223" w:type="dxa"/>
                  <w:vAlign w:val="center"/>
                </w:tcPr>
                <w:p>
                  <w:pPr>
                    <w:tabs>
                      <w:tab w:val="left" w:pos="3225"/>
                    </w:tabs>
                    <w:adjustRightInd w:val="0"/>
                    <w:snapToGrid w:val="0"/>
                    <w:jc w:val="left"/>
                    <w:rPr>
                      <w:rFonts w:ascii="Times New Roman" w:hAnsi="Times New Roman"/>
                      <w:snapToGrid w:val="0"/>
                      <w:color w:val="auto"/>
                      <w:kern w:val="0"/>
                      <w:szCs w:val="21"/>
                    </w:rPr>
                  </w:pPr>
                  <w:r>
                    <w:rPr>
                      <w:rFonts w:ascii="Times New Roman" w:hAnsi="Times New Roman"/>
                      <w:snapToGrid w:val="0"/>
                      <w:color w:val="auto"/>
                      <w:kern w:val="0"/>
                      <w:szCs w:val="21"/>
                    </w:rPr>
                    <w:t>生活垃圾存放于厂区，与外运的生活垃圾一同压缩处理，</w:t>
                  </w:r>
                  <w:r>
                    <w:rPr>
                      <w:rFonts w:hint="eastAsia" w:ascii="Times New Roman" w:hAnsi="Times New Roman"/>
                      <w:snapToGrid w:val="0"/>
                      <w:color w:val="auto"/>
                      <w:kern w:val="0"/>
                      <w:szCs w:val="21"/>
                    </w:rPr>
                    <w:t>运至庆阳圣元环保电力有限公司，</w:t>
                  </w:r>
                  <w:r>
                    <w:rPr>
                      <w:rFonts w:ascii="Times New Roman" w:hAnsi="Times New Roman"/>
                      <w:snapToGrid w:val="0"/>
                      <w:color w:val="auto"/>
                      <w:kern w:val="0"/>
                      <w:szCs w:val="21"/>
                    </w:rPr>
                    <w:t>运输周期为1d/次</w:t>
                  </w:r>
                  <w:r>
                    <w:rPr>
                      <w:rFonts w:hint="eastAsia" w:ascii="Times New Roman" w:hAnsi="Times New Roman"/>
                      <w:snapToGrid w:val="0"/>
                      <w:color w:val="auto"/>
                      <w:kern w:val="0"/>
                      <w:szCs w:val="21"/>
                    </w:rPr>
                    <w:t>；</w:t>
                  </w:r>
                </w:p>
                <w:p>
                  <w:pPr>
                    <w:tabs>
                      <w:tab w:val="left" w:pos="3225"/>
                    </w:tabs>
                    <w:adjustRightInd w:val="0"/>
                    <w:snapToGrid w:val="0"/>
                    <w:jc w:val="left"/>
                    <w:rPr>
                      <w:rFonts w:ascii="Times New Roman" w:hAnsi="Times New Roman"/>
                      <w:snapToGrid w:val="0"/>
                      <w:color w:val="auto"/>
                      <w:kern w:val="0"/>
                      <w:szCs w:val="21"/>
                    </w:rPr>
                  </w:pPr>
                  <w:r>
                    <w:rPr>
                      <w:rFonts w:ascii="Times New Roman" w:hAnsi="Times New Roman"/>
                      <w:snapToGrid w:val="0"/>
                      <w:color w:val="auto"/>
                      <w:kern w:val="0"/>
                      <w:szCs w:val="21"/>
                    </w:rPr>
                    <w:t>设备、运输车辆在外保修，厂区不产生的维修固废</w:t>
                  </w:r>
                </w:p>
              </w:tc>
            </w:tr>
          </w:tbl>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7、原辅材料</w:t>
            </w:r>
          </w:p>
          <w:p>
            <w:pPr>
              <w:pStyle w:val="2"/>
              <w:spacing w:line="360" w:lineRule="auto"/>
              <w:rPr>
                <w:rFonts w:ascii="Times New Roman" w:hAnsi="Times New Roman" w:eastAsia="宋体"/>
                <w:color w:val="auto"/>
                <w:spacing w:val="0"/>
                <w:kern w:val="2"/>
                <w:szCs w:val="24"/>
              </w:rPr>
            </w:pPr>
            <w:r>
              <w:rPr>
                <w:rFonts w:ascii="Times New Roman" w:hAnsi="Times New Roman" w:eastAsia="宋体"/>
                <w:color w:val="auto"/>
                <w:spacing w:val="0"/>
                <w:kern w:val="2"/>
                <w:szCs w:val="24"/>
              </w:rPr>
              <w:t>本项目的原辅材料具体见表1-12。</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表1-12   原辅材料一览表</w:t>
            </w:r>
          </w:p>
          <w:tbl>
            <w:tblPr>
              <w:tblStyle w:val="26"/>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560"/>
              <w:gridCol w:w="1701"/>
              <w:gridCol w:w="1842"/>
              <w:gridCol w:w="1620"/>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jc w:val="center"/>
                    <w:rPr>
                      <w:rFonts w:ascii="Times New Roman" w:hAnsi="Times New Roman"/>
                      <w:color w:val="auto"/>
                    </w:rPr>
                  </w:pPr>
                  <w:r>
                    <w:rPr>
                      <w:rFonts w:ascii="Times New Roman" w:hAnsi="Times New Roman"/>
                      <w:color w:val="auto"/>
                    </w:rPr>
                    <w:t>序号</w:t>
                  </w:r>
                </w:p>
              </w:tc>
              <w:tc>
                <w:tcPr>
                  <w:tcW w:w="1560" w:type="dxa"/>
                  <w:vAlign w:val="center"/>
                </w:tcPr>
                <w:p>
                  <w:pPr>
                    <w:jc w:val="center"/>
                    <w:rPr>
                      <w:rFonts w:ascii="Times New Roman" w:hAnsi="Times New Roman"/>
                      <w:color w:val="auto"/>
                    </w:rPr>
                  </w:pPr>
                  <w:r>
                    <w:rPr>
                      <w:rFonts w:ascii="Times New Roman" w:hAnsi="Times New Roman"/>
                      <w:color w:val="auto"/>
                    </w:rPr>
                    <w:t>名称</w:t>
                  </w:r>
                </w:p>
              </w:tc>
              <w:tc>
                <w:tcPr>
                  <w:tcW w:w="1701" w:type="dxa"/>
                  <w:vAlign w:val="center"/>
                </w:tcPr>
                <w:p>
                  <w:pPr>
                    <w:jc w:val="center"/>
                    <w:rPr>
                      <w:rFonts w:ascii="Times New Roman" w:hAnsi="Times New Roman"/>
                      <w:color w:val="auto"/>
                    </w:rPr>
                  </w:pPr>
                  <w:r>
                    <w:rPr>
                      <w:rFonts w:ascii="Times New Roman" w:hAnsi="Times New Roman"/>
                      <w:color w:val="auto"/>
                    </w:rPr>
                    <w:t>年使用量（t/a）</w:t>
                  </w:r>
                </w:p>
              </w:tc>
              <w:tc>
                <w:tcPr>
                  <w:tcW w:w="1842" w:type="dxa"/>
                </w:tcPr>
                <w:p>
                  <w:pPr>
                    <w:jc w:val="center"/>
                    <w:rPr>
                      <w:rFonts w:ascii="Times New Roman" w:hAnsi="Times New Roman"/>
                      <w:color w:val="auto"/>
                    </w:rPr>
                  </w:pPr>
                  <w:r>
                    <w:rPr>
                      <w:rFonts w:ascii="Times New Roman" w:hAnsi="Times New Roman"/>
                      <w:color w:val="auto"/>
                    </w:rPr>
                    <w:t>最大存贮量（t/a）</w:t>
                  </w:r>
                </w:p>
              </w:tc>
              <w:tc>
                <w:tcPr>
                  <w:tcW w:w="1620" w:type="dxa"/>
                </w:tcPr>
                <w:p>
                  <w:pPr>
                    <w:jc w:val="center"/>
                    <w:rPr>
                      <w:rFonts w:ascii="Times New Roman" w:hAnsi="Times New Roman"/>
                      <w:color w:val="auto"/>
                    </w:rPr>
                  </w:pPr>
                  <w:r>
                    <w:rPr>
                      <w:rFonts w:ascii="Times New Roman" w:hAnsi="Times New Roman"/>
                      <w:color w:val="auto"/>
                    </w:rPr>
                    <w:t>存贮方式</w:t>
                  </w:r>
                </w:p>
              </w:tc>
              <w:tc>
                <w:tcPr>
                  <w:tcW w:w="1493" w:type="dxa"/>
                  <w:vAlign w:val="center"/>
                </w:tcPr>
                <w:p>
                  <w:pPr>
                    <w:jc w:val="center"/>
                    <w:rPr>
                      <w:rFonts w:ascii="Times New Roman" w:hAnsi="Times New Roman"/>
                      <w:color w:val="auto"/>
                    </w:rPr>
                  </w:pPr>
                  <w:r>
                    <w:rPr>
                      <w:rFonts w:ascii="Times New Roman" w:hAnsi="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jc w:val="center"/>
                    <w:rPr>
                      <w:rFonts w:ascii="Times New Roman" w:hAnsi="Times New Roman"/>
                      <w:color w:val="auto"/>
                    </w:rPr>
                  </w:pPr>
                  <w:r>
                    <w:rPr>
                      <w:rFonts w:ascii="Times New Roman" w:hAnsi="Times New Roman"/>
                      <w:color w:val="auto"/>
                    </w:rPr>
                    <w:t>1</w:t>
                  </w:r>
                </w:p>
              </w:tc>
              <w:tc>
                <w:tcPr>
                  <w:tcW w:w="1560" w:type="dxa"/>
                  <w:vAlign w:val="center"/>
                </w:tcPr>
                <w:p>
                  <w:pPr>
                    <w:jc w:val="center"/>
                    <w:rPr>
                      <w:rFonts w:ascii="Times New Roman" w:hAnsi="Times New Roman"/>
                      <w:color w:val="auto"/>
                    </w:rPr>
                  </w:pPr>
                  <w:r>
                    <w:rPr>
                      <w:rFonts w:ascii="Times New Roman" w:hAnsi="Times New Roman"/>
                      <w:color w:val="auto"/>
                    </w:rPr>
                    <w:t>除臭剂</w:t>
                  </w:r>
                </w:p>
              </w:tc>
              <w:tc>
                <w:tcPr>
                  <w:tcW w:w="1701" w:type="dxa"/>
                  <w:vAlign w:val="center"/>
                </w:tcPr>
                <w:p>
                  <w:pPr>
                    <w:jc w:val="center"/>
                    <w:rPr>
                      <w:rFonts w:ascii="Times New Roman" w:hAnsi="Times New Roman"/>
                      <w:color w:val="auto"/>
                    </w:rPr>
                  </w:pPr>
                  <w:r>
                    <w:rPr>
                      <w:rFonts w:ascii="Times New Roman" w:hAnsi="Times New Roman"/>
                      <w:color w:val="auto"/>
                    </w:rPr>
                    <w:t>0.3</w:t>
                  </w:r>
                </w:p>
              </w:tc>
              <w:tc>
                <w:tcPr>
                  <w:tcW w:w="1842" w:type="dxa"/>
                  <w:vAlign w:val="center"/>
                </w:tcPr>
                <w:p>
                  <w:pPr>
                    <w:jc w:val="center"/>
                    <w:rPr>
                      <w:rFonts w:ascii="Times New Roman" w:hAnsi="Times New Roman"/>
                      <w:color w:val="auto"/>
                    </w:rPr>
                  </w:pPr>
                  <w:r>
                    <w:rPr>
                      <w:rFonts w:ascii="Times New Roman" w:hAnsi="Times New Roman"/>
                      <w:color w:val="auto"/>
                    </w:rPr>
                    <w:t>0.3</w:t>
                  </w:r>
                </w:p>
              </w:tc>
              <w:tc>
                <w:tcPr>
                  <w:tcW w:w="1620" w:type="dxa"/>
                </w:tcPr>
                <w:p>
                  <w:pPr>
                    <w:jc w:val="center"/>
                    <w:rPr>
                      <w:rFonts w:ascii="Times New Roman" w:hAnsi="Times New Roman"/>
                      <w:color w:val="auto"/>
                    </w:rPr>
                  </w:pPr>
                  <w:r>
                    <w:rPr>
                      <w:rFonts w:ascii="Times New Roman" w:hAnsi="Times New Roman"/>
                      <w:color w:val="auto"/>
                    </w:rPr>
                    <w:t>桶装</w:t>
                  </w:r>
                </w:p>
              </w:tc>
              <w:tc>
                <w:tcPr>
                  <w:tcW w:w="1493" w:type="dxa"/>
                  <w:vAlign w:val="center"/>
                </w:tcPr>
                <w:p>
                  <w:pPr>
                    <w:jc w:val="center"/>
                    <w:rPr>
                      <w:rFonts w:ascii="Times New Roman" w:hAnsi="Times New Roman"/>
                      <w:color w:val="auto"/>
                    </w:rPr>
                  </w:pPr>
                  <w:r>
                    <w:rPr>
                      <w:rFonts w:ascii="Times New Roman" w:hAnsi="Times New Roman"/>
                      <w:color w:val="auto"/>
                    </w:rPr>
                    <w:t>植物性除臭剂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jc w:val="center"/>
                    <w:rPr>
                      <w:rFonts w:ascii="Times New Roman" w:hAnsi="Times New Roman"/>
                      <w:color w:val="auto"/>
                    </w:rPr>
                  </w:pPr>
                  <w:r>
                    <w:rPr>
                      <w:rFonts w:ascii="Times New Roman" w:hAnsi="Times New Roman"/>
                      <w:color w:val="auto"/>
                    </w:rPr>
                    <w:t>2</w:t>
                  </w:r>
                </w:p>
              </w:tc>
              <w:tc>
                <w:tcPr>
                  <w:tcW w:w="1560" w:type="dxa"/>
                  <w:vAlign w:val="center"/>
                </w:tcPr>
                <w:p>
                  <w:pPr>
                    <w:jc w:val="center"/>
                    <w:rPr>
                      <w:rFonts w:ascii="Times New Roman" w:hAnsi="Times New Roman"/>
                      <w:color w:val="auto"/>
                    </w:rPr>
                  </w:pPr>
                  <w:r>
                    <w:rPr>
                      <w:rFonts w:ascii="Times New Roman" w:hAnsi="Times New Roman"/>
                      <w:color w:val="auto"/>
                    </w:rPr>
                    <w:t>灭蚊蝇剂</w:t>
                  </w:r>
                </w:p>
              </w:tc>
              <w:tc>
                <w:tcPr>
                  <w:tcW w:w="1701" w:type="dxa"/>
                  <w:vAlign w:val="center"/>
                </w:tcPr>
                <w:p>
                  <w:pPr>
                    <w:jc w:val="center"/>
                    <w:rPr>
                      <w:rFonts w:ascii="Times New Roman" w:hAnsi="Times New Roman"/>
                      <w:color w:val="auto"/>
                    </w:rPr>
                  </w:pPr>
                  <w:r>
                    <w:rPr>
                      <w:rFonts w:ascii="Times New Roman" w:hAnsi="Times New Roman"/>
                      <w:color w:val="auto"/>
                    </w:rPr>
                    <w:t>0.3</w:t>
                  </w:r>
                </w:p>
              </w:tc>
              <w:tc>
                <w:tcPr>
                  <w:tcW w:w="1842" w:type="dxa"/>
                  <w:vAlign w:val="center"/>
                </w:tcPr>
                <w:p>
                  <w:pPr>
                    <w:jc w:val="center"/>
                    <w:rPr>
                      <w:rFonts w:ascii="Times New Roman" w:hAnsi="Times New Roman"/>
                      <w:color w:val="auto"/>
                    </w:rPr>
                  </w:pPr>
                  <w:r>
                    <w:rPr>
                      <w:rFonts w:ascii="Times New Roman" w:hAnsi="Times New Roman"/>
                      <w:color w:val="auto"/>
                    </w:rPr>
                    <w:t>0.3</w:t>
                  </w:r>
                </w:p>
              </w:tc>
              <w:tc>
                <w:tcPr>
                  <w:tcW w:w="1620" w:type="dxa"/>
                </w:tcPr>
                <w:p>
                  <w:pPr>
                    <w:jc w:val="center"/>
                    <w:rPr>
                      <w:rFonts w:ascii="Times New Roman" w:hAnsi="Times New Roman"/>
                      <w:color w:val="auto"/>
                    </w:rPr>
                  </w:pPr>
                  <w:r>
                    <w:rPr>
                      <w:rFonts w:ascii="Times New Roman" w:hAnsi="Times New Roman"/>
                      <w:color w:val="auto"/>
                    </w:rPr>
                    <w:t>瓶装</w:t>
                  </w:r>
                </w:p>
              </w:tc>
              <w:tc>
                <w:tcPr>
                  <w:tcW w:w="1493" w:type="dxa"/>
                  <w:vAlign w:val="center"/>
                </w:tcPr>
                <w:p>
                  <w:pPr>
                    <w:jc w:val="center"/>
                    <w:rPr>
                      <w:rFonts w:ascii="Times New Roman" w:hAnsi="Times New Roman"/>
                      <w:color w:val="auto"/>
                    </w:rPr>
                  </w:pPr>
                  <w:r>
                    <w:rPr>
                      <w:rFonts w:ascii="Times New Roman" w:hAnsi="Times New Roman"/>
                      <w:color w:val="auto"/>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jc w:val="center"/>
                    <w:rPr>
                      <w:rFonts w:ascii="Times New Roman" w:hAnsi="Times New Roman"/>
                      <w:color w:val="auto"/>
                    </w:rPr>
                  </w:pPr>
                  <w:r>
                    <w:rPr>
                      <w:rFonts w:ascii="Times New Roman" w:hAnsi="Times New Roman"/>
                      <w:color w:val="auto"/>
                    </w:rPr>
                    <w:t>3</w:t>
                  </w:r>
                </w:p>
              </w:tc>
              <w:tc>
                <w:tcPr>
                  <w:tcW w:w="1560" w:type="dxa"/>
                  <w:vAlign w:val="center"/>
                </w:tcPr>
                <w:p>
                  <w:pPr>
                    <w:jc w:val="center"/>
                    <w:rPr>
                      <w:rFonts w:ascii="Times New Roman" w:hAnsi="Times New Roman"/>
                      <w:color w:val="auto"/>
                    </w:rPr>
                  </w:pPr>
                  <w:r>
                    <w:rPr>
                      <w:rFonts w:ascii="Times New Roman" w:hAnsi="Times New Roman"/>
                      <w:color w:val="auto"/>
                    </w:rPr>
                    <w:t>新鲜水</w:t>
                  </w:r>
                </w:p>
              </w:tc>
              <w:tc>
                <w:tcPr>
                  <w:tcW w:w="1701" w:type="dxa"/>
                  <w:vAlign w:val="center"/>
                </w:tcPr>
                <w:p>
                  <w:pPr>
                    <w:jc w:val="center"/>
                    <w:rPr>
                      <w:rFonts w:ascii="Times New Roman" w:hAnsi="Times New Roman"/>
                      <w:color w:val="auto"/>
                    </w:rPr>
                  </w:pPr>
                  <w:r>
                    <w:rPr>
                      <w:rFonts w:ascii="Times New Roman" w:hAnsi="Times New Roman"/>
                      <w:color w:val="auto"/>
                    </w:rPr>
                    <w:t>300</w:t>
                  </w:r>
                </w:p>
              </w:tc>
              <w:tc>
                <w:tcPr>
                  <w:tcW w:w="1842" w:type="dxa"/>
                </w:tcPr>
                <w:p>
                  <w:pPr>
                    <w:jc w:val="center"/>
                    <w:rPr>
                      <w:rFonts w:ascii="Times New Roman" w:hAnsi="Times New Roman"/>
                      <w:color w:val="auto"/>
                    </w:rPr>
                  </w:pPr>
                  <w:r>
                    <w:rPr>
                      <w:rFonts w:ascii="Times New Roman" w:hAnsi="Times New Roman"/>
                      <w:color w:val="auto"/>
                    </w:rPr>
                    <w:t>/</w:t>
                  </w:r>
                </w:p>
              </w:tc>
              <w:tc>
                <w:tcPr>
                  <w:tcW w:w="1620" w:type="dxa"/>
                </w:tcPr>
                <w:p>
                  <w:pPr>
                    <w:jc w:val="center"/>
                    <w:rPr>
                      <w:rFonts w:ascii="Times New Roman" w:hAnsi="Times New Roman"/>
                      <w:color w:val="auto"/>
                    </w:rPr>
                  </w:pPr>
                  <w:r>
                    <w:rPr>
                      <w:rFonts w:ascii="Times New Roman" w:hAnsi="Times New Roman"/>
                      <w:color w:val="auto"/>
                    </w:rPr>
                    <w:t>/</w:t>
                  </w:r>
                </w:p>
              </w:tc>
              <w:tc>
                <w:tcPr>
                  <w:tcW w:w="1493" w:type="dxa"/>
                  <w:vAlign w:val="center"/>
                </w:tcPr>
                <w:p>
                  <w:pPr>
                    <w:jc w:val="center"/>
                    <w:rPr>
                      <w:rFonts w:ascii="Times New Roman" w:hAnsi="Times New Roman"/>
                      <w:color w:val="auto"/>
                    </w:rPr>
                  </w:pPr>
                  <w:r>
                    <w:rPr>
                      <w:rFonts w:ascii="Times New Roman" w:hAnsi="Times New Roman"/>
                      <w:color w:val="auto"/>
                    </w:rPr>
                    <w:t>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jc w:val="center"/>
                    <w:rPr>
                      <w:rFonts w:ascii="Times New Roman" w:hAnsi="Times New Roman"/>
                      <w:color w:val="auto"/>
                    </w:rPr>
                  </w:pPr>
                  <w:r>
                    <w:rPr>
                      <w:rFonts w:ascii="Times New Roman" w:hAnsi="Times New Roman"/>
                      <w:color w:val="auto"/>
                    </w:rPr>
                    <w:t>4</w:t>
                  </w:r>
                </w:p>
              </w:tc>
              <w:tc>
                <w:tcPr>
                  <w:tcW w:w="1560" w:type="dxa"/>
                  <w:vAlign w:val="center"/>
                </w:tcPr>
                <w:p>
                  <w:pPr>
                    <w:jc w:val="center"/>
                    <w:rPr>
                      <w:rFonts w:ascii="Times New Roman" w:hAnsi="Times New Roman"/>
                      <w:color w:val="auto"/>
                    </w:rPr>
                  </w:pPr>
                  <w:r>
                    <w:rPr>
                      <w:rFonts w:ascii="Times New Roman" w:hAnsi="Times New Roman"/>
                      <w:color w:val="auto"/>
                    </w:rPr>
                    <w:t>电</w:t>
                  </w:r>
                </w:p>
              </w:tc>
              <w:tc>
                <w:tcPr>
                  <w:tcW w:w="1701" w:type="dxa"/>
                  <w:vAlign w:val="center"/>
                </w:tcPr>
                <w:p>
                  <w:pPr>
                    <w:jc w:val="center"/>
                    <w:rPr>
                      <w:rFonts w:ascii="Times New Roman" w:hAnsi="Times New Roman"/>
                      <w:color w:val="auto"/>
                    </w:rPr>
                  </w:pPr>
                  <w:r>
                    <w:rPr>
                      <w:rFonts w:ascii="Times New Roman" w:hAnsi="Times New Roman"/>
                      <w:color w:val="auto"/>
                    </w:rPr>
                    <w:t>3000kw/a</w:t>
                  </w:r>
                </w:p>
              </w:tc>
              <w:tc>
                <w:tcPr>
                  <w:tcW w:w="1842" w:type="dxa"/>
                </w:tcPr>
                <w:p>
                  <w:pPr>
                    <w:jc w:val="center"/>
                    <w:rPr>
                      <w:rFonts w:ascii="Times New Roman" w:hAnsi="Times New Roman"/>
                      <w:color w:val="auto"/>
                    </w:rPr>
                  </w:pPr>
                  <w:r>
                    <w:rPr>
                      <w:rFonts w:ascii="Times New Roman" w:hAnsi="Times New Roman"/>
                      <w:color w:val="auto"/>
                    </w:rPr>
                    <w:t>/</w:t>
                  </w:r>
                </w:p>
              </w:tc>
              <w:tc>
                <w:tcPr>
                  <w:tcW w:w="1620" w:type="dxa"/>
                </w:tcPr>
                <w:p>
                  <w:pPr>
                    <w:jc w:val="center"/>
                    <w:rPr>
                      <w:rFonts w:ascii="Times New Roman" w:hAnsi="Times New Roman"/>
                      <w:color w:val="auto"/>
                    </w:rPr>
                  </w:pPr>
                  <w:r>
                    <w:rPr>
                      <w:rFonts w:ascii="Times New Roman" w:hAnsi="Times New Roman"/>
                      <w:color w:val="auto"/>
                    </w:rPr>
                    <w:t>/</w:t>
                  </w:r>
                </w:p>
              </w:tc>
              <w:tc>
                <w:tcPr>
                  <w:tcW w:w="1493" w:type="dxa"/>
                  <w:vAlign w:val="center"/>
                </w:tcPr>
                <w:p>
                  <w:pPr>
                    <w:jc w:val="center"/>
                    <w:rPr>
                      <w:rFonts w:ascii="Times New Roman" w:hAnsi="Times New Roman"/>
                      <w:color w:val="auto"/>
                    </w:rPr>
                  </w:pPr>
                  <w:r>
                    <w:rPr>
                      <w:rFonts w:ascii="Times New Roman" w:hAnsi="Times New Roman"/>
                      <w:color w:val="auto"/>
                    </w:rPr>
                    <w:t>变电所</w:t>
                  </w:r>
                </w:p>
              </w:tc>
            </w:tr>
          </w:tbl>
          <w:p>
            <w:pPr>
              <w:adjustRightInd w:val="0"/>
              <w:snapToGrid w:val="0"/>
              <w:ind w:firstLine="420" w:firstLineChars="200"/>
              <w:rPr>
                <w:rFonts w:ascii="Times New Roman" w:hAnsi="Times New Roman"/>
                <w:color w:val="auto"/>
                <w:szCs w:val="21"/>
              </w:rPr>
            </w:pPr>
            <w:r>
              <w:rPr>
                <w:rFonts w:ascii="Times New Roman" w:hAnsi="Times New Roman"/>
                <w:color w:val="auto"/>
                <w:szCs w:val="21"/>
              </w:rPr>
              <w:t>注：植物性除臭剂是采用具有完全自主知识产权的设备和工艺提取植物中天然砂全出后因子精制而成。不添加任何化学物质，对人体、牲畜无任何毒副作用，使用安全。具有抑菌、杀菌和除臭功效，对氨、硫化氢等恶臭有良好</w:t>
            </w:r>
            <w:r>
              <w:rPr>
                <w:rFonts w:hint="eastAsia" w:ascii="Times New Roman" w:hAnsi="Times New Roman"/>
                <w:color w:val="auto"/>
                <w:szCs w:val="21"/>
                <w:lang w:eastAsia="zh-CN"/>
              </w:rPr>
              <w:t>的</w:t>
            </w:r>
            <w:r>
              <w:rPr>
                <w:rFonts w:ascii="Times New Roman" w:hAnsi="Times New Roman"/>
                <w:color w:val="auto"/>
                <w:szCs w:val="21"/>
              </w:rPr>
              <w:t>分解去除效果，可用于食品医药、固废处理、污水处理等行业的空气净化与异味处理。</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8、主要设备及技术经济指标</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本项目主要设备及经济技术指标具体见表1-13。</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表1-13  主要设备及技术经济指标一览表</w:t>
            </w:r>
          </w:p>
          <w:tbl>
            <w:tblPr>
              <w:tblStyle w:val="26"/>
              <w:tblW w:w="9071" w:type="dxa"/>
              <w:jc w:val="center"/>
              <w:tblLayout w:type="fixed"/>
              <w:tblCellMar>
                <w:top w:w="15" w:type="dxa"/>
                <w:left w:w="15" w:type="dxa"/>
                <w:bottom w:w="15" w:type="dxa"/>
                <w:right w:w="15" w:type="dxa"/>
              </w:tblCellMar>
            </w:tblPr>
            <w:tblGrid>
              <w:gridCol w:w="832"/>
              <w:gridCol w:w="476"/>
              <w:gridCol w:w="2104"/>
              <w:gridCol w:w="2257"/>
              <w:gridCol w:w="1031"/>
              <w:gridCol w:w="2371"/>
            </w:tblGrid>
            <w:tr>
              <w:tblPrEx>
                <w:tblCellMar>
                  <w:top w:w="15" w:type="dxa"/>
                  <w:left w:w="15" w:type="dxa"/>
                  <w:bottom w:w="15" w:type="dxa"/>
                  <w:right w:w="15" w:type="dxa"/>
                </w:tblCellMar>
              </w:tblPrEx>
              <w:trPr>
                <w:trHeight w:val="23" w:hRule="atLeast"/>
                <w:jc w:val="center"/>
              </w:trPr>
              <w:tc>
                <w:tcPr>
                  <w:tcW w:w="9071" w:type="dxa"/>
                  <w:gridSpan w:val="6"/>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主要生产设备</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序号</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设备名称</w:t>
                  </w:r>
                </w:p>
              </w:tc>
              <w:tc>
                <w:tcPr>
                  <w:tcW w:w="2257"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设备型号</w:t>
                  </w: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数量（台）</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备注</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1</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rPr>
                  </w:pPr>
                  <w:r>
                    <w:rPr>
                      <w:rFonts w:ascii="Times New Roman" w:hAnsi="Times New Roman"/>
                      <w:color w:val="auto"/>
                    </w:rPr>
                    <w:t>一体式垃圾转运站压缩装置</w:t>
                  </w:r>
                </w:p>
              </w:tc>
              <w:tc>
                <w:tcPr>
                  <w:tcW w:w="22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rPr>
                  </w:pPr>
                  <w:r>
                    <w:rPr>
                      <w:rFonts w:ascii="Times New Roman" w:hAnsi="Times New Roman"/>
                      <w:color w:val="auto"/>
                      <w:szCs w:val="21"/>
                    </w:rPr>
                    <w:t>DL-YD025</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rPr>
                  </w:pPr>
                  <w:r>
                    <w:rPr>
                      <w:rFonts w:ascii="Times New Roman" w:hAnsi="Times New Roman"/>
                      <w:color w:val="auto"/>
                      <w:szCs w:val="21"/>
                    </w:rPr>
                    <w:t>1</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9071" w:type="dxa"/>
                  <w:gridSpan w:val="6"/>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主要经济技术指标</w:t>
                  </w:r>
                </w:p>
              </w:tc>
            </w:tr>
            <w:tr>
              <w:tblPrEx>
                <w:tblCellMar>
                  <w:top w:w="15" w:type="dxa"/>
                  <w:left w:w="15" w:type="dxa"/>
                  <w:bottom w:w="15" w:type="dxa"/>
                  <w:right w:w="15" w:type="dxa"/>
                </w:tblCellMar>
              </w:tblPrEx>
              <w:trPr>
                <w:trHeight w:val="23" w:hRule="atLeast"/>
                <w:jc w:val="center"/>
              </w:trPr>
              <w:tc>
                <w:tcPr>
                  <w:tcW w:w="3412"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项目</w:t>
                  </w:r>
                </w:p>
              </w:tc>
              <w:tc>
                <w:tcPr>
                  <w:tcW w:w="22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单位</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数值</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1</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征地面积</w:t>
                  </w:r>
                </w:p>
              </w:tc>
              <w:tc>
                <w:tcPr>
                  <w:tcW w:w="22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m</w:t>
                  </w:r>
                  <w:r>
                    <w:rPr>
                      <w:rFonts w:ascii="Times New Roman" w:hAnsi="Times New Roman"/>
                      <w:color w:val="auto"/>
                      <w:szCs w:val="21"/>
                      <w:vertAlign w:val="superscript"/>
                    </w:rPr>
                    <w:t>2</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2087.67</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2</w:t>
                  </w:r>
                </w:p>
              </w:tc>
              <w:tc>
                <w:tcPr>
                  <w:tcW w:w="476" w:type="dxa"/>
                  <w:vMerge w:val="restart"/>
                  <w:tcBorders>
                    <w:top w:val="single" w:color="000000" w:sz="4" w:space="0"/>
                    <w:left w:val="single" w:color="000000"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其中</w:t>
                  </w:r>
                </w:p>
              </w:tc>
              <w:tc>
                <w:tcPr>
                  <w:tcW w:w="2104"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建设用地</w:t>
                  </w:r>
                </w:p>
              </w:tc>
              <w:tc>
                <w:tcPr>
                  <w:tcW w:w="22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olor w:val="auto"/>
                    </w:rPr>
                  </w:pPr>
                  <w:r>
                    <w:rPr>
                      <w:rFonts w:ascii="Times New Roman" w:hAnsi="Times New Roman"/>
                      <w:color w:val="auto"/>
                      <w:szCs w:val="21"/>
                    </w:rPr>
                    <w:t>m</w:t>
                  </w:r>
                  <w:r>
                    <w:rPr>
                      <w:rFonts w:ascii="Times New Roman" w:hAnsi="Times New Roman"/>
                      <w:color w:val="auto"/>
                      <w:szCs w:val="21"/>
                      <w:vertAlign w:val="superscript"/>
                    </w:rPr>
                    <w:t>2</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1455.74</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3</w:t>
                  </w:r>
                </w:p>
              </w:tc>
              <w:tc>
                <w:tcPr>
                  <w:tcW w:w="476" w:type="dxa"/>
                  <w:vMerge w:val="continue"/>
                  <w:tcBorders>
                    <w:left w:val="single" w:color="000000" w:sz="4" w:space="0"/>
                    <w:bottom w:val="single" w:color="000000" w:sz="4" w:space="0"/>
                    <w:right w:val="single" w:color="auto" w:sz="4" w:space="0"/>
                  </w:tcBorders>
                  <w:vAlign w:val="center"/>
                </w:tcPr>
                <w:p>
                  <w:pPr>
                    <w:jc w:val="center"/>
                    <w:rPr>
                      <w:rFonts w:ascii="Times New Roman" w:hAnsi="Times New Roman"/>
                      <w:color w:val="auto"/>
                      <w:szCs w:val="21"/>
                    </w:rPr>
                  </w:pPr>
                </w:p>
              </w:tc>
              <w:tc>
                <w:tcPr>
                  <w:tcW w:w="2104"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发展预留空间</w:t>
                  </w:r>
                </w:p>
              </w:tc>
              <w:tc>
                <w:tcPr>
                  <w:tcW w:w="22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olor w:val="auto"/>
                    </w:rPr>
                  </w:pPr>
                  <w:r>
                    <w:rPr>
                      <w:rFonts w:ascii="Times New Roman" w:hAnsi="Times New Roman"/>
                      <w:color w:val="auto"/>
                      <w:szCs w:val="21"/>
                    </w:rPr>
                    <w:t>m</w:t>
                  </w:r>
                  <w:r>
                    <w:rPr>
                      <w:rFonts w:ascii="Times New Roman" w:hAnsi="Times New Roman"/>
                      <w:color w:val="auto"/>
                      <w:szCs w:val="21"/>
                      <w:vertAlign w:val="superscript"/>
                    </w:rPr>
                    <w:t>2</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631.93</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4</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总建筑面积</w:t>
                  </w:r>
                </w:p>
              </w:tc>
              <w:tc>
                <w:tcPr>
                  <w:tcW w:w="22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olor w:val="auto"/>
                    </w:rPr>
                  </w:pPr>
                  <w:r>
                    <w:rPr>
                      <w:rFonts w:ascii="Times New Roman" w:hAnsi="Times New Roman"/>
                      <w:color w:val="auto"/>
                      <w:szCs w:val="21"/>
                    </w:rPr>
                    <w:t>m</w:t>
                  </w:r>
                  <w:r>
                    <w:rPr>
                      <w:rFonts w:ascii="Times New Roman" w:hAnsi="Times New Roman"/>
                      <w:color w:val="auto"/>
                      <w:szCs w:val="21"/>
                      <w:vertAlign w:val="superscript"/>
                    </w:rPr>
                    <w:t>2</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113</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5</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垃圾转运站</w:t>
                  </w:r>
                </w:p>
              </w:tc>
              <w:tc>
                <w:tcPr>
                  <w:tcW w:w="22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olor w:val="auto"/>
                    </w:rPr>
                  </w:pPr>
                  <w:r>
                    <w:rPr>
                      <w:rFonts w:ascii="Times New Roman" w:hAnsi="Times New Roman"/>
                      <w:color w:val="auto"/>
                      <w:szCs w:val="21"/>
                    </w:rPr>
                    <w:t>m</w:t>
                  </w:r>
                  <w:r>
                    <w:rPr>
                      <w:rFonts w:ascii="Times New Roman" w:hAnsi="Times New Roman"/>
                      <w:color w:val="auto"/>
                      <w:szCs w:val="21"/>
                      <w:vertAlign w:val="superscript"/>
                    </w:rPr>
                    <w:t>2</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110</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6</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旱厕</w:t>
                  </w:r>
                </w:p>
              </w:tc>
              <w:tc>
                <w:tcPr>
                  <w:tcW w:w="22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m</w:t>
                  </w:r>
                  <w:r>
                    <w:rPr>
                      <w:rFonts w:ascii="Times New Roman" w:hAnsi="Times New Roman"/>
                      <w:color w:val="auto"/>
                      <w:szCs w:val="21"/>
                      <w:vertAlign w:val="superscript"/>
                    </w:rPr>
                    <w:t>2</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3</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7</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容积率</w:t>
                  </w:r>
                </w:p>
              </w:tc>
              <w:tc>
                <w:tcPr>
                  <w:tcW w:w="22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0.08</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8</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建筑密度</w:t>
                  </w:r>
                </w:p>
              </w:tc>
              <w:tc>
                <w:tcPr>
                  <w:tcW w:w="22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8.15</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9</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绿地率</w:t>
                  </w:r>
                </w:p>
              </w:tc>
              <w:tc>
                <w:tcPr>
                  <w:tcW w:w="22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30</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r>
              <w:tblPrEx>
                <w:tblCellMar>
                  <w:top w:w="15" w:type="dxa"/>
                  <w:left w:w="15" w:type="dxa"/>
                  <w:bottom w:w="15" w:type="dxa"/>
                  <w:right w:w="15" w:type="dxa"/>
                </w:tblCellMar>
              </w:tblPrEx>
              <w:trPr>
                <w:trHeight w:val="23" w:hRule="atLeast"/>
                <w:jc w:val="center"/>
              </w:trPr>
              <w:tc>
                <w:tcPr>
                  <w:tcW w:w="832"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10</w:t>
                  </w:r>
                </w:p>
              </w:tc>
              <w:tc>
                <w:tcPr>
                  <w:tcW w:w="258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停车位</w:t>
                  </w:r>
                </w:p>
              </w:tc>
              <w:tc>
                <w:tcPr>
                  <w:tcW w:w="22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个</w:t>
                  </w:r>
                </w:p>
              </w:tc>
              <w:tc>
                <w:tcPr>
                  <w:tcW w:w="103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auto"/>
                      <w:szCs w:val="21"/>
                    </w:rPr>
                  </w:pPr>
                  <w:r>
                    <w:rPr>
                      <w:rFonts w:ascii="Times New Roman" w:hAnsi="Times New Roman"/>
                      <w:color w:val="auto"/>
                      <w:szCs w:val="21"/>
                    </w:rPr>
                    <w:t>1</w:t>
                  </w:r>
                </w:p>
              </w:tc>
              <w:tc>
                <w:tcPr>
                  <w:tcW w:w="23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w:t>
                  </w:r>
                </w:p>
              </w:tc>
            </w:tr>
          </w:tbl>
          <w:p>
            <w:pPr>
              <w:spacing w:beforeLines="50" w:line="360" w:lineRule="auto"/>
              <w:ind w:firstLine="482" w:firstLineChars="200"/>
              <w:rPr>
                <w:rFonts w:ascii="Times New Roman" w:hAnsi="Times New Roman"/>
                <w:b/>
                <w:color w:val="auto"/>
                <w:sz w:val="24"/>
              </w:rPr>
            </w:pPr>
            <w:r>
              <w:rPr>
                <w:rFonts w:ascii="Times New Roman" w:hAnsi="Times New Roman"/>
                <w:b/>
                <w:color w:val="auto"/>
                <w:sz w:val="24"/>
              </w:rPr>
              <w:t>9、平面布置</w:t>
            </w:r>
          </w:p>
          <w:p>
            <w:pPr>
              <w:pStyle w:val="2"/>
              <w:spacing w:line="360" w:lineRule="auto"/>
              <w:rPr>
                <w:rFonts w:ascii="Times New Roman" w:hAnsi="Times New Roman" w:eastAsia="宋体"/>
                <w:color w:val="auto"/>
              </w:rPr>
            </w:pPr>
            <w:r>
              <w:rPr>
                <w:rFonts w:ascii="Times New Roman" w:hAnsi="Times New Roman" w:eastAsia="宋体"/>
                <w:color w:val="auto"/>
              </w:rPr>
              <w:t>项目位于九岘乡鲁甲村疙瘩组，拟建项目近似矩形区域。出入口位于厂区北侧，门房紧挨出入口，转运站位于厂区中间，渗滤液暂存池、沉淀池位于厂区西南侧，在西南角设旱厕一座，厂区四周设绿化带。平面布置图见附图5。</w:t>
            </w:r>
          </w:p>
          <w:p>
            <w:pPr>
              <w:spacing w:beforeLines="50" w:line="360" w:lineRule="auto"/>
              <w:ind w:firstLine="482" w:firstLineChars="200"/>
              <w:rPr>
                <w:rFonts w:ascii="Times New Roman" w:hAnsi="Times New Roman"/>
                <w:b/>
                <w:color w:val="auto"/>
                <w:sz w:val="24"/>
              </w:rPr>
            </w:pPr>
            <w:r>
              <w:rPr>
                <w:rFonts w:ascii="Times New Roman" w:hAnsi="Times New Roman"/>
                <w:b/>
                <w:color w:val="auto"/>
                <w:sz w:val="24"/>
              </w:rPr>
              <w:t>10、公用工程</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（一）给排水</w:t>
            </w:r>
          </w:p>
          <w:p>
            <w:pPr>
              <w:autoSpaceDE w:val="0"/>
              <w:autoSpaceDN w:val="0"/>
              <w:adjustRightInd w:val="0"/>
              <w:snapToGrid w:val="0"/>
              <w:spacing w:line="360" w:lineRule="auto"/>
              <w:ind w:firstLine="482"/>
              <w:rPr>
                <w:rFonts w:ascii="Times New Roman" w:hAnsi="Times New Roman"/>
                <w:bCs/>
                <w:color w:val="auto"/>
                <w:sz w:val="24"/>
                <w:lang w:val="zh-CN"/>
              </w:rPr>
            </w:pPr>
            <w:r>
              <w:rPr>
                <w:rFonts w:ascii="Times New Roman" w:hAnsi="Times New Roman"/>
                <w:color w:val="auto"/>
                <w:sz w:val="24"/>
              </w:rPr>
              <w:t>（1）给水</w:t>
            </w:r>
            <w:r>
              <w:rPr>
                <w:rFonts w:ascii="Times New Roman" w:hAnsi="Times New Roman"/>
                <w:bCs/>
                <w:color w:val="auto"/>
                <w:sz w:val="24"/>
                <w:lang w:val="zh-CN"/>
              </w:rPr>
              <w:t>：项目用水包括生产用水与生活用水。</w:t>
            </w:r>
          </w:p>
          <w:p>
            <w:pPr>
              <w:autoSpaceDE w:val="0"/>
              <w:autoSpaceDN w:val="0"/>
              <w:adjustRightInd w:val="0"/>
              <w:snapToGrid w:val="0"/>
              <w:spacing w:line="360" w:lineRule="auto"/>
              <w:ind w:firstLine="482"/>
              <w:rPr>
                <w:rFonts w:ascii="Times New Roman" w:hAnsi="Times New Roman"/>
                <w:bCs/>
                <w:color w:val="auto"/>
                <w:sz w:val="24"/>
              </w:rPr>
            </w:pPr>
            <w:r>
              <w:rPr>
                <w:rFonts w:ascii="Times New Roman" w:hAnsi="Times New Roman"/>
                <w:bCs/>
                <w:color w:val="auto"/>
                <w:sz w:val="24"/>
              </w:rPr>
              <w:t>生产用水：根据建设单位提供资料，项目地面及设备冲洗用水量为0.2m</w:t>
            </w:r>
            <w:r>
              <w:rPr>
                <w:rFonts w:ascii="Times New Roman" w:hAnsi="Times New Roman"/>
                <w:bCs/>
                <w:color w:val="auto"/>
                <w:sz w:val="24"/>
                <w:vertAlign w:val="superscript"/>
              </w:rPr>
              <w:t>3</w:t>
            </w:r>
            <w:r>
              <w:rPr>
                <w:rFonts w:ascii="Times New Roman" w:hAnsi="Times New Roman"/>
                <w:bCs/>
                <w:color w:val="auto"/>
                <w:sz w:val="24"/>
              </w:rPr>
              <w:t>/d，73m</w:t>
            </w:r>
            <w:r>
              <w:rPr>
                <w:rFonts w:ascii="Times New Roman" w:hAnsi="Times New Roman"/>
                <w:bCs/>
                <w:color w:val="auto"/>
                <w:sz w:val="24"/>
                <w:vertAlign w:val="superscript"/>
              </w:rPr>
              <w:t>3</w:t>
            </w:r>
            <w:r>
              <w:rPr>
                <w:rFonts w:ascii="Times New Roman" w:hAnsi="Times New Roman"/>
                <w:bCs/>
                <w:color w:val="auto"/>
                <w:sz w:val="24"/>
              </w:rPr>
              <w:t>/a。</w:t>
            </w:r>
          </w:p>
          <w:p>
            <w:pPr>
              <w:autoSpaceDE w:val="0"/>
              <w:autoSpaceDN w:val="0"/>
              <w:adjustRightInd w:val="0"/>
              <w:snapToGrid w:val="0"/>
              <w:spacing w:line="360" w:lineRule="auto"/>
              <w:ind w:firstLine="482"/>
              <w:rPr>
                <w:rFonts w:ascii="Times New Roman" w:hAnsi="Times New Roman"/>
                <w:color w:val="auto"/>
                <w:sz w:val="24"/>
              </w:rPr>
            </w:pPr>
            <w:r>
              <w:rPr>
                <w:rFonts w:ascii="Times New Roman" w:hAnsi="Times New Roman"/>
                <w:bCs/>
                <w:color w:val="auto"/>
                <w:sz w:val="24"/>
              </w:rPr>
              <w:t>生活用水：</w:t>
            </w:r>
            <w:r>
              <w:rPr>
                <w:rFonts w:ascii="Times New Roman" w:hAnsi="Times New Roman"/>
                <w:color w:val="auto"/>
                <w:sz w:val="24"/>
              </w:rPr>
              <w:t>项目职工人数3人，无住宿。生活用水按40L/人</w:t>
            </w:r>
            <w:r>
              <w:rPr>
                <w:rFonts w:ascii="Times New Roman" w:hAnsi="Times New Roman" w:eastAsia="方正姚体"/>
                <w:color w:val="auto"/>
                <w:sz w:val="24"/>
              </w:rPr>
              <w:t>·</w:t>
            </w:r>
            <w:r>
              <w:rPr>
                <w:rFonts w:ascii="Times New Roman" w:hAnsi="Times New Roman"/>
                <w:color w:val="auto"/>
                <w:sz w:val="24"/>
              </w:rPr>
              <w:t>d计算，年工作天数365天，则该项目职工生活用水量为0.12m</w:t>
            </w:r>
            <w:r>
              <w:rPr>
                <w:rFonts w:ascii="Times New Roman" w:hAnsi="Times New Roman"/>
                <w:color w:val="auto"/>
                <w:sz w:val="24"/>
                <w:vertAlign w:val="superscript"/>
              </w:rPr>
              <w:t>3</w:t>
            </w:r>
            <w:r>
              <w:rPr>
                <w:rFonts w:ascii="Times New Roman" w:hAnsi="Times New Roman"/>
                <w:color w:val="auto"/>
                <w:sz w:val="24"/>
              </w:rPr>
              <w:t>/d（43.8m</w:t>
            </w:r>
            <w:r>
              <w:rPr>
                <w:rFonts w:ascii="Times New Roman" w:hAnsi="Times New Roman"/>
                <w:color w:val="auto"/>
                <w:sz w:val="24"/>
                <w:vertAlign w:val="superscript"/>
              </w:rPr>
              <w:t>3</w:t>
            </w:r>
            <w:r>
              <w:rPr>
                <w:rFonts w:ascii="Times New Roman" w:hAnsi="Times New Roman"/>
                <w:color w:val="auto"/>
                <w:sz w:val="24"/>
              </w:rPr>
              <w:t>/a）。</w:t>
            </w:r>
          </w:p>
          <w:p>
            <w:pPr>
              <w:pStyle w:val="61"/>
              <w:shd w:val="clear" w:color="auto" w:fill="FFFFFF"/>
              <w:spacing w:before="0" w:beforeAutospacing="0" w:after="0" w:afterAutospacing="0" w:line="360" w:lineRule="auto"/>
              <w:ind w:firstLine="480" w:firstLineChars="200"/>
              <w:rPr>
                <w:rFonts w:ascii="Times New Roman" w:hAnsi="Times New Roman" w:cs="Times New Roman"/>
                <w:color w:val="auto"/>
              </w:rPr>
            </w:pPr>
            <w:r>
              <w:rPr>
                <w:rFonts w:ascii="Times New Roman" w:hAnsi="Times New Roman" w:cs="Times New Roman"/>
                <w:color w:val="auto"/>
              </w:rPr>
              <w:t>综上，项目营运期总用水量共计135.05m</w:t>
            </w:r>
            <w:r>
              <w:rPr>
                <w:rFonts w:ascii="Times New Roman" w:hAnsi="Times New Roman" w:cs="Times New Roman"/>
                <w:color w:val="auto"/>
                <w:vertAlign w:val="superscript"/>
              </w:rPr>
              <w:t>3</w:t>
            </w:r>
            <w:r>
              <w:rPr>
                <w:rFonts w:ascii="Times New Roman" w:hAnsi="Times New Roman" w:cs="Times New Roman"/>
                <w:color w:val="auto"/>
              </w:rPr>
              <w:t>/a。</w:t>
            </w:r>
          </w:p>
          <w:p>
            <w:pPr>
              <w:spacing w:line="360" w:lineRule="auto"/>
              <w:ind w:firstLine="480" w:firstLineChars="200"/>
              <w:rPr>
                <w:rFonts w:ascii="Times New Roman" w:hAnsi="Times New Roman"/>
                <w:color w:val="auto"/>
                <w:sz w:val="24"/>
              </w:rPr>
            </w:pPr>
            <w:r>
              <w:rPr>
                <w:rFonts w:ascii="Times New Roman" w:hAnsi="Times New Roman"/>
                <w:color w:val="auto"/>
                <w:sz w:val="24"/>
              </w:rPr>
              <w:t>（2）排水</w:t>
            </w:r>
          </w:p>
          <w:p>
            <w:pPr>
              <w:spacing w:line="360" w:lineRule="auto"/>
              <w:ind w:firstLine="480" w:firstLineChars="200"/>
              <w:rPr>
                <w:rFonts w:ascii="Times New Roman" w:hAnsi="Times New Roman"/>
                <w:color w:val="auto"/>
                <w:sz w:val="24"/>
                <w:lang w:val="zh-CN"/>
              </w:rPr>
            </w:pPr>
            <w:r>
              <w:rPr>
                <w:rFonts w:ascii="Times New Roman" w:hAnsi="Times New Roman"/>
                <w:color w:val="auto"/>
                <w:sz w:val="24"/>
                <w:lang w:val="zh-CN"/>
              </w:rPr>
              <w:t>项目区实行雨污分流，废水主要为生产废水和职工生活污水。</w:t>
            </w:r>
          </w:p>
          <w:p>
            <w:pPr>
              <w:spacing w:line="360" w:lineRule="auto"/>
              <w:ind w:firstLine="480" w:firstLineChars="200"/>
              <w:rPr>
                <w:rFonts w:ascii="Times New Roman" w:hAnsi="Times New Roman"/>
                <w:color w:val="auto"/>
                <w:sz w:val="24"/>
              </w:rPr>
            </w:pPr>
            <w:r>
              <w:rPr>
                <w:rFonts w:ascii="Times New Roman" w:hAnsi="Times New Roman"/>
                <w:color w:val="auto"/>
                <w:sz w:val="24"/>
              </w:rPr>
              <w:t>员工生活污水按用水量的80%计，生活污水产生量35t/a。生活污水成份简单，</w:t>
            </w:r>
            <w:r>
              <w:rPr>
                <w:rFonts w:hint="eastAsia" w:ascii="Times New Roman" w:hAnsi="Times New Roman"/>
                <w:color w:val="auto"/>
                <w:sz w:val="24"/>
              </w:rPr>
              <w:t>经沉淀池沉淀后</w:t>
            </w:r>
            <w:r>
              <w:rPr>
                <w:rFonts w:ascii="Times New Roman" w:hAnsi="Times New Roman"/>
                <w:color w:val="auto"/>
                <w:sz w:val="24"/>
              </w:rPr>
              <w:t>用于厂区泼洒抑尘</w:t>
            </w:r>
            <w:r>
              <w:rPr>
                <w:rFonts w:ascii="Times New Roman" w:hAnsi="Times New Roman"/>
                <w:color w:val="auto"/>
                <w:sz w:val="24"/>
                <w:lang w:val="zh-CN"/>
              </w:rPr>
              <w:t>。</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生活垃圾渗滤液处理技术规范》第3.1.6“垃圾中转站渗沥液的日产生量应考虑垃圾压缩装置的类型（水平或垂直）、压缩的程度、垃圾的主要组成成分、垃圾的密度等因素。渗沥液日产生量可按垃圾量的5％～10％（重量比）计；降雨量较少的地区垃圾渗沥液日产生量可按垃圾量的3％～8％（重量比）计。本项目取4%计算渗滤液的产生量，产生量为（0.16t/d）58.4t/a。暂存过程中存在蒸发损耗，蒸发损耗按5%，实际产生的渗滤液为（0.15t/d）54.75 t/a</w:t>
            </w:r>
          </w:p>
          <w:p>
            <w:pPr>
              <w:spacing w:line="360" w:lineRule="auto"/>
              <w:ind w:firstLine="480" w:firstLineChars="200"/>
              <w:rPr>
                <w:rFonts w:ascii="Times New Roman" w:hAnsi="Times New Roman"/>
                <w:color w:val="auto"/>
                <w:sz w:val="24"/>
                <w:lang w:val="zh-CN"/>
              </w:rPr>
            </w:pPr>
            <w:r>
              <w:rPr>
                <w:rFonts w:ascii="Times New Roman" w:hAnsi="Times New Roman"/>
                <w:color w:val="auto"/>
                <w:sz w:val="24"/>
              </w:rPr>
              <w:t>地面及设备冲洗废水按用水量的80%计，废水产生量58.4t/a。地面及设备冲洗废水、渗滤液经暂存池收集后由罐车运至宁县污水处理厂。</w:t>
            </w:r>
          </w:p>
          <w:p>
            <w:pPr>
              <w:pStyle w:val="2"/>
              <w:rPr>
                <w:rFonts w:ascii="Times New Roman" w:hAnsi="Times New Roman" w:eastAsia="宋体"/>
                <w:color w:val="auto"/>
                <w:spacing w:val="0"/>
                <w:kern w:val="2"/>
                <w:szCs w:val="24"/>
              </w:rPr>
            </w:pPr>
            <w:r>
              <w:rPr>
                <w:rFonts w:ascii="Times New Roman" w:hAnsi="Times New Roman" w:eastAsia="宋体"/>
                <w:color w:val="auto"/>
                <w:spacing w:val="0"/>
                <w:kern w:val="2"/>
                <w:szCs w:val="24"/>
              </w:rPr>
              <w:t>项目水平衡表见表1-15，水平衡图见图</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表1-15  项目水平衡一览表</w:t>
            </w:r>
          </w:p>
          <w:tbl>
            <w:tblPr>
              <w:tblStyle w:val="26"/>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1"/>
              <w:gridCol w:w="1321"/>
              <w:gridCol w:w="1321"/>
              <w:gridCol w:w="1319"/>
              <w:gridCol w:w="1319"/>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用水单元</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新鲜用水m</w:t>
                  </w:r>
                  <w:r>
                    <w:rPr>
                      <w:rFonts w:ascii="Times New Roman" w:hAnsi="Times New Roman"/>
                      <w:color w:val="auto"/>
                      <w:szCs w:val="21"/>
                      <w:vertAlign w:val="superscript"/>
                    </w:rPr>
                    <w:t>3</w:t>
                  </w:r>
                  <w:r>
                    <w:rPr>
                      <w:rFonts w:ascii="Times New Roman" w:hAnsi="Times New Roman"/>
                      <w:color w:val="auto"/>
                      <w:szCs w:val="21"/>
                    </w:rPr>
                    <w:t>/d</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新鲜用水m</w:t>
                  </w:r>
                  <w:r>
                    <w:rPr>
                      <w:rFonts w:ascii="Times New Roman" w:hAnsi="Times New Roman"/>
                      <w:color w:val="auto"/>
                      <w:szCs w:val="21"/>
                      <w:vertAlign w:val="superscript"/>
                    </w:rPr>
                    <w:t>3</w:t>
                  </w:r>
                  <w:r>
                    <w:rPr>
                      <w:rFonts w:ascii="Times New Roman" w:hAnsi="Times New Roman"/>
                      <w:color w:val="auto"/>
                      <w:szCs w:val="21"/>
                    </w:rPr>
                    <w:t>/a</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损耗用水m</w:t>
                  </w:r>
                  <w:r>
                    <w:rPr>
                      <w:rFonts w:ascii="Times New Roman" w:hAnsi="Times New Roman"/>
                      <w:color w:val="auto"/>
                      <w:szCs w:val="21"/>
                      <w:vertAlign w:val="superscript"/>
                    </w:rPr>
                    <w:t>3</w:t>
                  </w:r>
                  <w:r>
                    <w:rPr>
                      <w:rFonts w:ascii="Times New Roman" w:hAnsi="Times New Roman"/>
                      <w:color w:val="auto"/>
                      <w:szCs w:val="21"/>
                    </w:rPr>
                    <w:t>/d</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损耗用水m</w:t>
                  </w:r>
                  <w:r>
                    <w:rPr>
                      <w:rFonts w:ascii="Times New Roman" w:hAnsi="Times New Roman"/>
                      <w:color w:val="auto"/>
                      <w:szCs w:val="21"/>
                      <w:vertAlign w:val="superscript"/>
                    </w:rPr>
                    <w:t>3</w:t>
                  </w:r>
                  <w:r>
                    <w:rPr>
                      <w:rFonts w:ascii="Times New Roman" w:hAnsi="Times New Roman"/>
                      <w:color w:val="auto"/>
                      <w:szCs w:val="21"/>
                    </w:rPr>
                    <w:t>/a</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废水m</w:t>
                  </w:r>
                  <w:r>
                    <w:rPr>
                      <w:rFonts w:ascii="Times New Roman" w:hAnsi="Times New Roman"/>
                      <w:color w:val="auto"/>
                      <w:szCs w:val="21"/>
                      <w:vertAlign w:val="superscript"/>
                    </w:rPr>
                    <w:t>3</w:t>
                  </w:r>
                  <w:r>
                    <w:rPr>
                      <w:rFonts w:ascii="Times New Roman" w:hAnsi="Times New Roman"/>
                      <w:color w:val="auto"/>
                      <w:szCs w:val="21"/>
                    </w:rPr>
                    <w:t>/d</w:t>
                  </w:r>
                </w:p>
              </w:tc>
              <w:tc>
                <w:tcPr>
                  <w:tcW w:w="13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废水m</w:t>
                  </w:r>
                  <w:r>
                    <w:rPr>
                      <w:rFonts w:ascii="Times New Roman" w:hAnsi="Times New Roman"/>
                      <w:color w:val="auto"/>
                      <w:szCs w:val="21"/>
                      <w:vertAlign w:val="superscript"/>
                    </w:rPr>
                    <w:t>3</w:t>
                  </w:r>
                  <w:r>
                    <w:rPr>
                      <w:rFonts w:ascii="Times New Roman" w:hAnsi="Times New Roman"/>
                      <w:color w:val="auto"/>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职工生活</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0.12</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43.8</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0.03</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10.95</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0.09</w:t>
                  </w:r>
                </w:p>
              </w:tc>
              <w:tc>
                <w:tcPr>
                  <w:tcW w:w="13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场地、设备冲洗</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0.2</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73</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0.04</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14.3</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0.16</w:t>
                  </w:r>
                </w:p>
              </w:tc>
              <w:tc>
                <w:tcPr>
                  <w:tcW w:w="13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渗滤液</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0.15</w:t>
                  </w:r>
                </w:p>
              </w:tc>
              <w:tc>
                <w:tcPr>
                  <w:tcW w:w="13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总计</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0.22</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116.8</w:t>
                  </w:r>
                </w:p>
              </w:tc>
              <w:tc>
                <w:tcPr>
                  <w:tcW w:w="132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0.07</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25.25</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0.4</w:t>
                  </w:r>
                </w:p>
              </w:tc>
              <w:tc>
                <w:tcPr>
                  <w:tcW w:w="13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 xml:space="preserve"> 148.45</w:t>
                  </w:r>
                </w:p>
              </w:tc>
            </w:tr>
          </w:tbl>
          <w:p>
            <w:pPr>
              <w:rPr>
                <w:rFonts w:ascii="Times New Roman" w:hAnsi="Times New Roman"/>
                <w:color w:val="auto"/>
              </w:rPr>
            </w:pPr>
            <w:r>
              <w:rPr>
                <w:rFonts w:ascii="Times New Roman" w:hAnsi="Times New Roman"/>
                <w:color w:val="auto"/>
              </w:rPr>
              <w:object>
                <v:shape id="_x0000_i1032" o:spt="75" type="#_x0000_t75" style="height:159pt;width:457.5pt;" o:ole="t" filled="f" o:preferrelative="t" stroked="f" coordsize="21600,21600">
                  <v:path/>
                  <v:fill on="f" focussize="0,0"/>
                  <v:stroke on="f" joinstyle="miter"/>
                  <v:imagedata r:id="rId14" o:title=""/>
                  <o:lock v:ext="edit" aspectratio="t"/>
                  <w10:wrap type="none"/>
                  <w10:anchorlock/>
                </v:shape>
                <o:OLEObject Type="Embed" ProgID="Visio.Drawing.11" ShapeID="_x0000_i1032" DrawAspect="Content" ObjectID="_1468075725" r:id="rId13">
                  <o:LockedField>false</o:LockedField>
                </o:OLEObject>
              </w:object>
            </w:r>
          </w:p>
          <w:p>
            <w:pPr>
              <w:spacing w:line="360" w:lineRule="auto"/>
              <w:jc w:val="center"/>
              <w:rPr>
                <w:rFonts w:ascii="Times New Roman" w:hAnsi="Times New Roman"/>
                <w:b/>
                <w:bCs/>
                <w:color w:val="auto"/>
                <w:szCs w:val="21"/>
              </w:rPr>
            </w:pPr>
            <w:r>
              <w:rPr>
                <w:rFonts w:ascii="Times New Roman" w:hAnsi="Times New Roman"/>
                <w:b/>
                <w:bCs/>
                <w:color w:val="auto"/>
                <w:sz w:val="24"/>
              </w:rPr>
              <w:t>图1-1  项目水平衡图   单位：t/a</w:t>
            </w:r>
          </w:p>
          <w:p>
            <w:pPr>
              <w:spacing w:line="360" w:lineRule="auto"/>
              <w:ind w:firstLine="480" w:firstLineChars="200"/>
              <w:rPr>
                <w:rFonts w:ascii="Times New Roman" w:hAnsi="Times New Roman"/>
                <w:color w:val="auto"/>
                <w:sz w:val="24"/>
              </w:rPr>
            </w:pPr>
            <w:r>
              <w:rPr>
                <w:rFonts w:ascii="Times New Roman" w:hAnsi="Times New Roman"/>
                <w:color w:val="auto"/>
                <w:sz w:val="24"/>
              </w:rPr>
              <w:t>（二）供电</w:t>
            </w:r>
          </w:p>
          <w:p>
            <w:pPr>
              <w:tabs>
                <w:tab w:val="center" w:pos="4342"/>
              </w:tabs>
              <w:spacing w:line="360" w:lineRule="auto"/>
              <w:ind w:firstLine="480" w:firstLineChars="200"/>
              <w:jc w:val="left"/>
              <w:textAlignment w:val="baseline"/>
              <w:rPr>
                <w:rFonts w:ascii="Times New Roman" w:hAnsi="Times New Roman"/>
                <w:color w:val="auto"/>
                <w:sz w:val="24"/>
              </w:rPr>
            </w:pPr>
            <w:r>
              <w:rPr>
                <w:rFonts w:ascii="Times New Roman" w:hAnsi="Times New Roman"/>
                <w:color w:val="auto"/>
                <w:sz w:val="24"/>
              </w:rPr>
              <w:t>由当地供电所提供。</w:t>
            </w:r>
          </w:p>
          <w:p>
            <w:pPr>
              <w:spacing w:line="360" w:lineRule="auto"/>
              <w:ind w:firstLine="480" w:firstLineChars="200"/>
              <w:jc w:val="left"/>
              <w:textAlignment w:val="baseline"/>
              <w:rPr>
                <w:rFonts w:ascii="Times New Roman" w:hAnsi="Times New Roman"/>
                <w:color w:val="auto"/>
                <w:sz w:val="24"/>
              </w:rPr>
            </w:pPr>
            <w:r>
              <w:rPr>
                <w:rFonts w:ascii="Times New Roman" w:hAnsi="Times New Roman"/>
                <w:color w:val="auto"/>
                <w:sz w:val="24"/>
              </w:rPr>
              <w:t>11、政策符合性分析</w:t>
            </w:r>
          </w:p>
          <w:p>
            <w:pPr>
              <w:pStyle w:val="2"/>
              <w:spacing w:line="360" w:lineRule="auto"/>
              <w:ind w:firstLine="455" w:firstLineChars="178"/>
              <w:jc w:val="left"/>
              <w:rPr>
                <w:rFonts w:ascii="Times New Roman" w:hAnsi="Times New Roman" w:eastAsia="宋体"/>
                <w:color w:val="auto"/>
              </w:rPr>
            </w:pPr>
            <w:r>
              <w:rPr>
                <w:rFonts w:ascii="Times New Roman" w:hAnsi="Times New Roman" w:eastAsia="宋体"/>
                <w:color w:val="auto"/>
              </w:rPr>
              <w:t>（1）产业政策符合性分析</w:t>
            </w:r>
          </w:p>
          <w:p>
            <w:pPr>
              <w:spacing w:line="360" w:lineRule="auto"/>
              <w:ind w:firstLine="512" w:firstLineChars="200"/>
              <w:rPr>
                <w:rFonts w:ascii="Times New Roman" w:hAnsi="Times New Roman"/>
                <w:color w:val="auto"/>
                <w:spacing w:val="8"/>
                <w:kern w:val="24"/>
                <w:sz w:val="24"/>
                <w:szCs w:val="20"/>
              </w:rPr>
            </w:pPr>
            <w:r>
              <w:rPr>
                <w:rFonts w:ascii="Times New Roman" w:hAnsi="Times New Roman"/>
                <w:color w:val="auto"/>
                <w:spacing w:val="8"/>
                <w:kern w:val="24"/>
                <w:sz w:val="24"/>
                <w:szCs w:val="20"/>
              </w:rPr>
              <w:t>根据国家发展和改革委员会《产业结构调整指导目录（2019）》中“鼓励类：四十三、环境保护与资源节约综合利用【20】城镇垃圾及其他固体废弃物减量化、资源化、无害化处理和综合利用工程”本项目主要从事生活垃圾转运。因此，项目建设符合国家产业政策。</w:t>
            </w:r>
          </w:p>
          <w:p>
            <w:pPr>
              <w:pStyle w:val="2"/>
              <w:spacing w:line="360" w:lineRule="auto"/>
              <w:ind w:firstLine="455" w:firstLineChars="178"/>
              <w:jc w:val="left"/>
              <w:rPr>
                <w:rFonts w:ascii="Times New Roman" w:hAnsi="Times New Roman" w:eastAsia="宋体"/>
                <w:color w:val="auto"/>
              </w:rPr>
            </w:pPr>
            <w:r>
              <w:rPr>
                <w:rFonts w:ascii="Times New Roman" w:hAnsi="Times New Roman" w:eastAsia="宋体"/>
                <w:color w:val="auto"/>
              </w:rPr>
              <w:t>（2）项目选址规划符合性分析</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根据《生活垃圾转运站技术规范》（CJJ/T47-2016）规定生活转运站的设计日转运垃圾能力，可按其规模划分为大中小型三大类，或I、II、III、IV、V</w:t>
            </w:r>
            <w:r>
              <w:rPr>
                <w:rFonts w:hint="eastAsia" w:ascii="宋体" w:hAnsi="宋体" w:cs="宋体"/>
                <w:color w:val="auto"/>
                <w:sz w:val="24"/>
              </w:rPr>
              <w:t>⑤</w:t>
            </w:r>
            <w:r>
              <w:rPr>
                <w:rFonts w:ascii="Times New Roman" w:hAnsi="Times New Roman"/>
                <w:color w:val="auto"/>
                <w:sz w:val="24"/>
              </w:rPr>
              <w:t>小类。新建的不同规模转运站的用地指标应符合下表的规定</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表1-16  转运站主要用地指标</w:t>
            </w:r>
          </w:p>
          <w:tbl>
            <w:tblPr>
              <w:tblStyle w:val="26"/>
              <w:tblW w:w="9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709"/>
              <w:gridCol w:w="2126"/>
              <w:gridCol w:w="2137"/>
              <w:gridCol w:w="1534"/>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gridSpan w:val="2"/>
                  <w:vAlign w:val="center"/>
                </w:tcPr>
                <w:p>
                  <w:pPr>
                    <w:jc w:val="center"/>
                    <w:rPr>
                      <w:rFonts w:ascii="Times New Roman" w:hAnsi="Times New Roman"/>
                      <w:color w:val="auto"/>
                    </w:rPr>
                  </w:pPr>
                  <w:r>
                    <w:rPr>
                      <w:rFonts w:ascii="Times New Roman" w:hAnsi="Times New Roman"/>
                      <w:color w:val="auto"/>
                    </w:rPr>
                    <w:t>类型</w:t>
                  </w:r>
                </w:p>
              </w:tc>
              <w:tc>
                <w:tcPr>
                  <w:tcW w:w="2126" w:type="dxa"/>
                  <w:vAlign w:val="center"/>
                </w:tcPr>
                <w:p>
                  <w:pPr>
                    <w:jc w:val="center"/>
                    <w:rPr>
                      <w:rFonts w:ascii="Times New Roman" w:hAnsi="Times New Roman"/>
                      <w:color w:val="auto"/>
                    </w:rPr>
                  </w:pPr>
                  <w:r>
                    <w:rPr>
                      <w:rFonts w:ascii="Times New Roman" w:hAnsi="Times New Roman"/>
                      <w:color w:val="auto"/>
                    </w:rPr>
                    <w:t>设计转运量（t/d）</w:t>
                  </w:r>
                </w:p>
              </w:tc>
              <w:tc>
                <w:tcPr>
                  <w:tcW w:w="2137" w:type="dxa"/>
                  <w:vAlign w:val="center"/>
                </w:tcPr>
                <w:p>
                  <w:pPr>
                    <w:jc w:val="center"/>
                    <w:rPr>
                      <w:rFonts w:ascii="Times New Roman" w:hAnsi="Times New Roman"/>
                      <w:color w:val="auto"/>
                    </w:rPr>
                  </w:pPr>
                  <w:r>
                    <w:rPr>
                      <w:rFonts w:ascii="Times New Roman" w:hAnsi="Times New Roman"/>
                      <w:color w:val="auto"/>
                    </w:rPr>
                    <w:t>用地面积（m</w:t>
                  </w:r>
                  <w:r>
                    <w:rPr>
                      <w:rFonts w:ascii="Times New Roman" w:hAnsi="Times New Roman"/>
                      <w:color w:val="auto"/>
                      <w:vertAlign w:val="superscript"/>
                    </w:rPr>
                    <w:t>2</w:t>
                  </w:r>
                  <w:r>
                    <w:rPr>
                      <w:rFonts w:ascii="Times New Roman" w:hAnsi="Times New Roman"/>
                      <w:color w:val="auto"/>
                    </w:rPr>
                    <w:t>）</w:t>
                  </w:r>
                </w:p>
              </w:tc>
              <w:tc>
                <w:tcPr>
                  <w:tcW w:w="1534" w:type="dxa"/>
                  <w:vAlign w:val="center"/>
                </w:tcPr>
                <w:p>
                  <w:pPr>
                    <w:jc w:val="center"/>
                    <w:rPr>
                      <w:rFonts w:ascii="Times New Roman" w:hAnsi="Times New Roman"/>
                      <w:color w:val="auto"/>
                    </w:rPr>
                  </w:pPr>
                  <w:r>
                    <w:rPr>
                      <w:rFonts w:ascii="Times New Roman" w:hAnsi="Times New Roman"/>
                      <w:color w:val="auto"/>
                    </w:rPr>
                    <w:t>与相邻建筑间（m）</w:t>
                  </w:r>
                </w:p>
              </w:tc>
              <w:tc>
                <w:tcPr>
                  <w:tcW w:w="1534" w:type="dxa"/>
                  <w:vAlign w:val="center"/>
                </w:tcPr>
                <w:p>
                  <w:pPr>
                    <w:jc w:val="center"/>
                    <w:rPr>
                      <w:rFonts w:ascii="Times New Roman" w:hAnsi="Times New Roman"/>
                      <w:color w:val="auto"/>
                    </w:rPr>
                  </w:pPr>
                  <w:r>
                    <w:rPr>
                      <w:rFonts w:ascii="Times New Roman" w:hAnsi="Times New Roman"/>
                      <w:color w:val="auto"/>
                    </w:rPr>
                    <w:t>绿化隔离带宽（m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Merge w:val="restart"/>
                  <w:vAlign w:val="center"/>
                </w:tcPr>
                <w:p>
                  <w:pPr>
                    <w:jc w:val="center"/>
                    <w:rPr>
                      <w:rFonts w:ascii="Times New Roman" w:hAnsi="Times New Roman"/>
                      <w:color w:val="auto"/>
                    </w:rPr>
                  </w:pPr>
                  <w:r>
                    <w:rPr>
                      <w:rFonts w:ascii="Times New Roman" w:hAnsi="Times New Roman"/>
                      <w:color w:val="auto"/>
                    </w:rPr>
                    <w:t>大型</w:t>
                  </w:r>
                </w:p>
              </w:tc>
              <w:tc>
                <w:tcPr>
                  <w:tcW w:w="709" w:type="dxa"/>
                  <w:vAlign w:val="center"/>
                </w:tcPr>
                <w:p>
                  <w:pPr>
                    <w:jc w:val="center"/>
                    <w:rPr>
                      <w:rFonts w:ascii="Times New Roman" w:hAnsi="Times New Roman"/>
                      <w:color w:val="auto"/>
                    </w:rPr>
                  </w:pPr>
                  <w:r>
                    <w:rPr>
                      <w:rFonts w:ascii="Times New Roman" w:hAnsi="Times New Roman"/>
                      <w:color w:val="auto"/>
                    </w:rPr>
                    <w:t>I类</w:t>
                  </w:r>
                </w:p>
              </w:tc>
              <w:tc>
                <w:tcPr>
                  <w:tcW w:w="2126" w:type="dxa"/>
                  <w:vAlign w:val="center"/>
                </w:tcPr>
                <w:p>
                  <w:pPr>
                    <w:jc w:val="center"/>
                    <w:rPr>
                      <w:rFonts w:ascii="Times New Roman" w:hAnsi="Times New Roman"/>
                      <w:color w:val="auto"/>
                    </w:rPr>
                  </w:pPr>
                  <w:r>
                    <w:rPr>
                      <w:rFonts w:ascii="Times New Roman" w:hAnsi="Times New Roman"/>
                      <w:color w:val="auto"/>
                    </w:rPr>
                    <w:t>1000-3000</w:t>
                  </w:r>
                </w:p>
              </w:tc>
              <w:tc>
                <w:tcPr>
                  <w:tcW w:w="2137" w:type="dxa"/>
                  <w:vAlign w:val="center"/>
                </w:tcPr>
                <w:p>
                  <w:pPr>
                    <w:jc w:val="center"/>
                    <w:rPr>
                      <w:rFonts w:ascii="Times New Roman" w:hAnsi="Times New Roman"/>
                      <w:color w:val="auto"/>
                    </w:rPr>
                  </w:pPr>
                  <w:r>
                    <w:rPr>
                      <w:rFonts w:ascii="Times New Roman" w:hAnsi="Times New Roman"/>
                      <w:color w:val="auto"/>
                    </w:rPr>
                    <w:t>≤20000</w:t>
                  </w:r>
                </w:p>
              </w:tc>
              <w:tc>
                <w:tcPr>
                  <w:tcW w:w="1534" w:type="dxa"/>
                  <w:vAlign w:val="center"/>
                </w:tcPr>
                <w:p>
                  <w:pPr>
                    <w:jc w:val="center"/>
                    <w:rPr>
                      <w:rFonts w:ascii="Times New Roman" w:hAnsi="Times New Roman"/>
                      <w:color w:val="auto"/>
                    </w:rPr>
                  </w:pPr>
                  <w:r>
                    <w:rPr>
                      <w:rFonts w:ascii="Times New Roman" w:hAnsi="Times New Roman"/>
                      <w:color w:val="auto"/>
                    </w:rPr>
                    <w:t>≥50</w:t>
                  </w:r>
                </w:p>
              </w:tc>
              <w:tc>
                <w:tcPr>
                  <w:tcW w:w="1534" w:type="dxa"/>
                  <w:vAlign w:val="center"/>
                </w:tcPr>
                <w:p>
                  <w:pPr>
                    <w:jc w:val="center"/>
                    <w:rPr>
                      <w:rFonts w:ascii="Times New Roman" w:hAnsi="Times New Roman"/>
                      <w:color w:val="auto"/>
                    </w:rPr>
                  </w:pPr>
                  <w:r>
                    <w:rPr>
                      <w:rFonts w:ascii="Times New Roman" w:hAnsi="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Merge w:val="continue"/>
                  <w:vAlign w:val="center"/>
                </w:tcPr>
                <w:p>
                  <w:pPr>
                    <w:jc w:val="center"/>
                    <w:rPr>
                      <w:rFonts w:ascii="Times New Roman" w:hAnsi="Times New Roman"/>
                      <w:color w:val="auto"/>
                    </w:rPr>
                  </w:pPr>
                </w:p>
              </w:tc>
              <w:tc>
                <w:tcPr>
                  <w:tcW w:w="709" w:type="dxa"/>
                  <w:vAlign w:val="center"/>
                </w:tcPr>
                <w:p>
                  <w:pPr>
                    <w:jc w:val="center"/>
                    <w:rPr>
                      <w:rFonts w:ascii="Times New Roman" w:hAnsi="Times New Roman"/>
                      <w:color w:val="auto"/>
                    </w:rPr>
                  </w:pPr>
                  <w:r>
                    <w:rPr>
                      <w:rFonts w:ascii="Times New Roman" w:hAnsi="Times New Roman"/>
                      <w:color w:val="auto"/>
                    </w:rPr>
                    <w:t>II类</w:t>
                  </w:r>
                </w:p>
              </w:tc>
              <w:tc>
                <w:tcPr>
                  <w:tcW w:w="2126" w:type="dxa"/>
                  <w:vAlign w:val="center"/>
                </w:tcPr>
                <w:p>
                  <w:pPr>
                    <w:jc w:val="center"/>
                    <w:rPr>
                      <w:rFonts w:ascii="Times New Roman" w:hAnsi="Times New Roman"/>
                      <w:color w:val="auto"/>
                    </w:rPr>
                  </w:pPr>
                  <w:r>
                    <w:rPr>
                      <w:rFonts w:ascii="Times New Roman" w:hAnsi="Times New Roman"/>
                      <w:color w:val="auto"/>
                    </w:rPr>
                    <w:t>450-1000</w:t>
                  </w:r>
                </w:p>
              </w:tc>
              <w:tc>
                <w:tcPr>
                  <w:tcW w:w="2137" w:type="dxa"/>
                  <w:vAlign w:val="center"/>
                </w:tcPr>
                <w:p>
                  <w:pPr>
                    <w:jc w:val="center"/>
                    <w:rPr>
                      <w:rFonts w:ascii="Times New Roman" w:hAnsi="Times New Roman"/>
                      <w:color w:val="auto"/>
                    </w:rPr>
                  </w:pPr>
                  <w:r>
                    <w:rPr>
                      <w:rFonts w:ascii="Times New Roman" w:hAnsi="Times New Roman"/>
                      <w:color w:val="auto"/>
                    </w:rPr>
                    <w:t>15000-20000</w:t>
                  </w:r>
                </w:p>
              </w:tc>
              <w:tc>
                <w:tcPr>
                  <w:tcW w:w="1534" w:type="dxa"/>
                  <w:vAlign w:val="center"/>
                </w:tcPr>
                <w:p>
                  <w:pPr>
                    <w:jc w:val="center"/>
                    <w:rPr>
                      <w:rFonts w:ascii="Times New Roman" w:hAnsi="Times New Roman"/>
                      <w:color w:val="auto"/>
                    </w:rPr>
                  </w:pPr>
                  <w:r>
                    <w:rPr>
                      <w:rFonts w:ascii="Times New Roman" w:hAnsi="Times New Roman"/>
                      <w:color w:val="auto"/>
                    </w:rPr>
                    <w:t>≥30</w:t>
                  </w:r>
                </w:p>
              </w:tc>
              <w:tc>
                <w:tcPr>
                  <w:tcW w:w="1534" w:type="dxa"/>
                  <w:vAlign w:val="center"/>
                </w:tcPr>
                <w:p>
                  <w:pPr>
                    <w:jc w:val="center"/>
                    <w:rPr>
                      <w:rFonts w:ascii="Times New Roman" w:hAnsi="Times New Roman"/>
                      <w:color w:val="auto"/>
                    </w:rPr>
                  </w:pPr>
                  <w:r>
                    <w:rPr>
                      <w:rFonts w:ascii="Times New Roman" w:hAnsi="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pPr>
                    <w:jc w:val="center"/>
                    <w:rPr>
                      <w:rFonts w:ascii="Times New Roman" w:hAnsi="Times New Roman"/>
                      <w:color w:val="auto"/>
                    </w:rPr>
                  </w:pPr>
                  <w:r>
                    <w:rPr>
                      <w:rFonts w:ascii="Times New Roman" w:hAnsi="Times New Roman"/>
                      <w:color w:val="auto"/>
                    </w:rPr>
                    <w:t>中型</w:t>
                  </w:r>
                </w:p>
              </w:tc>
              <w:tc>
                <w:tcPr>
                  <w:tcW w:w="709" w:type="dxa"/>
                  <w:vAlign w:val="center"/>
                </w:tcPr>
                <w:p>
                  <w:pPr>
                    <w:jc w:val="center"/>
                    <w:rPr>
                      <w:rFonts w:ascii="Times New Roman" w:hAnsi="Times New Roman"/>
                      <w:color w:val="auto"/>
                    </w:rPr>
                  </w:pPr>
                  <w:r>
                    <w:rPr>
                      <w:rFonts w:ascii="Times New Roman" w:hAnsi="Times New Roman"/>
                      <w:color w:val="auto"/>
                    </w:rPr>
                    <w:t>III类</w:t>
                  </w:r>
                </w:p>
              </w:tc>
              <w:tc>
                <w:tcPr>
                  <w:tcW w:w="2126" w:type="dxa"/>
                  <w:vAlign w:val="center"/>
                </w:tcPr>
                <w:p>
                  <w:pPr>
                    <w:jc w:val="center"/>
                    <w:rPr>
                      <w:rFonts w:ascii="Times New Roman" w:hAnsi="Times New Roman"/>
                      <w:color w:val="auto"/>
                    </w:rPr>
                  </w:pPr>
                  <w:r>
                    <w:rPr>
                      <w:rFonts w:ascii="Times New Roman" w:hAnsi="Times New Roman"/>
                      <w:color w:val="auto"/>
                    </w:rPr>
                    <w:t>150-450</w:t>
                  </w:r>
                </w:p>
              </w:tc>
              <w:tc>
                <w:tcPr>
                  <w:tcW w:w="2137" w:type="dxa"/>
                  <w:vAlign w:val="center"/>
                </w:tcPr>
                <w:p>
                  <w:pPr>
                    <w:jc w:val="center"/>
                    <w:rPr>
                      <w:rFonts w:ascii="Times New Roman" w:hAnsi="Times New Roman"/>
                      <w:color w:val="auto"/>
                    </w:rPr>
                  </w:pPr>
                  <w:r>
                    <w:rPr>
                      <w:rFonts w:ascii="Times New Roman" w:hAnsi="Times New Roman"/>
                      <w:color w:val="auto"/>
                    </w:rPr>
                    <w:t>4000-15000</w:t>
                  </w:r>
                </w:p>
              </w:tc>
              <w:tc>
                <w:tcPr>
                  <w:tcW w:w="1534" w:type="dxa"/>
                  <w:vAlign w:val="center"/>
                </w:tcPr>
                <w:p>
                  <w:pPr>
                    <w:jc w:val="center"/>
                    <w:rPr>
                      <w:rFonts w:ascii="Times New Roman" w:hAnsi="Times New Roman"/>
                      <w:color w:val="auto"/>
                    </w:rPr>
                  </w:pPr>
                  <w:r>
                    <w:rPr>
                      <w:rFonts w:ascii="Times New Roman" w:hAnsi="Times New Roman"/>
                      <w:color w:val="auto"/>
                    </w:rPr>
                    <w:t>≥15</w:t>
                  </w:r>
                </w:p>
              </w:tc>
              <w:tc>
                <w:tcPr>
                  <w:tcW w:w="1534" w:type="dxa"/>
                  <w:vAlign w:val="center"/>
                </w:tcPr>
                <w:p>
                  <w:pPr>
                    <w:jc w:val="center"/>
                    <w:rPr>
                      <w:rFonts w:ascii="Times New Roman" w:hAnsi="Times New Roman"/>
                      <w:color w:val="auto"/>
                    </w:rPr>
                  </w:pPr>
                  <w:r>
                    <w:rPr>
                      <w:rFonts w:ascii="Times New Roman" w:hAnsi="Times New Roman"/>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Merge w:val="restart"/>
                  <w:vAlign w:val="center"/>
                </w:tcPr>
                <w:p>
                  <w:pPr>
                    <w:jc w:val="center"/>
                    <w:rPr>
                      <w:rFonts w:ascii="Times New Roman" w:hAnsi="Times New Roman"/>
                      <w:color w:val="auto"/>
                    </w:rPr>
                  </w:pPr>
                  <w:r>
                    <w:rPr>
                      <w:rFonts w:ascii="Times New Roman" w:hAnsi="Times New Roman"/>
                      <w:color w:val="auto"/>
                    </w:rPr>
                    <w:t>小型</w:t>
                  </w:r>
                </w:p>
              </w:tc>
              <w:tc>
                <w:tcPr>
                  <w:tcW w:w="709" w:type="dxa"/>
                  <w:vAlign w:val="center"/>
                </w:tcPr>
                <w:p>
                  <w:pPr>
                    <w:jc w:val="center"/>
                    <w:rPr>
                      <w:rFonts w:ascii="Times New Roman" w:hAnsi="Times New Roman"/>
                      <w:color w:val="auto"/>
                    </w:rPr>
                  </w:pPr>
                  <w:r>
                    <w:rPr>
                      <w:rFonts w:ascii="Times New Roman" w:hAnsi="Times New Roman"/>
                      <w:color w:val="auto"/>
                    </w:rPr>
                    <w:t>IV类</w:t>
                  </w:r>
                </w:p>
              </w:tc>
              <w:tc>
                <w:tcPr>
                  <w:tcW w:w="2126" w:type="dxa"/>
                  <w:vAlign w:val="center"/>
                </w:tcPr>
                <w:p>
                  <w:pPr>
                    <w:jc w:val="center"/>
                    <w:rPr>
                      <w:rFonts w:ascii="Times New Roman" w:hAnsi="Times New Roman"/>
                      <w:color w:val="auto"/>
                    </w:rPr>
                  </w:pPr>
                  <w:r>
                    <w:rPr>
                      <w:rFonts w:ascii="Times New Roman" w:hAnsi="Times New Roman"/>
                      <w:color w:val="auto"/>
                    </w:rPr>
                    <w:t>50-150</w:t>
                  </w:r>
                </w:p>
              </w:tc>
              <w:tc>
                <w:tcPr>
                  <w:tcW w:w="2137" w:type="dxa"/>
                  <w:vAlign w:val="center"/>
                </w:tcPr>
                <w:p>
                  <w:pPr>
                    <w:jc w:val="center"/>
                    <w:rPr>
                      <w:rFonts w:ascii="Times New Roman" w:hAnsi="Times New Roman"/>
                      <w:color w:val="auto"/>
                    </w:rPr>
                  </w:pPr>
                  <w:r>
                    <w:rPr>
                      <w:rFonts w:ascii="Times New Roman" w:hAnsi="Times New Roman"/>
                      <w:color w:val="auto"/>
                    </w:rPr>
                    <w:t>1000-4000</w:t>
                  </w:r>
                </w:p>
              </w:tc>
              <w:tc>
                <w:tcPr>
                  <w:tcW w:w="1534" w:type="dxa"/>
                  <w:vAlign w:val="center"/>
                </w:tcPr>
                <w:p>
                  <w:pPr>
                    <w:jc w:val="center"/>
                    <w:rPr>
                      <w:rFonts w:ascii="Times New Roman" w:hAnsi="Times New Roman"/>
                      <w:color w:val="auto"/>
                    </w:rPr>
                  </w:pPr>
                  <w:r>
                    <w:rPr>
                      <w:rFonts w:ascii="Times New Roman" w:hAnsi="Times New Roman"/>
                      <w:color w:val="auto"/>
                    </w:rPr>
                    <w:t>≥10</w:t>
                  </w:r>
                </w:p>
              </w:tc>
              <w:tc>
                <w:tcPr>
                  <w:tcW w:w="1534" w:type="dxa"/>
                  <w:vAlign w:val="center"/>
                </w:tcPr>
                <w:p>
                  <w:pPr>
                    <w:jc w:val="center"/>
                    <w:rPr>
                      <w:rFonts w:ascii="Times New Roman" w:hAnsi="Times New Roman"/>
                      <w:color w:val="auto"/>
                    </w:rPr>
                  </w:pPr>
                  <w:r>
                    <w:rPr>
                      <w:rFonts w:ascii="Times New Roman" w:hAnsi="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Merge w:val="continue"/>
                  <w:vAlign w:val="center"/>
                </w:tcPr>
                <w:p>
                  <w:pPr>
                    <w:jc w:val="center"/>
                    <w:rPr>
                      <w:rFonts w:ascii="Times New Roman" w:hAnsi="Times New Roman"/>
                      <w:color w:val="auto"/>
                    </w:rPr>
                  </w:pPr>
                </w:p>
              </w:tc>
              <w:tc>
                <w:tcPr>
                  <w:tcW w:w="709" w:type="dxa"/>
                  <w:vAlign w:val="center"/>
                </w:tcPr>
                <w:p>
                  <w:pPr>
                    <w:jc w:val="center"/>
                    <w:rPr>
                      <w:rFonts w:ascii="Times New Roman" w:hAnsi="Times New Roman"/>
                      <w:color w:val="auto"/>
                    </w:rPr>
                  </w:pPr>
                  <w:r>
                    <w:rPr>
                      <w:rFonts w:ascii="Times New Roman" w:hAnsi="Times New Roman"/>
                      <w:color w:val="auto"/>
                    </w:rPr>
                    <w:t>V类</w:t>
                  </w:r>
                </w:p>
              </w:tc>
              <w:tc>
                <w:tcPr>
                  <w:tcW w:w="2126" w:type="dxa"/>
                  <w:vAlign w:val="center"/>
                </w:tcPr>
                <w:p>
                  <w:pPr>
                    <w:jc w:val="center"/>
                    <w:rPr>
                      <w:rFonts w:ascii="Times New Roman" w:hAnsi="Times New Roman"/>
                      <w:color w:val="auto"/>
                    </w:rPr>
                  </w:pPr>
                  <w:r>
                    <w:rPr>
                      <w:rFonts w:ascii="Times New Roman" w:hAnsi="Times New Roman"/>
                      <w:color w:val="auto"/>
                    </w:rPr>
                    <w:t>≤50</w:t>
                  </w:r>
                </w:p>
              </w:tc>
              <w:tc>
                <w:tcPr>
                  <w:tcW w:w="2137" w:type="dxa"/>
                  <w:vAlign w:val="center"/>
                </w:tcPr>
                <w:p>
                  <w:pPr>
                    <w:jc w:val="center"/>
                    <w:rPr>
                      <w:rFonts w:ascii="Times New Roman" w:hAnsi="Times New Roman"/>
                      <w:color w:val="auto"/>
                    </w:rPr>
                  </w:pPr>
                  <w:r>
                    <w:rPr>
                      <w:rFonts w:ascii="Times New Roman" w:hAnsi="Times New Roman"/>
                      <w:color w:val="auto"/>
                    </w:rPr>
                    <w:t>≤1000</w:t>
                  </w:r>
                </w:p>
              </w:tc>
              <w:tc>
                <w:tcPr>
                  <w:tcW w:w="1534" w:type="dxa"/>
                  <w:vAlign w:val="center"/>
                </w:tcPr>
                <w:p>
                  <w:pPr>
                    <w:jc w:val="center"/>
                    <w:rPr>
                      <w:rFonts w:ascii="Times New Roman" w:hAnsi="Times New Roman"/>
                      <w:color w:val="auto"/>
                    </w:rPr>
                  </w:pPr>
                  <w:r>
                    <w:rPr>
                      <w:rFonts w:ascii="Times New Roman" w:hAnsi="Times New Roman"/>
                      <w:color w:val="auto"/>
                    </w:rPr>
                    <w:t>≥8</w:t>
                  </w:r>
                </w:p>
              </w:tc>
              <w:tc>
                <w:tcPr>
                  <w:tcW w:w="1534" w:type="dxa"/>
                  <w:vAlign w:val="center"/>
                </w:tcPr>
                <w:p>
                  <w:pPr>
                    <w:jc w:val="center"/>
                    <w:rPr>
                      <w:rFonts w:ascii="Times New Roman" w:hAnsi="Times New Roman"/>
                      <w:color w:val="auto"/>
                    </w:rPr>
                  </w:pPr>
                  <w:r>
                    <w:rPr>
                      <w:rFonts w:ascii="Times New Roman" w:hAnsi="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pPr>
                    <w:jc w:val="center"/>
                    <w:rPr>
                      <w:rFonts w:ascii="Times New Roman" w:hAnsi="Times New Roman"/>
                      <w:color w:val="auto"/>
                    </w:rPr>
                  </w:pPr>
                  <w:r>
                    <w:rPr>
                      <w:rFonts w:ascii="Times New Roman" w:hAnsi="Times New Roman"/>
                      <w:color w:val="auto"/>
                    </w:rPr>
                    <w:t>备注</w:t>
                  </w:r>
                </w:p>
              </w:tc>
              <w:tc>
                <w:tcPr>
                  <w:tcW w:w="8040" w:type="dxa"/>
                  <w:gridSpan w:val="5"/>
                  <w:vAlign w:val="center"/>
                </w:tcPr>
                <w:p>
                  <w:pPr>
                    <w:pStyle w:val="2"/>
                    <w:spacing w:line="240" w:lineRule="auto"/>
                    <w:ind w:firstLine="0"/>
                    <w:jc w:val="left"/>
                    <w:rPr>
                      <w:rFonts w:ascii="Times New Roman" w:hAnsi="Times New Roman" w:eastAsia="宋体"/>
                      <w:color w:val="auto"/>
                      <w:sz w:val="21"/>
                      <w:szCs w:val="21"/>
                    </w:rPr>
                  </w:pPr>
                  <w:r>
                    <w:rPr>
                      <w:rFonts w:ascii="Times New Roman" w:hAnsi="Times New Roman" w:eastAsia="宋体"/>
                      <w:color w:val="auto"/>
                      <w:sz w:val="21"/>
                      <w:szCs w:val="21"/>
                    </w:rPr>
                    <w:t>1、表内用地不含垃圾分类、资源回收等其他功能用地。</w:t>
                  </w:r>
                </w:p>
                <w:p>
                  <w:pPr>
                    <w:pStyle w:val="2"/>
                    <w:spacing w:line="240" w:lineRule="auto"/>
                    <w:ind w:firstLine="0"/>
                    <w:jc w:val="left"/>
                    <w:rPr>
                      <w:rFonts w:ascii="Times New Roman" w:hAnsi="Times New Roman" w:eastAsia="宋体"/>
                      <w:color w:val="auto"/>
                      <w:sz w:val="21"/>
                      <w:szCs w:val="21"/>
                    </w:rPr>
                  </w:pPr>
                  <w:r>
                    <w:rPr>
                      <w:rFonts w:ascii="Times New Roman" w:hAnsi="Times New Roman" w:eastAsia="宋体"/>
                      <w:color w:val="auto"/>
                      <w:sz w:val="21"/>
                      <w:szCs w:val="21"/>
                    </w:rPr>
                    <w:t>2、用地面积含转运站周边专门设置的绿化隔离带，但不含兼气绿化隔离作用的市政绿地和园林用地。</w:t>
                  </w:r>
                </w:p>
                <w:p>
                  <w:pPr>
                    <w:pStyle w:val="2"/>
                    <w:spacing w:line="240" w:lineRule="auto"/>
                    <w:ind w:firstLine="0"/>
                    <w:jc w:val="left"/>
                    <w:rPr>
                      <w:rFonts w:ascii="Times New Roman" w:hAnsi="Times New Roman" w:eastAsia="宋体"/>
                      <w:color w:val="auto"/>
                      <w:sz w:val="21"/>
                      <w:szCs w:val="21"/>
                    </w:rPr>
                  </w:pPr>
                  <w:r>
                    <w:rPr>
                      <w:rFonts w:ascii="Times New Roman" w:hAnsi="Times New Roman" w:eastAsia="宋体"/>
                      <w:color w:val="auto"/>
                      <w:sz w:val="21"/>
                      <w:szCs w:val="21"/>
                    </w:rPr>
                    <w:t>3、与相邻建筑间隔子转运站边界起边界计算</w:t>
                  </w:r>
                </w:p>
                <w:p>
                  <w:pPr>
                    <w:pStyle w:val="2"/>
                    <w:spacing w:line="240" w:lineRule="auto"/>
                    <w:ind w:firstLine="0"/>
                    <w:jc w:val="left"/>
                    <w:rPr>
                      <w:rFonts w:ascii="Times New Roman" w:hAnsi="Times New Roman" w:eastAsia="宋体"/>
                      <w:color w:val="auto"/>
                      <w:sz w:val="21"/>
                      <w:szCs w:val="21"/>
                    </w:rPr>
                  </w:pPr>
                  <w:r>
                    <w:rPr>
                      <w:rFonts w:ascii="Times New Roman" w:hAnsi="Times New Roman" w:eastAsia="宋体"/>
                      <w:color w:val="auto"/>
                      <w:sz w:val="21"/>
                      <w:szCs w:val="21"/>
                    </w:rPr>
                    <w:t>4、对于邻近江河、湖泊、海洋和大型睡眠的城市生活垃圾转运码头，其陆地转运站用地指标可适当上浮。</w:t>
                  </w:r>
                </w:p>
                <w:p>
                  <w:pPr>
                    <w:pStyle w:val="2"/>
                    <w:spacing w:line="240" w:lineRule="auto"/>
                    <w:ind w:firstLine="0"/>
                    <w:jc w:val="left"/>
                    <w:rPr>
                      <w:rFonts w:ascii="Times New Roman" w:hAnsi="Times New Roman" w:eastAsia="宋体"/>
                      <w:color w:val="auto"/>
                      <w:sz w:val="21"/>
                      <w:szCs w:val="21"/>
                    </w:rPr>
                  </w:pPr>
                  <w:r>
                    <w:rPr>
                      <w:rFonts w:ascii="Times New Roman" w:hAnsi="Times New Roman" w:eastAsia="宋体"/>
                      <w:color w:val="auto"/>
                      <w:sz w:val="21"/>
                      <w:szCs w:val="21"/>
                    </w:rPr>
                    <w:t>5、以上规模类型II、III、IV含下限值不含上限值、I类含上下限值。</w:t>
                  </w:r>
                </w:p>
              </w:tc>
            </w:tr>
          </w:tbl>
          <w:p>
            <w:pPr>
              <w:spacing w:line="360" w:lineRule="auto"/>
              <w:ind w:firstLine="480" w:firstLineChars="200"/>
              <w:rPr>
                <w:rFonts w:ascii="Times New Roman" w:hAnsi="Times New Roman"/>
                <w:color w:val="auto"/>
              </w:rPr>
            </w:pPr>
            <w:r>
              <w:rPr>
                <w:rFonts w:ascii="Times New Roman" w:hAnsi="Times New Roman"/>
                <w:color w:val="auto"/>
                <w:sz w:val="24"/>
              </w:rPr>
              <w:t>本项目日处理生活垃圾4t/d ，属于小型V类，项目占地2087.67m</w:t>
            </w:r>
            <w:r>
              <w:rPr>
                <w:rFonts w:ascii="Times New Roman" w:hAnsi="Times New Roman"/>
                <w:color w:val="auto"/>
                <w:sz w:val="24"/>
                <w:vertAlign w:val="superscript"/>
              </w:rPr>
              <w:t>2</w:t>
            </w:r>
            <w:r>
              <w:rPr>
                <w:rFonts w:ascii="Times New Roman" w:hAnsi="Times New Roman"/>
                <w:color w:val="auto"/>
                <w:sz w:val="24"/>
              </w:rPr>
              <w:t>，符合用地面积1000-4000m</w:t>
            </w:r>
            <w:r>
              <w:rPr>
                <w:rFonts w:ascii="Times New Roman" w:hAnsi="Times New Roman"/>
                <w:color w:val="auto"/>
                <w:sz w:val="24"/>
                <w:vertAlign w:val="superscript"/>
              </w:rPr>
              <w:t>2</w:t>
            </w:r>
            <w:r>
              <w:rPr>
                <w:rFonts w:ascii="Times New Roman" w:hAnsi="Times New Roman"/>
                <w:color w:val="auto"/>
                <w:sz w:val="24"/>
              </w:rPr>
              <w:t>要求</w:t>
            </w:r>
            <w:r>
              <w:rPr>
                <w:rFonts w:ascii="Times New Roman" w:hAnsi="Times New Roman"/>
                <w:color w:val="auto"/>
              </w:rPr>
              <w:t>。</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根据《环境卫生设施设置标准》（CJJ27-2012）和《生活垃圾转运站技术规范》（CJJ/T47-2016）要求，生活垃圾中转站选址规划合理性分析见表1-17。</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表1-17   垃圾中转站选址规划合理性分析</w:t>
            </w:r>
          </w:p>
          <w:tbl>
            <w:tblPr>
              <w:tblStyle w:val="26"/>
              <w:tblW w:w="9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678"/>
              <w:gridCol w:w="4835"/>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jc w:val="center"/>
                    <w:rPr>
                      <w:rFonts w:ascii="Times New Roman" w:hAnsi="Times New Roman"/>
                      <w:color w:val="auto"/>
                    </w:rPr>
                  </w:pPr>
                  <w:r>
                    <w:rPr>
                      <w:rFonts w:ascii="Times New Roman" w:hAnsi="Times New Roman"/>
                      <w:color w:val="auto"/>
                    </w:rPr>
                    <w:t>序号</w:t>
                  </w:r>
                </w:p>
              </w:tc>
              <w:tc>
                <w:tcPr>
                  <w:tcW w:w="2678" w:type="dxa"/>
                  <w:vAlign w:val="center"/>
                </w:tcPr>
                <w:p>
                  <w:pPr>
                    <w:jc w:val="center"/>
                    <w:rPr>
                      <w:rFonts w:ascii="Times New Roman" w:hAnsi="Times New Roman"/>
                      <w:color w:val="auto"/>
                    </w:rPr>
                  </w:pPr>
                  <w:r>
                    <w:rPr>
                      <w:rFonts w:ascii="Times New Roman" w:hAnsi="Times New Roman"/>
                      <w:color w:val="auto"/>
                    </w:rPr>
                    <w:t>要求</w:t>
                  </w:r>
                </w:p>
              </w:tc>
              <w:tc>
                <w:tcPr>
                  <w:tcW w:w="4835" w:type="dxa"/>
                  <w:vAlign w:val="center"/>
                </w:tcPr>
                <w:p>
                  <w:pPr>
                    <w:jc w:val="center"/>
                    <w:rPr>
                      <w:rFonts w:ascii="Times New Roman" w:hAnsi="Times New Roman"/>
                      <w:color w:val="auto"/>
                    </w:rPr>
                  </w:pPr>
                  <w:r>
                    <w:rPr>
                      <w:rFonts w:ascii="Times New Roman" w:hAnsi="Times New Roman"/>
                      <w:color w:val="auto"/>
                    </w:rPr>
                    <w:t>本项目情况</w:t>
                  </w:r>
                </w:p>
              </w:tc>
              <w:tc>
                <w:tcPr>
                  <w:tcW w:w="954" w:type="dxa"/>
                  <w:vAlign w:val="center"/>
                </w:tcPr>
                <w:p>
                  <w:pPr>
                    <w:jc w:val="center"/>
                    <w:rPr>
                      <w:rFonts w:ascii="Times New Roman" w:hAnsi="Times New Roman"/>
                      <w:color w:val="auto"/>
                    </w:rPr>
                  </w:pPr>
                  <w:r>
                    <w:rPr>
                      <w:rFonts w:ascii="Times New Roman" w:hAnsi="Times New Roman"/>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jc w:val="center"/>
                    <w:rPr>
                      <w:rFonts w:ascii="Times New Roman" w:hAnsi="Times New Roman"/>
                      <w:color w:val="auto"/>
                    </w:rPr>
                  </w:pPr>
                  <w:r>
                    <w:rPr>
                      <w:rFonts w:ascii="Times New Roman" w:hAnsi="Times New Roman"/>
                      <w:color w:val="auto"/>
                    </w:rPr>
                    <w:t>1</w:t>
                  </w:r>
                </w:p>
              </w:tc>
              <w:tc>
                <w:tcPr>
                  <w:tcW w:w="2678" w:type="dxa"/>
                  <w:vAlign w:val="center"/>
                </w:tcPr>
                <w:p>
                  <w:pPr>
                    <w:jc w:val="center"/>
                    <w:rPr>
                      <w:rFonts w:ascii="Times New Roman" w:hAnsi="Times New Roman"/>
                      <w:color w:val="auto"/>
                    </w:rPr>
                  </w:pPr>
                  <w:r>
                    <w:rPr>
                      <w:rFonts w:ascii="Times New Roman" w:hAnsi="Times New Roman"/>
                      <w:color w:val="auto"/>
                      <w:spacing w:val="9"/>
                      <w:szCs w:val="21"/>
                    </w:rPr>
                    <w:t>符合城镇总体规划和环境卫生专业规</w:t>
                  </w:r>
                  <w:r>
                    <w:rPr>
                      <w:rFonts w:ascii="Times New Roman" w:hAnsi="Times New Roman"/>
                      <w:color w:val="auto"/>
                      <w:spacing w:val="-1"/>
                      <w:szCs w:val="21"/>
                    </w:rPr>
                    <w:t>划的要求</w:t>
                  </w:r>
                </w:p>
              </w:tc>
              <w:tc>
                <w:tcPr>
                  <w:tcW w:w="4835" w:type="dxa"/>
                  <w:vAlign w:val="center"/>
                </w:tcPr>
                <w:p>
                  <w:pPr>
                    <w:jc w:val="center"/>
                    <w:rPr>
                      <w:rFonts w:ascii="Times New Roman" w:hAnsi="Times New Roman"/>
                      <w:color w:val="auto"/>
                    </w:rPr>
                  </w:pPr>
                  <w:r>
                    <w:rPr>
                      <w:rFonts w:ascii="Times New Roman" w:hAnsi="Times New Roman"/>
                      <w:color w:val="auto"/>
                    </w:rPr>
                    <w:t>项目位于九岘乡鲁甲村疙瘩组，用地性质为建设用地，根据&lt;宁县自然资源局《关于九岘乡鲁甲村垃圾转运站集体建设项目用地的预审意见》&gt;，该项目已纳入九岘乡土地利用总体规划重点项目清单。</w:t>
                  </w:r>
                </w:p>
              </w:tc>
              <w:tc>
                <w:tcPr>
                  <w:tcW w:w="954" w:type="dxa"/>
                  <w:vAlign w:val="center"/>
                </w:tcPr>
                <w:p>
                  <w:pPr>
                    <w:jc w:val="center"/>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jc w:val="center"/>
                    <w:rPr>
                      <w:rFonts w:ascii="Times New Roman" w:hAnsi="Times New Roman"/>
                      <w:color w:val="auto"/>
                    </w:rPr>
                  </w:pPr>
                  <w:r>
                    <w:rPr>
                      <w:rFonts w:ascii="Times New Roman" w:hAnsi="Times New Roman"/>
                      <w:color w:val="auto"/>
                    </w:rPr>
                    <w:t>2</w:t>
                  </w:r>
                </w:p>
              </w:tc>
              <w:tc>
                <w:tcPr>
                  <w:tcW w:w="2678" w:type="dxa"/>
                  <w:vAlign w:val="center"/>
                </w:tcPr>
                <w:p>
                  <w:pPr>
                    <w:pStyle w:val="71"/>
                    <w:jc w:val="center"/>
                    <w:rPr>
                      <w:rFonts w:ascii="Times New Roman" w:hAnsi="Times New Roman"/>
                      <w:color w:val="auto"/>
                      <w:lang w:eastAsia="zh-CN"/>
                    </w:rPr>
                  </w:pPr>
                  <w:r>
                    <w:rPr>
                      <w:rFonts w:ascii="Times New Roman" w:hAnsi="Times New Roman"/>
                      <w:color w:val="auto"/>
                      <w:spacing w:val="-4"/>
                      <w:sz w:val="21"/>
                      <w:szCs w:val="21"/>
                      <w:lang w:eastAsia="zh-CN"/>
                    </w:rPr>
                    <w:t>综合考虑服务区域、转运能力、运输距</w:t>
                  </w:r>
                  <w:r>
                    <w:rPr>
                      <w:rFonts w:ascii="Times New Roman" w:hAnsi="Times New Roman"/>
                      <w:color w:val="auto"/>
                      <w:sz w:val="21"/>
                      <w:szCs w:val="21"/>
                      <w:lang w:eastAsia="zh-CN"/>
                    </w:rPr>
                    <w:t>离</w:t>
                  </w:r>
                  <w:r>
                    <w:rPr>
                      <w:rFonts w:ascii="Times New Roman" w:hAnsi="Times New Roman"/>
                      <w:color w:val="auto"/>
                      <w:spacing w:val="-72"/>
                      <w:sz w:val="21"/>
                      <w:szCs w:val="21"/>
                      <w:lang w:eastAsia="zh-CN"/>
                    </w:rPr>
                    <w:t>、</w:t>
                  </w:r>
                  <w:r>
                    <w:rPr>
                      <w:rFonts w:ascii="Times New Roman" w:hAnsi="Times New Roman"/>
                      <w:color w:val="auto"/>
                      <w:sz w:val="21"/>
                      <w:szCs w:val="21"/>
                      <w:lang w:eastAsia="zh-CN"/>
                    </w:rPr>
                    <w:t>污</w:t>
                  </w:r>
                  <w:r>
                    <w:rPr>
                      <w:rFonts w:ascii="Times New Roman" w:hAnsi="Times New Roman"/>
                      <w:color w:val="auto"/>
                      <w:spacing w:val="-3"/>
                      <w:sz w:val="21"/>
                      <w:szCs w:val="21"/>
                      <w:lang w:eastAsia="zh-CN"/>
                    </w:rPr>
                    <w:t>染</w:t>
                  </w:r>
                  <w:r>
                    <w:rPr>
                      <w:rFonts w:ascii="Times New Roman" w:hAnsi="Times New Roman"/>
                      <w:color w:val="auto"/>
                      <w:sz w:val="21"/>
                      <w:szCs w:val="21"/>
                      <w:lang w:eastAsia="zh-CN"/>
                    </w:rPr>
                    <w:t>控</w:t>
                  </w:r>
                  <w:r>
                    <w:rPr>
                      <w:rFonts w:ascii="Times New Roman" w:hAnsi="Times New Roman"/>
                      <w:color w:val="auto"/>
                      <w:spacing w:val="-3"/>
                      <w:sz w:val="21"/>
                      <w:szCs w:val="21"/>
                      <w:lang w:eastAsia="zh-CN"/>
                    </w:rPr>
                    <w:t>制</w:t>
                  </w:r>
                  <w:r>
                    <w:rPr>
                      <w:rFonts w:ascii="Times New Roman" w:hAnsi="Times New Roman"/>
                      <w:color w:val="auto"/>
                      <w:spacing w:val="-72"/>
                      <w:sz w:val="21"/>
                      <w:szCs w:val="21"/>
                      <w:lang w:eastAsia="zh-CN"/>
                    </w:rPr>
                    <w:t>、</w:t>
                  </w:r>
                  <w:r>
                    <w:rPr>
                      <w:rFonts w:ascii="Times New Roman" w:hAnsi="Times New Roman"/>
                      <w:color w:val="auto"/>
                      <w:sz w:val="21"/>
                      <w:szCs w:val="21"/>
                      <w:lang w:eastAsia="zh-CN"/>
                    </w:rPr>
                    <w:t>配</w:t>
                  </w:r>
                  <w:r>
                    <w:rPr>
                      <w:rFonts w:ascii="Times New Roman" w:hAnsi="Times New Roman"/>
                      <w:color w:val="auto"/>
                      <w:spacing w:val="-3"/>
                      <w:sz w:val="21"/>
                      <w:szCs w:val="21"/>
                      <w:lang w:eastAsia="zh-CN"/>
                    </w:rPr>
                    <w:t>套</w:t>
                  </w:r>
                  <w:r>
                    <w:rPr>
                      <w:rFonts w:ascii="Times New Roman" w:hAnsi="Times New Roman"/>
                      <w:color w:val="auto"/>
                      <w:sz w:val="21"/>
                      <w:szCs w:val="21"/>
                      <w:lang w:eastAsia="zh-CN"/>
                    </w:rPr>
                    <w:t>条</w:t>
                  </w:r>
                  <w:r>
                    <w:rPr>
                      <w:rFonts w:ascii="Times New Roman" w:hAnsi="Times New Roman"/>
                      <w:color w:val="auto"/>
                      <w:spacing w:val="-3"/>
                      <w:sz w:val="21"/>
                      <w:szCs w:val="21"/>
                      <w:lang w:eastAsia="zh-CN"/>
                    </w:rPr>
                    <w:t>件等</w:t>
                  </w:r>
                  <w:r>
                    <w:rPr>
                      <w:rFonts w:ascii="Times New Roman" w:hAnsi="Times New Roman"/>
                      <w:color w:val="auto"/>
                      <w:sz w:val="21"/>
                      <w:szCs w:val="21"/>
                      <w:lang w:eastAsia="zh-CN"/>
                    </w:rPr>
                    <w:t>因素</w:t>
                  </w:r>
                  <w:r>
                    <w:rPr>
                      <w:rFonts w:ascii="Times New Roman" w:hAnsi="Times New Roman"/>
                      <w:color w:val="auto"/>
                      <w:spacing w:val="-3"/>
                      <w:sz w:val="21"/>
                      <w:szCs w:val="21"/>
                      <w:lang w:eastAsia="zh-CN"/>
                    </w:rPr>
                    <w:t>的</w:t>
                  </w:r>
                  <w:r>
                    <w:rPr>
                      <w:rFonts w:ascii="Times New Roman" w:hAnsi="Times New Roman"/>
                      <w:color w:val="auto"/>
                      <w:sz w:val="21"/>
                      <w:szCs w:val="21"/>
                      <w:lang w:eastAsia="zh-CN"/>
                    </w:rPr>
                    <w:t>影</w:t>
                  </w:r>
                  <w:r>
                    <w:rPr>
                      <w:rFonts w:ascii="Times New Roman" w:hAnsi="Times New Roman"/>
                      <w:color w:val="auto"/>
                      <w:spacing w:val="-3"/>
                      <w:sz w:val="21"/>
                      <w:szCs w:val="21"/>
                      <w:lang w:eastAsia="zh-CN"/>
                    </w:rPr>
                    <w:t>响</w:t>
                  </w:r>
                </w:p>
              </w:tc>
              <w:tc>
                <w:tcPr>
                  <w:tcW w:w="4835" w:type="dxa"/>
                  <w:vAlign w:val="center"/>
                </w:tcPr>
                <w:p>
                  <w:pPr>
                    <w:jc w:val="center"/>
                    <w:rPr>
                      <w:rFonts w:ascii="Times New Roman" w:hAnsi="Times New Roman"/>
                      <w:color w:val="auto"/>
                    </w:rPr>
                  </w:pPr>
                  <w:r>
                    <w:rPr>
                      <w:rFonts w:ascii="Times New Roman" w:hAnsi="Times New Roman"/>
                      <w:color w:val="auto"/>
                    </w:rPr>
                    <w:t>距离最近的服务村庄鲁甲村约2200m</w:t>
                  </w:r>
                </w:p>
              </w:tc>
              <w:tc>
                <w:tcPr>
                  <w:tcW w:w="954" w:type="dxa"/>
                  <w:vAlign w:val="center"/>
                </w:tcPr>
                <w:p>
                  <w:pPr>
                    <w:jc w:val="center"/>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jc w:val="center"/>
                    <w:rPr>
                      <w:rFonts w:ascii="Times New Roman" w:hAnsi="Times New Roman"/>
                      <w:color w:val="auto"/>
                    </w:rPr>
                  </w:pPr>
                  <w:r>
                    <w:rPr>
                      <w:rFonts w:ascii="Times New Roman" w:hAnsi="Times New Roman"/>
                      <w:color w:val="auto"/>
                    </w:rPr>
                    <w:t>3</w:t>
                  </w:r>
                </w:p>
              </w:tc>
              <w:tc>
                <w:tcPr>
                  <w:tcW w:w="2678" w:type="dxa"/>
                  <w:vAlign w:val="center"/>
                </w:tcPr>
                <w:p>
                  <w:pPr>
                    <w:pStyle w:val="71"/>
                    <w:jc w:val="center"/>
                    <w:rPr>
                      <w:rFonts w:ascii="Times New Roman" w:hAnsi="Times New Roman"/>
                      <w:color w:val="auto"/>
                      <w:lang w:eastAsia="zh-CN"/>
                    </w:rPr>
                  </w:pPr>
                  <w:r>
                    <w:rPr>
                      <w:rFonts w:ascii="Times New Roman" w:hAnsi="Times New Roman"/>
                      <w:color w:val="auto"/>
                      <w:spacing w:val="9"/>
                      <w:sz w:val="21"/>
                      <w:szCs w:val="21"/>
                      <w:lang w:eastAsia="zh-CN"/>
                    </w:rPr>
                    <w:t>设在交通便利、易安排清运线路的地</w:t>
                  </w:r>
                  <w:r>
                    <w:rPr>
                      <w:rFonts w:ascii="Times New Roman" w:hAnsi="Times New Roman"/>
                      <w:color w:val="auto"/>
                      <w:sz w:val="21"/>
                      <w:szCs w:val="21"/>
                      <w:lang w:eastAsia="zh-CN"/>
                    </w:rPr>
                    <w:t>方。</w:t>
                  </w:r>
                </w:p>
              </w:tc>
              <w:tc>
                <w:tcPr>
                  <w:tcW w:w="4835" w:type="dxa"/>
                  <w:vAlign w:val="center"/>
                </w:tcPr>
                <w:p>
                  <w:pPr>
                    <w:jc w:val="center"/>
                    <w:rPr>
                      <w:rFonts w:ascii="Times New Roman" w:hAnsi="Times New Roman"/>
                      <w:color w:val="auto"/>
                    </w:rPr>
                  </w:pPr>
                  <w:r>
                    <w:rPr>
                      <w:rFonts w:ascii="Times New Roman" w:hAnsi="Times New Roman"/>
                      <w:color w:val="auto"/>
                    </w:rPr>
                    <w:t>宁五公路（X024）横穿九岘乡，交通便利，易安排清运线路。</w:t>
                  </w:r>
                </w:p>
              </w:tc>
              <w:tc>
                <w:tcPr>
                  <w:tcW w:w="954" w:type="dxa"/>
                  <w:vAlign w:val="center"/>
                </w:tcPr>
                <w:p>
                  <w:pPr>
                    <w:jc w:val="center"/>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jc w:val="center"/>
                    <w:rPr>
                      <w:rFonts w:ascii="Times New Roman" w:hAnsi="Times New Roman"/>
                      <w:color w:val="auto"/>
                    </w:rPr>
                  </w:pPr>
                  <w:r>
                    <w:rPr>
                      <w:rFonts w:ascii="Times New Roman" w:hAnsi="Times New Roman"/>
                      <w:color w:val="auto"/>
                    </w:rPr>
                    <w:t>4</w:t>
                  </w:r>
                </w:p>
              </w:tc>
              <w:tc>
                <w:tcPr>
                  <w:tcW w:w="2678" w:type="dxa"/>
                  <w:vAlign w:val="center"/>
                </w:tcPr>
                <w:p>
                  <w:pPr>
                    <w:jc w:val="center"/>
                    <w:rPr>
                      <w:rFonts w:ascii="Times New Roman" w:hAnsi="Times New Roman"/>
                      <w:color w:val="auto"/>
                    </w:rPr>
                  </w:pPr>
                  <w:r>
                    <w:rPr>
                      <w:rFonts w:ascii="Times New Roman" w:hAnsi="Times New Roman"/>
                      <w:color w:val="auto"/>
                      <w:spacing w:val="-2"/>
                      <w:szCs w:val="21"/>
                    </w:rPr>
                    <w:t>满足供水、供电、污水排放的要求。</w:t>
                  </w:r>
                </w:p>
              </w:tc>
              <w:tc>
                <w:tcPr>
                  <w:tcW w:w="4835" w:type="dxa"/>
                  <w:vAlign w:val="center"/>
                </w:tcPr>
                <w:p>
                  <w:pPr>
                    <w:jc w:val="center"/>
                    <w:rPr>
                      <w:rFonts w:ascii="Times New Roman" w:hAnsi="Times New Roman"/>
                      <w:color w:val="auto"/>
                    </w:rPr>
                  </w:pPr>
                  <w:r>
                    <w:rPr>
                      <w:rFonts w:ascii="Times New Roman" w:hAnsi="Times New Roman"/>
                      <w:color w:val="auto"/>
                    </w:rPr>
                    <w:t>项目所在地方已敷设自来水供水管网，周边设有变电站，生活污水用于抑尘，地面及设备冲洗废水、渗滤液经渗滤液暂存池暂存后运至宁县污水处理厂</w:t>
                  </w:r>
                </w:p>
              </w:tc>
              <w:tc>
                <w:tcPr>
                  <w:tcW w:w="954" w:type="dxa"/>
                  <w:vAlign w:val="center"/>
                </w:tcPr>
                <w:p>
                  <w:pPr>
                    <w:jc w:val="center"/>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jc w:val="center"/>
                    <w:rPr>
                      <w:rFonts w:ascii="Times New Roman" w:hAnsi="Times New Roman"/>
                      <w:color w:val="auto"/>
                    </w:rPr>
                  </w:pPr>
                  <w:r>
                    <w:rPr>
                      <w:rFonts w:ascii="Times New Roman" w:hAnsi="Times New Roman"/>
                      <w:color w:val="auto"/>
                    </w:rPr>
                    <w:t>5</w:t>
                  </w:r>
                </w:p>
              </w:tc>
              <w:tc>
                <w:tcPr>
                  <w:tcW w:w="2678" w:type="dxa"/>
                  <w:vAlign w:val="center"/>
                </w:tcPr>
                <w:p>
                  <w:pPr>
                    <w:pStyle w:val="71"/>
                    <w:jc w:val="center"/>
                    <w:rPr>
                      <w:rFonts w:ascii="Times New Roman" w:hAnsi="Times New Roman"/>
                      <w:color w:val="auto"/>
                      <w:lang w:eastAsia="zh-CN"/>
                    </w:rPr>
                  </w:pPr>
                  <w:r>
                    <w:rPr>
                      <w:rFonts w:ascii="Times New Roman" w:hAnsi="Times New Roman"/>
                      <w:color w:val="auto"/>
                      <w:sz w:val="21"/>
                      <w:szCs w:val="21"/>
                      <w:lang w:eastAsia="zh-CN"/>
                    </w:rPr>
                    <w:t>不得</w:t>
                  </w:r>
                  <w:r>
                    <w:rPr>
                      <w:rFonts w:ascii="Times New Roman" w:hAnsi="Times New Roman"/>
                      <w:color w:val="auto"/>
                      <w:spacing w:val="-3"/>
                      <w:sz w:val="21"/>
                      <w:szCs w:val="21"/>
                      <w:lang w:eastAsia="zh-CN"/>
                    </w:rPr>
                    <w:t>设</w:t>
                  </w:r>
                  <w:r>
                    <w:rPr>
                      <w:rFonts w:ascii="Times New Roman" w:hAnsi="Times New Roman"/>
                      <w:color w:val="auto"/>
                      <w:sz w:val="21"/>
                      <w:szCs w:val="21"/>
                      <w:lang w:eastAsia="zh-CN"/>
                    </w:rPr>
                    <w:t>在</w:t>
                  </w:r>
                  <w:r>
                    <w:rPr>
                      <w:rFonts w:ascii="Times New Roman" w:hAnsi="Times New Roman"/>
                      <w:color w:val="auto"/>
                      <w:spacing w:val="-3"/>
                      <w:sz w:val="21"/>
                      <w:szCs w:val="21"/>
                      <w:lang w:eastAsia="zh-CN"/>
                    </w:rPr>
                    <w:t>立</w:t>
                  </w:r>
                  <w:r>
                    <w:rPr>
                      <w:rFonts w:ascii="Times New Roman" w:hAnsi="Times New Roman"/>
                      <w:color w:val="auto"/>
                      <w:sz w:val="21"/>
                      <w:szCs w:val="21"/>
                      <w:lang w:eastAsia="zh-CN"/>
                    </w:rPr>
                    <w:t>交</w:t>
                  </w:r>
                  <w:r>
                    <w:rPr>
                      <w:rFonts w:ascii="Times New Roman" w:hAnsi="Times New Roman"/>
                      <w:color w:val="auto"/>
                      <w:spacing w:val="-3"/>
                      <w:sz w:val="21"/>
                      <w:szCs w:val="21"/>
                      <w:lang w:eastAsia="zh-CN"/>
                    </w:rPr>
                    <w:t>桥</w:t>
                  </w:r>
                  <w:r>
                    <w:rPr>
                      <w:rFonts w:ascii="Times New Roman" w:hAnsi="Times New Roman"/>
                      <w:color w:val="auto"/>
                      <w:sz w:val="21"/>
                      <w:szCs w:val="21"/>
                      <w:lang w:eastAsia="zh-CN"/>
                    </w:rPr>
                    <w:t>或</w:t>
                  </w:r>
                  <w:r>
                    <w:rPr>
                      <w:rFonts w:ascii="Times New Roman" w:hAnsi="Times New Roman"/>
                      <w:color w:val="auto"/>
                      <w:spacing w:val="-3"/>
                      <w:sz w:val="21"/>
                      <w:szCs w:val="21"/>
                      <w:lang w:eastAsia="zh-CN"/>
                    </w:rPr>
                    <w:t>平</w:t>
                  </w:r>
                  <w:r>
                    <w:rPr>
                      <w:rFonts w:ascii="Times New Roman" w:hAnsi="Times New Roman"/>
                      <w:color w:val="auto"/>
                      <w:sz w:val="21"/>
                      <w:szCs w:val="21"/>
                      <w:lang w:eastAsia="zh-CN"/>
                    </w:rPr>
                    <w:t>角</w:t>
                  </w:r>
                  <w:r>
                    <w:rPr>
                      <w:rFonts w:ascii="Times New Roman" w:hAnsi="Times New Roman"/>
                      <w:color w:val="auto"/>
                      <w:spacing w:val="-3"/>
                      <w:sz w:val="21"/>
                      <w:szCs w:val="21"/>
                      <w:lang w:eastAsia="zh-CN"/>
                    </w:rPr>
                    <w:t>路</w:t>
                  </w:r>
                  <w:r>
                    <w:rPr>
                      <w:rFonts w:ascii="Times New Roman" w:hAnsi="Times New Roman"/>
                      <w:color w:val="auto"/>
                      <w:sz w:val="21"/>
                      <w:szCs w:val="21"/>
                      <w:lang w:eastAsia="zh-CN"/>
                    </w:rPr>
                    <w:t>口旁</w:t>
                  </w:r>
                  <w:r>
                    <w:rPr>
                      <w:rFonts w:ascii="Times New Roman" w:hAnsi="Times New Roman"/>
                      <w:color w:val="auto"/>
                      <w:spacing w:val="-39"/>
                      <w:sz w:val="21"/>
                      <w:szCs w:val="21"/>
                      <w:lang w:eastAsia="zh-CN"/>
                    </w:rPr>
                    <w:t>、</w:t>
                  </w:r>
                  <w:r>
                    <w:rPr>
                      <w:rFonts w:ascii="Times New Roman" w:hAnsi="Times New Roman"/>
                      <w:color w:val="auto"/>
                      <w:sz w:val="21"/>
                      <w:szCs w:val="21"/>
                      <w:lang w:eastAsia="zh-CN"/>
                    </w:rPr>
                    <w:t>临</w:t>
                  </w:r>
                  <w:r>
                    <w:rPr>
                      <w:rFonts w:ascii="Times New Roman" w:hAnsi="Times New Roman"/>
                      <w:color w:val="auto"/>
                      <w:spacing w:val="-3"/>
                      <w:sz w:val="21"/>
                      <w:szCs w:val="21"/>
                      <w:lang w:eastAsia="zh-CN"/>
                    </w:rPr>
                    <w:t>近</w:t>
                  </w:r>
                  <w:r>
                    <w:rPr>
                      <w:rFonts w:ascii="Times New Roman" w:hAnsi="Times New Roman"/>
                      <w:color w:val="auto"/>
                      <w:sz w:val="21"/>
                      <w:szCs w:val="21"/>
                      <w:lang w:eastAsia="zh-CN"/>
                    </w:rPr>
                    <w:t>学</w:t>
                  </w:r>
                  <w:r>
                    <w:rPr>
                      <w:rFonts w:ascii="Times New Roman" w:hAnsi="Times New Roman"/>
                      <w:color w:val="auto"/>
                      <w:spacing w:val="-2"/>
                      <w:sz w:val="21"/>
                      <w:szCs w:val="21"/>
                      <w:lang w:eastAsia="zh-CN"/>
                    </w:rPr>
                    <w:t>校、餐饮等群众日常生活聚集场所等。</w:t>
                  </w:r>
                </w:p>
              </w:tc>
              <w:tc>
                <w:tcPr>
                  <w:tcW w:w="4835" w:type="dxa"/>
                  <w:vAlign w:val="center"/>
                </w:tcPr>
                <w:p>
                  <w:pPr>
                    <w:jc w:val="center"/>
                    <w:rPr>
                      <w:rFonts w:ascii="Times New Roman" w:hAnsi="Times New Roman"/>
                      <w:color w:val="auto"/>
                    </w:rPr>
                  </w:pPr>
                  <w:r>
                    <w:rPr>
                      <w:rFonts w:ascii="Times New Roman" w:hAnsi="Times New Roman"/>
                      <w:color w:val="auto"/>
                    </w:rPr>
                    <w:t>周边无餐饮聚集场所，距离最近的学校宁县九岘乡北庄小学1022m</w:t>
                  </w:r>
                </w:p>
              </w:tc>
              <w:tc>
                <w:tcPr>
                  <w:tcW w:w="954" w:type="dxa"/>
                  <w:vAlign w:val="center"/>
                </w:tcPr>
                <w:p>
                  <w:pPr>
                    <w:jc w:val="center"/>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jc w:val="center"/>
                    <w:rPr>
                      <w:rFonts w:ascii="Times New Roman" w:hAnsi="Times New Roman"/>
                      <w:color w:val="auto"/>
                    </w:rPr>
                  </w:pPr>
                  <w:r>
                    <w:rPr>
                      <w:rFonts w:ascii="Times New Roman" w:hAnsi="Times New Roman"/>
                      <w:color w:val="auto"/>
                    </w:rPr>
                    <w:t>6</w:t>
                  </w:r>
                </w:p>
              </w:tc>
              <w:tc>
                <w:tcPr>
                  <w:tcW w:w="2678" w:type="dxa"/>
                  <w:vAlign w:val="center"/>
                </w:tcPr>
                <w:p>
                  <w:pPr>
                    <w:jc w:val="center"/>
                    <w:rPr>
                      <w:rFonts w:ascii="Times New Roman" w:hAnsi="Times New Roman"/>
                      <w:color w:val="auto"/>
                    </w:rPr>
                  </w:pPr>
                  <w:r>
                    <w:rPr>
                      <w:rFonts w:ascii="Times New Roman" w:hAnsi="Times New Roman"/>
                      <w:color w:val="auto"/>
                      <w:spacing w:val="-2"/>
                      <w:szCs w:val="21"/>
                    </w:rPr>
                    <w:t>与相邻建筑物相隔距离不小于8m。</w:t>
                  </w:r>
                </w:p>
              </w:tc>
              <w:tc>
                <w:tcPr>
                  <w:tcW w:w="4835" w:type="dxa"/>
                  <w:vAlign w:val="center"/>
                </w:tcPr>
                <w:p>
                  <w:pPr>
                    <w:jc w:val="center"/>
                    <w:rPr>
                      <w:rFonts w:ascii="Times New Roman" w:hAnsi="Times New Roman"/>
                      <w:color w:val="auto"/>
                    </w:rPr>
                  </w:pPr>
                  <w:r>
                    <w:rPr>
                      <w:rFonts w:ascii="Times New Roman" w:hAnsi="Times New Roman"/>
                      <w:color w:val="auto"/>
                    </w:rPr>
                    <w:t>最近建筑物距离本项目400m</w:t>
                  </w:r>
                </w:p>
              </w:tc>
              <w:tc>
                <w:tcPr>
                  <w:tcW w:w="954" w:type="dxa"/>
                  <w:vAlign w:val="center"/>
                </w:tcPr>
                <w:p>
                  <w:pPr>
                    <w:jc w:val="center"/>
                    <w:rPr>
                      <w:rFonts w:ascii="Times New Roman" w:hAnsi="Times New Roman"/>
                      <w:color w:val="auto"/>
                    </w:rPr>
                  </w:pPr>
                  <w:r>
                    <w:rPr>
                      <w:rFonts w:ascii="Times New Roman" w:hAnsi="Times New Roman"/>
                      <w:color w:val="auto"/>
                    </w:rPr>
                    <w:t>符合</w:t>
                  </w:r>
                </w:p>
              </w:tc>
            </w:tr>
          </w:tbl>
          <w:p>
            <w:pPr>
              <w:spacing w:line="360" w:lineRule="auto"/>
              <w:ind w:firstLine="476" w:firstLineChars="200"/>
              <w:rPr>
                <w:rFonts w:ascii="Times New Roman" w:hAnsi="Times New Roman"/>
                <w:color w:val="auto"/>
              </w:rPr>
            </w:pPr>
            <w:r>
              <w:rPr>
                <w:rFonts w:ascii="Times New Roman" w:hAnsi="Times New Roman"/>
                <w:color w:val="auto"/>
                <w:spacing w:val="-1"/>
                <w:sz w:val="24"/>
              </w:rPr>
              <w:t>综上所述，本项目选址符合《环境卫生设施设置标准》（</w:t>
            </w:r>
            <w:r>
              <w:rPr>
                <w:rFonts w:ascii="Times New Roman" w:hAnsi="Times New Roman" w:eastAsia="Times New Roman"/>
                <w:color w:val="auto"/>
                <w:spacing w:val="-1"/>
                <w:sz w:val="24"/>
              </w:rPr>
              <w:t>CJJ27-2012</w:t>
            </w:r>
            <w:r>
              <w:rPr>
                <w:rFonts w:ascii="Times New Roman" w:hAnsi="Times New Roman"/>
                <w:color w:val="auto"/>
                <w:spacing w:val="-1"/>
                <w:sz w:val="24"/>
              </w:rPr>
              <w:t>）和《生活垃圾</w:t>
            </w:r>
            <w:r>
              <w:rPr>
                <w:rFonts w:ascii="Times New Roman" w:hAnsi="Times New Roman"/>
                <w:color w:val="auto"/>
                <w:sz w:val="24"/>
              </w:rPr>
              <w:t>转运站技术规范》（</w:t>
            </w:r>
            <w:r>
              <w:rPr>
                <w:rFonts w:ascii="Times New Roman" w:hAnsi="Times New Roman" w:eastAsia="Times New Roman"/>
                <w:color w:val="auto"/>
                <w:sz w:val="24"/>
              </w:rPr>
              <w:t>CJJ/T47-2016</w:t>
            </w:r>
            <w:r>
              <w:rPr>
                <w:rFonts w:ascii="Times New Roman" w:hAnsi="Times New Roman"/>
                <w:color w:val="auto"/>
                <w:sz w:val="24"/>
              </w:rPr>
              <w:t>）要求。</w:t>
            </w:r>
          </w:p>
          <w:p>
            <w:pPr>
              <w:pStyle w:val="2"/>
              <w:spacing w:line="360" w:lineRule="auto"/>
              <w:ind w:firstLine="437" w:firstLineChars="184"/>
              <w:rPr>
                <w:rFonts w:ascii="Times New Roman" w:hAnsi="Times New Roman" w:eastAsia="宋体"/>
                <w:color w:val="auto"/>
                <w:spacing w:val="-1"/>
                <w:kern w:val="2"/>
                <w:szCs w:val="24"/>
              </w:rPr>
            </w:pPr>
            <w:r>
              <w:rPr>
                <w:rFonts w:ascii="Times New Roman" w:hAnsi="Times New Roman" w:eastAsia="宋体"/>
                <w:color w:val="auto"/>
                <w:spacing w:val="-1"/>
                <w:kern w:val="2"/>
                <w:szCs w:val="24"/>
              </w:rPr>
              <w:t>（3）与《城市环境卫生质量标准》（1997.2.3）符合性分析</w:t>
            </w:r>
          </w:p>
          <w:tbl>
            <w:tblPr>
              <w:tblStyle w:val="26"/>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1"/>
              <w:gridCol w:w="403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1"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《城市环境卫生质量标准》</w:t>
                  </w:r>
                </w:p>
              </w:tc>
              <w:tc>
                <w:tcPr>
                  <w:tcW w:w="403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本项目情况</w:t>
                  </w:r>
                </w:p>
              </w:tc>
              <w:tc>
                <w:tcPr>
                  <w:tcW w:w="89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1"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转运站应有防尘、防污染扩散及污水处置设施</w:t>
                  </w:r>
                </w:p>
              </w:tc>
              <w:tc>
                <w:tcPr>
                  <w:tcW w:w="403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本项目厂区设1座10m</w:t>
                  </w:r>
                  <w:r>
                    <w:rPr>
                      <w:rFonts w:ascii="Times New Roman" w:hAnsi="Times New Roman" w:eastAsia="宋体"/>
                      <w:color w:val="auto"/>
                      <w:spacing w:val="-1"/>
                      <w:kern w:val="2"/>
                      <w:sz w:val="21"/>
                      <w:szCs w:val="21"/>
                      <w:vertAlign w:val="superscript"/>
                    </w:rPr>
                    <w:t>3</w:t>
                  </w:r>
                  <w:r>
                    <w:rPr>
                      <w:rFonts w:ascii="Times New Roman" w:hAnsi="Times New Roman" w:eastAsia="宋体"/>
                      <w:color w:val="auto"/>
                      <w:spacing w:val="-1"/>
                      <w:kern w:val="2"/>
                      <w:sz w:val="21"/>
                      <w:szCs w:val="21"/>
                    </w:rPr>
                    <w:t>渗滤液收集池，生活污水、清洗废水产生量少，成分简单，用于厂区抑尘</w:t>
                  </w:r>
                </w:p>
              </w:tc>
              <w:tc>
                <w:tcPr>
                  <w:tcW w:w="89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1"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进入站内的垃圾应当日转运，定时转运</w:t>
                  </w:r>
                </w:p>
              </w:tc>
              <w:tc>
                <w:tcPr>
                  <w:tcW w:w="403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本项目厂区实行当日转运</w:t>
                  </w:r>
                </w:p>
              </w:tc>
              <w:tc>
                <w:tcPr>
                  <w:tcW w:w="89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1"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蚊蝇孳生季节，应每天喷药灭蚊蝇</w:t>
                  </w:r>
                </w:p>
              </w:tc>
              <w:tc>
                <w:tcPr>
                  <w:tcW w:w="403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项目厂区常年配备灭蚊蝇剂</w:t>
                  </w:r>
                </w:p>
              </w:tc>
              <w:tc>
                <w:tcPr>
                  <w:tcW w:w="89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1"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垃圾临时转运站距离居民居住地不得小于300m，场地周围应设置不低于2.5m的防护围栏和污水排放渠道</w:t>
                  </w:r>
                </w:p>
              </w:tc>
              <w:tc>
                <w:tcPr>
                  <w:tcW w:w="403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最近的居民点距离本项目约400m，场地周围设防护围栏，生活污水用于抑尘，无需建设污水排放渠道</w:t>
                  </w:r>
                </w:p>
              </w:tc>
              <w:tc>
                <w:tcPr>
                  <w:tcW w:w="89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1" w:type="dxa"/>
                  <w:vAlign w:val="center"/>
                </w:tcPr>
                <w:p>
                  <w:pPr>
                    <w:pStyle w:val="2"/>
                    <w:tabs>
                      <w:tab w:val="left" w:pos="1290"/>
                    </w:tabs>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场地应有专人管理，工具、物品放置有序整洁</w:t>
                  </w:r>
                </w:p>
              </w:tc>
              <w:tc>
                <w:tcPr>
                  <w:tcW w:w="403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项目厂区定员2人，设工具管理用房</w:t>
                  </w:r>
                </w:p>
              </w:tc>
              <w:tc>
                <w:tcPr>
                  <w:tcW w:w="898"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w:t>
                  </w:r>
                </w:p>
              </w:tc>
            </w:tr>
          </w:tbl>
          <w:p>
            <w:pPr>
              <w:pStyle w:val="2"/>
              <w:spacing w:line="360" w:lineRule="auto"/>
              <w:ind w:firstLine="437" w:firstLineChars="184"/>
              <w:rPr>
                <w:rFonts w:ascii="Times New Roman" w:hAnsi="Times New Roman" w:eastAsia="宋体"/>
                <w:color w:val="auto"/>
                <w:spacing w:val="-1"/>
                <w:kern w:val="2"/>
                <w:szCs w:val="24"/>
              </w:rPr>
            </w:pPr>
            <w:r>
              <w:rPr>
                <w:rFonts w:ascii="Times New Roman" w:hAnsi="Times New Roman" w:eastAsia="宋体"/>
                <w:color w:val="auto"/>
                <w:spacing w:val="-1"/>
                <w:kern w:val="2"/>
                <w:szCs w:val="24"/>
              </w:rPr>
              <w:t>综上，本项目的建设符合《城市环境卫生质量标准》（建设部建城[1997]21号1997.2.3）的要求。</w:t>
            </w:r>
          </w:p>
          <w:p>
            <w:pPr>
              <w:pStyle w:val="2"/>
              <w:spacing w:line="360" w:lineRule="auto"/>
              <w:ind w:firstLine="437" w:firstLineChars="184"/>
              <w:rPr>
                <w:rFonts w:ascii="Times New Roman" w:hAnsi="Times New Roman" w:eastAsia="宋体"/>
                <w:color w:val="auto"/>
                <w:spacing w:val="-1"/>
                <w:kern w:val="2"/>
                <w:szCs w:val="24"/>
              </w:rPr>
            </w:pPr>
            <w:r>
              <w:rPr>
                <w:rFonts w:ascii="Times New Roman" w:hAnsi="Times New Roman" w:eastAsia="宋体"/>
                <w:color w:val="auto"/>
                <w:spacing w:val="-1"/>
                <w:kern w:val="2"/>
                <w:szCs w:val="24"/>
              </w:rPr>
              <w:t>（4）与《城镇环境卫生设施设置标准》（2005.2.5）符合性分析</w:t>
            </w:r>
          </w:p>
          <w:tbl>
            <w:tblPr>
              <w:tblStyle w:val="26"/>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11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2"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《城镇环境卫生设施设置标准》</w:t>
                  </w:r>
                </w:p>
              </w:tc>
              <w:tc>
                <w:tcPr>
                  <w:tcW w:w="4110"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本项目情况</w:t>
                  </w:r>
                </w:p>
              </w:tc>
              <w:tc>
                <w:tcPr>
                  <w:tcW w:w="840"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2"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垃圾转运站宜设置在交通运输方便、市政条件较好并对居民影响较小的地区</w:t>
                  </w:r>
                </w:p>
              </w:tc>
              <w:tc>
                <w:tcPr>
                  <w:tcW w:w="4110"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项目北侧即为宁五公路，运输方便，转运站距离最近的居民点约400m</w:t>
                  </w:r>
                </w:p>
              </w:tc>
              <w:tc>
                <w:tcPr>
                  <w:tcW w:w="840"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2"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小型转运站用地面积不宜小于800m</w:t>
                  </w:r>
                  <w:r>
                    <w:rPr>
                      <w:rFonts w:ascii="Times New Roman" w:hAnsi="Times New Roman" w:eastAsia="宋体"/>
                      <w:color w:val="auto"/>
                      <w:spacing w:val="-1"/>
                      <w:kern w:val="2"/>
                      <w:sz w:val="21"/>
                      <w:szCs w:val="21"/>
                      <w:vertAlign w:val="superscript"/>
                    </w:rPr>
                    <w:t>2</w:t>
                  </w:r>
                </w:p>
              </w:tc>
              <w:tc>
                <w:tcPr>
                  <w:tcW w:w="4110"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本项目占地面积为2087.67m</w:t>
                  </w:r>
                  <w:r>
                    <w:rPr>
                      <w:rFonts w:ascii="Times New Roman" w:hAnsi="Times New Roman" w:eastAsia="宋体"/>
                      <w:color w:val="auto"/>
                      <w:spacing w:val="-1"/>
                      <w:kern w:val="2"/>
                      <w:sz w:val="21"/>
                      <w:szCs w:val="21"/>
                      <w:vertAlign w:val="superscript"/>
                    </w:rPr>
                    <w:t>2</w:t>
                  </w:r>
                </w:p>
              </w:tc>
              <w:tc>
                <w:tcPr>
                  <w:tcW w:w="840"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2"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转运站绿化率不应大于30%</w:t>
                  </w:r>
                </w:p>
              </w:tc>
              <w:tc>
                <w:tcPr>
                  <w:tcW w:w="4110"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本项目的绿化率为30%</w:t>
                  </w:r>
                </w:p>
              </w:tc>
              <w:tc>
                <w:tcPr>
                  <w:tcW w:w="840" w:type="dxa"/>
                  <w:vAlign w:val="center"/>
                </w:tcPr>
                <w:p>
                  <w:pPr>
                    <w:pStyle w:val="2"/>
                    <w:spacing w:line="240" w:lineRule="auto"/>
                    <w:ind w:firstLine="0"/>
                    <w:jc w:val="center"/>
                    <w:rPr>
                      <w:rFonts w:ascii="Times New Roman" w:hAnsi="Times New Roman" w:eastAsia="宋体"/>
                      <w:color w:val="auto"/>
                      <w:spacing w:val="-1"/>
                      <w:kern w:val="2"/>
                      <w:sz w:val="21"/>
                      <w:szCs w:val="21"/>
                    </w:rPr>
                  </w:pPr>
                  <w:r>
                    <w:rPr>
                      <w:rFonts w:ascii="Times New Roman" w:hAnsi="Times New Roman" w:eastAsia="宋体"/>
                      <w:color w:val="auto"/>
                      <w:spacing w:val="-1"/>
                      <w:kern w:val="2"/>
                      <w:sz w:val="21"/>
                      <w:szCs w:val="21"/>
                    </w:rPr>
                    <w:t>符合</w:t>
                  </w:r>
                </w:p>
              </w:tc>
            </w:tr>
          </w:tbl>
          <w:p>
            <w:pPr>
              <w:pStyle w:val="2"/>
              <w:spacing w:line="360" w:lineRule="auto"/>
              <w:ind w:firstLine="437" w:firstLineChars="184"/>
              <w:rPr>
                <w:rFonts w:ascii="Times New Roman" w:hAnsi="Times New Roman" w:eastAsia="宋体"/>
                <w:color w:val="auto"/>
                <w:spacing w:val="-1"/>
                <w:kern w:val="2"/>
                <w:szCs w:val="24"/>
              </w:rPr>
            </w:pPr>
            <w:r>
              <w:rPr>
                <w:rFonts w:ascii="Times New Roman" w:hAnsi="Times New Roman" w:eastAsia="宋体"/>
                <w:color w:val="auto"/>
                <w:spacing w:val="-1"/>
                <w:kern w:val="2"/>
                <w:szCs w:val="24"/>
              </w:rPr>
              <w:t>综上，本项目的建设符合《城镇环境卫生设施设置标准》（CJJ27-2005，2005.2.5）的要求。</w:t>
            </w:r>
          </w:p>
          <w:p>
            <w:pPr>
              <w:pStyle w:val="2"/>
              <w:spacing w:line="360" w:lineRule="auto"/>
              <w:ind w:firstLine="437" w:firstLineChars="184"/>
              <w:rPr>
                <w:rFonts w:ascii="Times New Roman" w:hAnsi="Times New Roman" w:eastAsia="宋体"/>
                <w:color w:val="auto"/>
                <w:spacing w:val="-1"/>
                <w:kern w:val="2"/>
                <w:szCs w:val="24"/>
              </w:rPr>
            </w:pPr>
            <w:r>
              <w:rPr>
                <w:rFonts w:ascii="Times New Roman" w:hAnsi="Times New Roman" w:eastAsia="宋体"/>
                <w:color w:val="auto"/>
                <w:spacing w:val="-1"/>
                <w:kern w:val="2"/>
                <w:szCs w:val="24"/>
              </w:rPr>
              <w:t>（5）与《中华人民共和国水污染防治法》符合性分析</w:t>
            </w:r>
          </w:p>
          <w:p>
            <w:pPr>
              <w:pStyle w:val="3"/>
              <w:spacing w:line="360" w:lineRule="auto"/>
              <w:ind w:firstLine="476" w:firstLineChars="200"/>
              <w:rPr>
                <w:rFonts w:ascii="Times New Roman" w:hAnsi="Times New Roman" w:eastAsia="宋体"/>
                <w:color w:val="auto"/>
                <w:spacing w:val="-1"/>
                <w:sz w:val="24"/>
                <w:szCs w:val="24"/>
              </w:rPr>
            </w:pPr>
            <w:r>
              <w:rPr>
                <w:rFonts w:ascii="Times New Roman" w:hAnsi="Times New Roman" w:eastAsia="宋体"/>
                <w:color w:val="auto"/>
                <w:spacing w:val="-1"/>
                <w:sz w:val="24"/>
                <w:szCs w:val="24"/>
              </w:rPr>
              <w:t>根据“第六十七条  禁止在饮用水水源准保护区内新建、扩建对实体污染严重的建设项目，改建建设项目不得增加排污量”，本项目为新建项目，日产日清，保证垃圾不落地，转运过程中，不属于对水体污染严重的建设项目。项目符合《中华人民共和国水污染防治法》（2017 年 6 月 27 日第二次修正）的相关要求。</w:t>
            </w:r>
          </w:p>
          <w:p>
            <w:pPr>
              <w:spacing w:line="360" w:lineRule="auto"/>
              <w:ind w:firstLine="476" w:firstLineChars="200"/>
              <w:rPr>
                <w:rFonts w:ascii="Times New Roman" w:hAnsi="Times New Roman"/>
                <w:color w:val="auto"/>
                <w:spacing w:val="-1"/>
                <w:sz w:val="24"/>
              </w:rPr>
            </w:pPr>
            <w:r>
              <w:rPr>
                <w:rFonts w:ascii="Times New Roman" w:hAnsi="Times New Roman"/>
                <w:color w:val="auto"/>
                <w:spacing w:val="-1"/>
                <w:sz w:val="24"/>
              </w:rPr>
              <w:t>（6）“三线一单”符合性分析</w:t>
            </w:r>
          </w:p>
          <w:p>
            <w:pPr>
              <w:spacing w:line="360" w:lineRule="auto"/>
              <w:ind w:firstLine="476" w:firstLineChars="200"/>
              <w:jc w:val="left"/>
              <w:rPr>
                <w:rFonts w:ascii="Times New Roman" w:hAnsi="Times New Roman"/>
                <w:color w:val="auto"/>
                <w:spacing w:val="-1"/>
                <w:sz w:val="24"/>
              </w:rPr>
            </w:pPr>
            <w:r>
              <w:rPr>
                <w:rFonts w:ascii="Times New Roman" w:hAnsi="Times New Roman"/>
                <w:color w:val="auto"/>
                <w:spacing w:val="-1"/>
                <w:sz w:val="24"/>
              </w:rPr>
              <w:t>根据环保部《关于以改善环境质量为核心加强环境影响评价管理的通知》，要求强化“三线一单”约束作用，在生态保护红线范围内，严控各类开发建设活动。项目环评应对照区域环境质量目标，深入分析预测项目建设对环境质量的影响，强化污染防治措施和污染物排放控制要求。要在环评清单式管理的基础上，从布局选址、资源利用效率、资源配置方式等方面入手，制定环境准入负面清单。</w:t>
            </w:r>
          </w:p>
          <w:p>
            <w:pPr>
              <w:spacing w:line="360" w:lineRule="auto"/>
              <w:ind w:left="480"/>
              <w:jc w:val="left"/>
              <w:rPr>
                <w:rFonts w:ascii="Times New Roman" w:hAnsi="Times New Roman"/>
                <w:color w:val="auto"/>
                <w:sz w:val="24"/>
              </w:rPr>
            </w:pPr>
            <w:r>
              <w:rPr>
                <w:rFonts w:ascii="Times New Roman" w:hAnsi="Times New Roman"/>
                <w:color w:val="auto"/>
                <w:sz w:val="24"/>
              </w:rPr>
              <w:t>（7）生态保护红线</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本项目建设地点位于宁县九岘乡，庆阳市生态红线划分工作正在进行中，项目所在区域尚未划定生态红线。根据《甘肃省生态保护与建设规划（2014-2020年》和《庆阳市市“十三五”环境保护规划》相关规划和要求，本项目不在自然保护区、生态敏感区范围内。</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（8）环境质量底线</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本项目实施后生产过程中严格在落实报告表中提出的各项污染防治措施的情况下，项目的实施不会对周边环境产生较大影响，不会改变区域环境功能类别，不会突破环境质量底线，与环境质量底线相符。</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（9）资源利用上线</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本项目在运营过程中会消耗一定的水、电等资源。项目所需水为自来水；电由当地变电所供给；项目建设土地不涉及基本农田，土地资源消耗符合要求。本项目消耗资源量相对区域资源利用总量较少，符合资源利用上线要求。</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（10）环境准入负面清单</w:t>
            </w:r>
          </w:p>
          <w:p>
            <w:pPr>
              <w:spacing w:line="360" w:lineRule="auto"/>
              <w:ind w:firstLine="480" w:firstLineChars="200"/>
              <w:jc w:val="left"/>
              <w:rPr>
                <w:rFonts w:ascii="Times New Roman" w:hAnsi="Times New Roman"/>
                <w:color w:val="auto"/>
              </w:rPr>
            </w:pPr>
            <w:r>
              <w:rPr>
                <w:rFonts w:ascii="Times New Roman" w:hAnsi="Times New Roman"/>
                <w:color w:val="auto"/>
                <w:sz w:val="24"/>
              </w:rPr>
              <w:t>环境准入负面清单是基于生态保护红线、环境质量底线、资源利用上线，项目所在区域敏感特征、区域资源环境承载能力以及环境保护指标、国家清洁生产及环境保护相关要求，以清单方式列出的禁止、限制等差别化环境准入条件和要求。本项目建设地点为宁县九岘乡，未被纳入国家重点生态功能区范围。本项目为城镇生活垃圾转运站新建项目，不属于高污染、高能耗和资源型的产业类型。因此本项目应为环境准入允许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3" w:type="dxa"/>
            <w:gridSpan w:val="12"/>
            <w:tcBorders>
              <w:top w:val="single" w:color="auto" w:sz="4" w:space="0"/>
              <w:left w:val="single" w:color="auto" w:sz="4" w:space="0"/>
              <w:bottom w:val="single" w:color="auto" w:sz="4" w:space="0"/>
              <w:right w:val="single" w:color="auto" w:sz="4" w:space="0"/>
            </w:tcBorders>
          </w:tcPr>
          <w:p>
            <w:pPr>
              <w:spacing w:beforeLines="50" w:line="360" w:lineRule="auto"/>
              <w:rPr>
                <w:rFonts w:ascii="Times New Roman" w:hAnsi="Times New Roman"/>
                <w:b/>
                <w:bCs/>
                <w:color w:val="auto"/>
                <w:sz w:val="24"/>
              </w:rPr>
            </w:pPr>
            <w:r>
              <w:rPr>
                <w:rFonts w:ascii="Times New Roman" w:hAnsi="Times New Roman"/>
                <w:b/>
                <w:bCs/>
                <w:color w:val="auto"/>
                <w:sz w:val="24"/>
              </w:rPr>
              <w:t>与本项目有关的原有污染情况及主要环境问题：</w:t>
            </w:r>
          </w:p>
          <w:p>
            <w:pPr>
              <w:pStyle w:val="13"/>
              <w:tabs>
                <w:tab w:val="left" w:pos="1440"/>
              </w:tabs>
              <w:snapToGrid w:val="0"/>
              <w:spacing w:line="360" w:lineRule="auto"/>
              <w:ind w:left="0" w:leftChars="0" w:firstLine="480"/>
              <w:rPr>
                <w:rFonts w:ascii="Times New Roman" w:hAnsi="Times New Roman"/>
                <w:color w:val="auto"/>
                <w:sz w:val="24"/>
              </w:rPr>
            </w:pPr>
            <w:r>
              <w:rPr>
                <w:rFonts w:ascii="Times New Roman" w:hAnsi="Times New Roman"/>
                <w:color w:val="auto"/>
                <w:sz w:val="24"/>
              </w:rPr>
              <w:t>项目建设性质为新建，根据现场勘查，不存在与本项目有关的原有污染情况及主要环境问题。</w:t>
            </w:r>
          </w:p>
        </w:tc>
      </w:tr>
    </w:tbl>
    <w:p>
      <w:pPr>
        <w:pStyle w:val="5"/>
        <w:rPr>
          <w:rFonts w:ascii="Times New Roman" w:hAnsi="Times New Roman"/>
          <w:color w:val="auto"/>
        </w:rPr>
      </w:pPr>
      <w:r>
        <w:rPr>
          <w:rFonts w:ascii="Times New Roman" w:hAnsi="Times New Roman"/>
          <w:color w:val="auto"/>
        </w:rPr>
        <w:br w:type="page"/>
      </w:r>
      <w:r>
        <w:rPr>
          <w:rFonts w:ascii="Times New Roman" w:hAnsi="Times New Roman"/>
          <w:color w:val="auto"/>
        </w:rPr>
        <w:t>建设项目所在地自然环境简况</w:t>
      </w:r>
    </w:p>
    <w:tbl>
      <w:tblPr>
        <w:tblStyle w:val="26"/>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8647" w:type="dxa"/>
          </w:tcPr>
          <w:p>
            <w:pPr>
              <w:spacing w:line="360" w:lineRule="auto"/>
              <w:rPr>
                <w:rFonts w:ascii="Times New Roman" w:hAnsi="Times New Roman"/>
                <w:b/>
                <w:color w:val="auto"/>
                <w:sz w:val="24"/>
                <w:szCs w:val="20"/>
              </w:rPr>
            </w:pPr>
            <w:r>
              <w:rPr>
                <w:rFonts w:ascii="Times New Roman" w:hAnsi="Times New Roman"/>
                <w:b/>
                <w:color w:val="auto"/>
                <w:sz w:val="24"/>
                <w:szCs w:val="20"/>
              </w:rPr>
              <w:t>自然环境简况（地形、地貌、地质、气候、气象、水文、植被、生物多样性等）</w:t>
            </w:r>
          </w:p>
          <w:p>
            <w:pPr>
              <w:spacing w:line="360" w:lineRule="auto"/>
              <w:ind w:firstLine="442" w:firstLineChars="200"/>
              <w:rPr>
                <w:rFonts w:ascii="Times New Roman" w:hAnsi="Times New Roman"/>
                <w:b/>
                <w:color w:val="auto"/>
                <w:spacing w:val="-10"/>
                <w:sz w:val="24"/>
              </w:rPr>
            </w:pPr>
            <w:r>
              <w:rPr>
                <w:rFonts w:ascii="Times New Roman" w:hAnsi="Times New Roman"/>
                <w:b/>
                <w:color w:val="auto"/>
                <w:spacing w:val="-10"/>
                <w:sz w:val="24"/>
              </w:rPr>
              <w:t>1、地理位置</w:t>
            </w:r>
          </w:p>
          <w:p>
            <w:pPr>
              <w:pStyle w:val="53"/>
              <w:spacing w:line="360" w:lineRule="auto"/>
              <w:ind w:firstLine="480" w:firstLineChars="200"/>
              <w:rPr>
                <w:color w:val="auto"/>
                <w:sz w:val="24"/>
              </w:rPr>
            </w:pPr>
            <w:r>
              <w:rPr>
                <w:color w:val="auto"/>
                <w:sz w:val="24"/>
              </w:rPr>
              <w:t>九岘乡位于宁县东部，宁县位于庆阳市南部，陇东高原子午岭西侧，有“陇东粮仓”之美称。宁县县城位于宁县中部略偏西，属黄土高塬沟壑区,地理位置为东经107°55′~108°34′和北纬35°30′~35°52′，海拔高度为930~990m之间，国道211线从北向南穿过城区，省道303线从东向西穿过城区，宁黄公路从东山进入城区。三条干线均为三级公路，沥青路面，晴雨通车，不受气候影响。城区道路网已经基本形成，并逐渐趋于完善。</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本项目位于庆阳市宁县九岘乡鲁甲村疙瘩组，地理坐标（北纬35°34'54"，东经108°18'58"）。</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2、地形、地貌及地质</w:t>
            </w:r>
          </w:p>
          <w:p>
            <w:pPr>
              <w:spacing w:line="360" w:lineRule="auto"/>
              <w:ind w:firstLine="480" w:firstLineChars="200"/>
              <w:rPr>
                <w:rFonts w:ascii="Times New Roman" w:hAnsi="Times New Roman"/>
                <w:color w:val="auto"/>
                <w:sz w:val="24"/>
                <w:szCs w:val="20"/>
              </w:rPr>
            </w:pPr>
            <w:bookmarkStart w:id="15" w:name="_Toc322705454"/>
            <w:r>
              <w:rPr>
                <w:rFonts w:ascii="Times New Roman" w:hAnsi="Times New Roman"/>
                <w:color w:val="auto"/>
                <w:sz w:val="24"/>
              </w:rPr>
              <w:t>宁县位于甘肃省庆阳市南部、子午岭西麓。东接正宁县，南邻陕西长武县，以泾河为界，西南与泾川县相邻，以泾河为界，西接西峰区，北壤本省合水县。地貌单元属黄土高原丘陵沟壑区，黄土层厚度90—150米。地势自北向南倾斜，平均海拔1460米，地貌梁、峁、沟交错，河、川、塬相间，分为五塬六川；地形北高南低、东宽西窄，略呈三角形，东西长63.5公里，南北宽40.2公里。</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区位于陇东黄土高原地带，境内梁峁起伏，沟壑纵横。地势总体为东北高，西南低，海拔890－1680m，相对高差约800m，项目区海拔高度984m左右，上覆黄土的厚度几米至几十米不等。由于暴雨、洪水的强烈侵蚀切割，尤其是线状侵蚀的结果，形成了沟壑纵横支离破碎的各种黄土地貌形态。</w:t>
            </w:r>
          </w:p>
          <w:p>
            <w:pPr>
              <w:spacing w:line="360" w:lineRule="auto"/>
              <w:ind w:firstLine="480" w:firstLineChars="200"/>
              <w:rPr>
                <w:rFonts w:ascii="Times New Roman" w:hAnsi="Times New Roman"/>
                <w:color w:val="auto"/>
                <w:sz w:val="24"/>
              </w:rPr>
            </w:pPr>
            <w:r>
              <w:rPr>
                <w:rFonts w:ascii="Times New Roman" w:hAnsi="Times New Roman"/>
                <w:color w:val="auto"/>
                <w:sz w:val="24"/>
              </w:rPr>
              <w:t>按地貌特征和成因类型，项目区地貌类型可分为黄土梁峁区和河谷平原区地貌两类。项目区西侧位于黄土梁峁的前缘斜坡带，东侧位于马莲河III级阶地的后缘。</w:t>
            </w:r>
          </w:p>
          <w:bookmarkEnd w:id="15"/>
          <w:p>
            <w:pPr>
              <w:spacing w:line="360" w:lineRule="auto"/>
              <w:ind w:firstLine="482" w:firstLineChars="200"/>
              <w:rPr>
                <w:rFonts w:ascii="Times New Roman" w:hAnsi="Times New Roman"/>
                <w:b/>
                <w:color w:val="auto"/>
                <w:sz w:val="24"/>
                <w:lang w:val="zh-CN"/>
              </w:rPr>
            </w:pPr>
            <w:r>
              <w:rPr>
                <w:rFonts w:ascii="Times New Roman" w:hAnsi="Times New Roman"/>
                <w:b/>
                <w:color w:val="auto"/>
                <w:sz w:val="24"/>
                <w:lang w:val="zh-CN"/>
              </w:rPr>
              <w:t>3、气象气候条件</w:t>
            </w:r>
          </w:p>
          <w:p>
            <w:pPr>
              <w:spacing w:line="360" w:lineRule="auto"/>
              <w:ind w:firstLine="480" w:firstLineChars="200"/>
              <w:rPr>
                <w:rFonts w:ascii="Times New Roman" w:hAnsi="Times New Roman"/>
                <w:color w:val="auto"/>
                <w:sz w:val="24"/>
                <w:szCs w:val="20"/>
              </w:rPr>
            </w:pPr>
            <w:r>
              <w:rPr>
                <w:rFonts w:ascii="Times New Roman" w:hAnsi="Times New Roman"/>
                <w:color w:val="auto"/>
                <w:sz w:val="24"/>
              </w:rPr>
              <w:t>宁县属暖温带大陆性高原气候，暖湿空气势力不强，并受冷空气影响，年降雨量较少，温润适中，四季分明。冬季寒冷而夏季不甚炎热，春、秋季节空气活动频繁，春季偏北风。根据宁县多年气候资料统计，主要气象特征如表2-1。</w:t>
            </w:r>
          </w:p>
          <w:p>
            <w:pPr>
              <w:autoSpaceDE w:val="0"/>
              <w:autoSpaceDN w:val="0"/>
              <w:adjustRightInd w:val="0"/>
              <w:ind w:firstLine="482" w:firstLineChars="200"/>
              <w:jc w:val="center"/>
              <w:rPr>
                <w:rFonts w:ascii="Times New Roman" w:hAnsi="Times New Roman"/>
                <w:b/>
                <w:bCs/>
                <w:color w:val="auto"/>
                <w:sz w:val="24"/>
              </w:rPr>
            </w:pPr>
            <w:r>
              <w:rPr>
                <w:rFonts w:ascii="Times New Roman" w:hAnsi="Times New Roman"/>
                <w:b/>
                <w:bCs/>
                <w:color w:val="auto"/>
                <w:sz w:val="24"/>
              </w:rPr>
              <w:t>表2-1    宁县主要气象特征</w:t>
            </w:r>
          </w:p>
          <w:tbl>
            <w:tblPr>
              <w:tblStyle w:val="26"/>
              <w:tblW w:w="842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65"/>
              <w:gridCol w:w="1807"/>
              <w:gridCol w:w="1435"/>
              <w:gridCol w:w="1807"/>
              <w:gridCol w:w="13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2065" w:type="dxa"/>
                  <w:vAlign w:val="center"/>
                </w:tcPr>
                <w:p>
                  <w:pPr>
                    <w:jc w:val="center"/>
                    <w:rPr>
                      <w:rFonts w:ascii="Times New Roman" w:hAnsi="Times New Roman"/>
                      <w:color w:val="auto"/>
                      <w:szCs w:val="21"/>
                    </w:rPr>
                  </w:pPr>
                  <w:r>
                    <w:rPr>
                      <w:rFonts w:ascii="Times New Roman" w:hAnsi="Times New Roman"/>
                      <w:color w:val="auto"/>
                      <w:szCs w:val="21"/>
                    </w:rPr>
                    <w:t>项目</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分项</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数量</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分项</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2065" w:type="dxa"/>
                  <w:vMerge w:val="restart"/>
                  <w:vAlign w:val="center"/>
                </w:tcPr>
                <w:p>
                  <w:pPr>
                    <w:jc w:val="center"/>
                    <w:rPr>
                      <w:rFonts w:ascii="Times New Roman" w:hAnsi="Times New Roman"/>
                      <w:color w:val="auto"/>
                      <w:szCs w:val="21"/>
                    </w:rPr>
                  </w:pPr>
                  <w:r>
                    <w:rPr>
                      <w:rFonts w:ascii="Times New Roman" w:hAnsi="Times New Roman"/>
                      <w:color w:val="auto"/>
                      <w:szCs w:val="21"/>
                    </w:rPr>
                    <w:t>气温</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最高气温</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36.5</w:t>
                  </w:r>
                  <w:r>
                    <w:rPr>
                      <w:rFonts w:hint="eastAsia" w:ascii="宋体" w:hAnsi="宋体" w:cs="宋体"/>
                      <w:color w:val="auto"/>
                      <w:szCs w:val="21"/>
                    </w:rPr>
                    <w:t>℃</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最低气温</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-25.4</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2065" w:type="dxa"/>
                  <w:vMerge w:val="continue"/>
                  <w:vAlign w:val="center"/>
                </w:tcPr>
                <w:p>
                  <w:pPr>
                    <w:widowControl/>
                    <w:jc w:val="left"/>
                    <w:rPr>
                      <w:rFonts w:ascii="Times New Roman" w:hAnsi="Times New Roman"/>
                      <w:color w:val="auto"/>
                      <w:szCs w:val="21"/>
                    </w:rPr>
                  </w:pP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平均气温</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8.7</w:t>
                  </w:r>
                  <w:r>
                    <w:rPr>
                      <w:rFonts w:hint="eastAsia" w:ascii="宋体" w:hAnsi="宋体" w:cs="宋体"/>
                      <w:color w:val="auto"/>
                      <w:szCs w:val="21"/>
                    </w:rPr>
                    <w:t>℃</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有效积温</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3623.6</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2065" w:type="dxa"/>
                  <w:vMerge w:val="restart"/>
                  <w:vAlign w:val="center"/>
                </w:tcPr>
                <w:p>
                  <w:pPr>
                    <w:jc w:val="center"/>
                    <w:rPr>
                      <w:rFonts w:ascii="Times New Roman" w:hAnsi="Times New Roman"/>
                      <w:color w:val="auto"/>
                      <w:szCs w:val="21"/>
                    </w:rPr>
                  </w:pPr>
                  <w:r>
                    <w:rPr>
                      <w:rFonts w:ascii="Times New Roman" w:hAnsi="Times New Roman"/>
                      <w:color w:val="auto"/>
                      <w:szCs w:val="21"/>
                    </w:rPr>
                    <w:t>风向及频率</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常年主导风向</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S、ES</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最大风速</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14.0m/s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2065" w:type="dxa"/>
                  <w:vMerge w:val="continue"/>
                  <w:vAlign w:val="center"/>
                </w:tcPr>
                <w:p>
                  <w:pPr>
                    <w:widowControl/>
                    <w:jc w:val="left"/>
                    <w:rPr>
                      <w:rFonts w:ascii="Times New Roman" w:hAnsi="Times New Roman"/>
                      <w:color w:val="auto"/>
                      <w:szCs w:val="21"/>
                    </w:rPr>
                  </w:pP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平均风速</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2.3m/s</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频率</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17.5%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2065" w:type="dxa"/>
                  <w:vMerge w:val="restart"/>
                  <w:vAlign w:val="center"/>
                </w:tcPr>
                <w:p>
                  <w:pPr>
                    <w:jc w:val="center"/>
                    <w:rPr>
                      <w:rFonts w:ascii="Times New Roman" w:hAnsi="Times New Roman"/>
                      <w:color w:val="auto"/>
                      <w:szCs w:val="21"/>
                    </w:rPr>
                  </w:pPr>
                  <w:r>
                    <w:rPr>
                      <w:rFonts w:ascii="Times New Roman" w:hAnsi="Times New Roman"/>
                      <w:color w:val="auto"/>
                      <w:szCs w:val="21"/>
                    </w:rPr>
                    <w:t>降雨量及蒸发量</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年平均降雨量</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572.1mm</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年最大降雨量</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827.7mm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2065" w:type="dxa"/>
                  <w:vMerge w:val="continue"/>
                  <w:vAlign w:val="center"/>
                </w:tcPr>
                <w:p>
                  <w:pPr>
                    <w:widowControl/>
                    <w:jc w:val="left"/>
                    <w:rPr>
                      <w:rFonts w:ascii="Times New Roman" w:hAnsi="Times New Roman"/>
                      <w:color w:val="auto"/>
                      <w:szCs w:val="21"/>
                    </w:rPr>
                  </w:pP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年最小降雨量</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372mm</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日最大降雨量</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165mm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2065" w:type="dxa"/>
                  <w:vMerge w:val="continue"/>
                  <w:vAlign w:val="center"/>
                </w:tcPr>
                <w:p>
                  <w:pPr>
                    <w:widowControl/>
                    <w:jc w:val="left"/>
                    <w:rPr>
                      <w:rFonts w:ascii="Times New Roman" w:hAnsi="Times New Roman"/>
                      <w:color w:val="auto"/>
                      <w:szCs w:val="21"/>
                    </w:rPr>
                  </w:pP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年平均蒸发量</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994mm</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年日照时数</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2356.82h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2065" w:type="dxa"/>
                  <w:vAlign w:val="center"/>
                </w:tcPr>
                <w:p>
                  <w:pPr>
                    <w:jc w:val="center"/>
                    <w:rPr>
                      <w:rFonts w:ascii="Times New Roman" w:hAnsi="Times New Roman"/>
                      <w:color w:val="auto"/>
                      <w:szCs w:val="21"/>
                    </w:rPr>
                  </w:pPr>
                  <w:r>
                    <w:rPr>
                      <w:rFonts w:ascii="Times New Roman" w:hAnsi="Times New Roman"/>
                      <w:color w:val="auto"/>
                      <w:szCs w:val="21"/>
                    </w:rPr>
                    <w:t>其他</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最大冻土深度</w:t>
                  </w:r>
                </w:p>
              </w:tc>
              <w:tc>
                <w:tcPr>
                  <w:tcW w:w="1435" w:type="dxa"/>
                  <w:vAlign w:val="center"/>
                </w:tcPr>
                <w:p>
                  <w:pPr>
                    <w:jc w:val="center"/>
                    <w:rPr>
                      <w:rFonts w:ascii="Times New Roman" w:hAnsi="Times New Roman"/>
                      <w:color w:val="auto"/>
                      <w:szCs w:val="21"/>
                    </w:rPr>
                  </w:pPr>
                  <w:r>
                    <w:rPr>
                      <w:rFonts w:ascii="Times New Roman" w:hAnsi="Times New Roman"/>
                      <w:color w:val="auto"/>
                      <w:szCs w:val="21"/>
                    </w:rPr>
                    <w:t>86cm</w:t>
                  </w:r>
                </w:p>
              </w:tc>
              <w:tc>
                <w:tcPr>
                  <w:tcW w:w="1807" w:type="dxa"/>
                  <w:vAlign w:val="center"/>
                </w:tcPr>
                <w:p>
                  <w:pPr>
                    <w:jc w:val="center"/>
                    <w:rPr>
                      <w:rFonts w:ascii="Times New Roman" w:hAnsi="Times New Roman"/>
                      <w:color w:val="auto"/>
                      <w:szCs w:val="21"/>
                    </w:rPr>
                  </w:pPr>
                  <w:r>
                    <w:rPr>
                      <w:rFonts w:ascii="Times New Roman" w:hAnsi="Times New Roman"/>
                      <w:color w:val="auto"/>
                      <w:szCs w:val="21"/>
                    </w:rPr>
                    <w:t>最大积雪深度</w:t>
                  </w:r>
                </w:p>
              </w:tc>
              <w:tc>
                <w:tcPr>
                  <w:tcW w:w="1307" w:type="dxa"/>
                  <w:vAlign w:val="center"/>
                </w:tcPr>
                <w:p>
                  <w:pPr>
                    <w:jc w:val="center"/>
                    <w:rPr>
                      <w:rFonts w:ascii="Times New Roman" w:hAnsi="Times New Roman"/>
                      <w:color w:val="auto"/>
                      <w:szCs w:val="21"/>
                    </w:rPr>
                  </w:pPr>
                  <w:r>
                    <w:rPr>
                      <w:rFonts w:ascii="Times New Roman" w:hAnsi="Times New Roman"/>
                      <w:color w:val="auto"/>
                      <w:szCs w:val="21"/>
                    </w:rPr>
                    <w:t>19mm</w:t>
                  </w:r>
                </w:p>
              </w:tc>
            </w:tr>
          </w:tbl>
          <w:p>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4、水文</w:t>
            </w:r>
          </w:p>
          <w:p>
            <w:pPr>
              <w:spacing w:line="360" w:lineRule="auto"/>
              <w:ind w:firstLine="480" w:firstLineChars="200"/>
              <w:rPr>
                <w:rFonts w:ascii="Times New Roman" w:hAnsi="Times New Roman"/>
                <w:color w:val="auto"/>
                <w:sz w:val="24"/>
                <w:szCs w:val="20"/>
              </w:rPr>
            </w:pPr>
            <w:r>
              <w:rPr>
                <w:rFonts w:ascii="Times New Roman" w:hAnsi="Times New Roman"/>
                <w:color w:val="auto"/>
                <w:sz w:val="24"/>
              </w:rPr>
              <w:t>（1）地表水</w:t>
            </w:r>
          </w:p>
          <w:p>
            <w:pPr>
              <w:spacing w:line="360" w:lineRule="auto"/>
              <w:ind w:firstLine="480" w:firstLineChars="200"/>
              <w:rPr>
                <w:rFonts w:ascii="Times New Roman" w:hAnsi="Times New Roman"/>
                <w:color w:val="auto"/>
                <w:sz w:val="24"/>
              </w:rPr>
            </w:pPr>
            <w:r>
              <w:rPr>
                <w:rFonts w:ascii="Times New Roman" w:hAnsi="Times New Roman"/>
                <w:color w:val="auto"/>
                <w:sz w:val="24"/>
              </w:rPr>
              <w:t>宁县县城区域流域主要有马莲河、九龙河和城北河，县城周边沟较大的支沟有水门沟、黄羊沟。</w:t>
            </w:r>
          </w:p>
          <w:p>
            <w:pPr>
              <w:spacing w:line="360" w:lineRule="auto"/>
              <w:ind w:firstLine="480" w:firstLineChars="200"/>
              <w:rPr>
                <w:rFonts w:ascii="Times New Roman" w:hAnsi="Times New Roman"/>
                <w:color w:val="auto"/>
                <w:sz w:val="24"/>
              </w:rPr>
            </w:pPr>
            <w:r>
              <w:rPr>
                <w:rFonts w:hint="eastAsia" w:ascii="宋体" w:hAnsi="宋体" w:cs="宋体"/>
                <w:color w:val="auto"/>
                <w:sz w:val="24"/>
              </w:rPr>
              <w:t>①</w:t>
            </w:r>
            <w:r>
              <w:rPr>
                <w:rFonts w:ascii="Times New Roman" w:hAnsi="Times New Roman"/>
                <w:color w:val="auto"/>
                <w:sz w:val="24"/>
              </w:rPr>
              <w:t>马莲河：是宁县境内的第一大河流，发源于宁夏回族自治区盐池县麻黄山，于环县甜水堡流入庆阳市，在铁莲川口流入宁县境内，于政平汇入泾河。马莲河总河长374.8km，宁县境内河长59km，河道平均坡降1.45‰。根据马莲河出口控制站一雨落坪水文站50年实测资料统计，多年平均流量为14.9m</w:t>
            </w:r>
            <w:r>
              <w:rPr>
                <w:rFonts w:ascii="Times New Roman" w:hAnsi="Times New Roman"/>
                <w:color w:val="auto"/>
                <w:sz w:val="24"/>
                <w:vertAlign w:val="superscript"/>
              </w:rPr>
              <w:t>3</w:t>
            </w:r>
            <w:r>
              <w:rPr>
                <w:rFonts w:ascii="Times New Roman" w:hAnsi="Times New Roman"/>
                <w:color w:val="auto"/>
                <w:sz w:val="24"/>
              </w:rPr>
              <w:t>/s，多年平均径流量为44900万m</w:t>
            </w:r>
            <w:r>
              <w:rPr>
                <w:rFonts w:ascii="Times New Roman" w:hAnsi="Times New Roman"/>
                <w:color w:val="auto"/>
                <w:sz w:val="24"/>
                <w:vertAlign w:val="superscript"/>
              </w:rPr>
              <w:t>3</w:t>
            </w:r>
            <w:r>
              <w:rPr>
                <w:rFonts w:ascii="Times New Roman" w:hAnsi="Times New Roman"/>
                <w:color w:val="auto"/>
                <w:sz w:val="24"/>
              </w:rPr>
              <w:t>。马莲河宁县段现状水质为</w:t>
            </w:r>
            <w:r>
              <w:rPr>
                <w:rFonts w:ascii="Times New Roman" w:hAnsi="Times New Roman"/>
                <w:color w:val="auto"/>
                <w:sz w:val="24"/>
              </w:rPr>
              <w:fldChar w:fldCharType="begin"/>
            </w:r>
            <w:r>
              <w:rPr>
                <w:rFonts w:ascii="Times New Roman" w:hAnsi="Times New Roman"/>
                <w:color w:val="auto"/>
                <w:sz w:val="24"/>
              </w:rPr>
              <w:instrText xml:space="preserve"> = 5 \* ROMAN \* MERGEFORMAT </w:instrText>
            </w:r>
            <w:r>
              <w:rPr>
                <w:rFonts w:ascii="Times New Roman" w:hAnsi="Times New Roman"/>
                <w:color w:val="auto"/>
                <w:sz w:val="24"/>
              </w:rPr>
              <w:fldChar w:fldCharType="separate"/>
            </w:r>
            <w:r>
              <w:rPr>
                <w:rFonts w:ascii="Times New Roman" w:hAnsi="Times New Roman"/>
                <w:color w:val="auto"/>
                <w:sz w:val="24"/>
              </w:rPr>
              <w:t>V</w:t>
            </w:r>
            <w:r>
              <w:rPr>
                <w:rFonts w:ascii="Times New Roman" w:hAnsi="Times New Roman"/>
                <w:color w:val="auto"/>
                <w:sz w:val="24"/>
              </w:rPr>
              <w:fldChar w:fldCharType="end"/>
            </w:r>
            <w:r>
              <w:rPr>
                <w:rFonts w:ascii="Times New Roman" w:hAnsi="Times New Roman"/>
                <w:color w:val="auto"/>
                <w:sz w:val="24"/>
              </w:rPr>
              <w:t>类，矿化度1465mg/L，水体水质较差。</w:t>
            </w:r>
          </w:p>
          <w:p>
            <w:pPr>
              <w:spacing w:line="360" w:lineRule="auto"/>
              <w:ind w:firstLine="480" w:firstLineChars="200"/>
              <w:rPr>
                <w:rFonts w:ascii="Times New Roman" w:hAnsi="Times New Roman"/>
                <w:color w:val="auto"/>
                <w:sz w:val="24"/>
              </w:rPr>
            </w:pPr>
            <w:r>
              <w:rPr>
                <w:rFonts w:hint="eastAsia" w:ascii="宋体" w:hAnsi="宋体" w:cs="宋体"/>
                <w:color w:val="auto"/>
                <w:sz w:val="24"/>
              </w:rPr>
              <w:t>②</w:t>
            </w:r>
            <w:r>
              <w:rPr>
                <w:rFonts w:ascii="Times New Roman" w:hAnsi="Times New Roman"/>
                <w:color w:val="auto"/>
                <w:sz w:val="24"/>
              </w:rPr>
              <w:t>城北河：城北河在南义乡寨子河村以上称为固城川。固城川发源于子午岭西麓的合水县午亭子，在南义乡的魁星楼流入宁县境内。城北河流域面积1865km</w:t>
            </w:r>
            <w:r>
              <w:rPr>
                <w:rFonts w:ascii="Times New Roman" w:hAnsi="Times New Roman"/>
                <w:color w:val="auto"/>
                <w:sz w:val="24"/>
                <w:vertAlign w:val="superscript"/>
              </w:rPr>
              <w:t>2</w:t>
            </w:r>
            <w:r>
              <w:rPr>
                <w:rFonts w:ascii="Times New Roman" w:hAnsi="Times New Roman"/>
                <w:color w:val="auto"/>
                <w:sz w:val="24"/>
              </w:rPr>
              <w:t>（含固城川、湘乐川、平道川），河长72km，河道平均坡降2.83‰，多年平均流量为1.10m</w:t>
            </w:r>
            <w:r>
              <w:rPr>
                <w:rFonts w:ascii="Times New Roman" w:hAnsi="Times New Roman"/>
                <w:color w:val="auto"/>
                <w:sz w:val="24"/>
                <w:vertAlign w:val="superscript"/>
              </w:rPr>
              <w:t>3</w:t>
            </w:r>
            <w:r>
              <w:rPr>
                <w:rFonts w:ascii="Times New Roman" w:hAnsi="Times New Roman"/>
                <w:color w:val="auto"/>
                <w:sz w:val="24"/>
              </w:rPr>
              <w:t>/s。城北河入境河段现状水质为</w:t>
            </w:r>
            <w:r>
              <w:rPr>
                <w:rFonts w:ascii="Times New Roman" w:hAnsi="Times New Roman"/>
                <w:color w:val="auto"/>
                <w:sz w:val="24"/>
              </w:rPr>
              <w:fldChar w:fldCharType="begin"/>
            </w:r>
            <w:r>
              <w:rPr>
                <w:rFonts w:ascii="Times New Roman" w:hAnsi="Times New Roman"/>
                <w:color w:val="auto"/>
                <w:sz w:val="24"/>
              </w:rPr>
              <w:instrText xml:space="preserve"> = 3 \* ROMAN \* MERGEFORMAT </w:instrText>
            </w:r>
            <w:r>
              <w:rPr>
                <w:rFonts w:ascii="Times New Roman" w:hAnsi="Times New Roman"/>
                <w:color w:val="auto"/>
                <w:sz w:val="24"/>
              </w:rPr>
              <w:fldChar w:fldCharType="separate"/>
            </w:r>
            <w:r>
              <w:rPr>
                <w:rFonts w:ascii="Times New Roman" w:hAnsi="Times New Roman"/>
                <w:color w:val="auto"/>
                <w:sz w:val="24"/>
              </w:rPr>
              <w:t>III</w:t>
            </w:r>
            <w:r>
              <w:rPr>
                <w:rFonts w:ascii="Times New Roman" w:hAnsi="Times New Roman"/>
                <w:color w:val="auto"/>
                <w:sz w:val="24"/>
              </w:rPr>
              <w:fldChar w:fldCharType="end"/>
            </w:r>
            <w:r>
              <w:rPr>
                <w:rFonts w:ascii="Times New Roman" w:hAnsi="Times New Roman"/>
                <w:color w:val="auto"/>
                <w:sz w:val="24"/>
              </w:rPr>
              <w:t>类，城北河宁县县城河段现状水质为</w:t>
            </w:r>
            <w:r>
              <w:rPr>
                <w:rFonts w:ascii="Times New Roman" w:hAnsi="Times New Roman"/>
                <w:color w:val="auto"/>
                <w:sz w:val="24"/>
              </w:rPr>
              <w:fldChar w:fldCharType="begin"/>
            </w:r>
            <w:r>
              <w:rPr>
                <w:rFonts w:ascii="Times New Roman" w:hAnsi="Times New Roman"/>
                <w:color w:val="auto"/>
                <w:sz w:val="24"/>
              </w:rPr>
              <w:instrText xml:space="preserve"> = 4 \* ROMAN \* MERGEFORMAT </w:instrText>
            </w:r>
            <w:r>
              <w:rPr>
                <w:rFonts w:ascii="Times New Roman" w:hAnsi="Times New Roman"/>
                <w:color w:val="auto"/>
                <w:sz w:val="24"/>
              </w:rPr>
              <w:fldChar w:fldCharType="separate"/>
            </w:r>
            <w:r>
              <w:rPr>
                <w:rFonts w:ascii="Times New Roman" w:hAnsi="Times New Roman"/>
                <w:color w:val="auto"/>
                <w:sz w:val="24"/>
              </w:rPr>
              <w:t>IV</w:t>
            </w:r>
            <w:r>
              <w:rPr>
                <w:rFonts w:ascii="Times New Roman" w:hAnsi="Times New Roman"/>
                <w:color w:val="auto"/>
                <w:sz w:val="24"/>
              </w:rPr>
              <w:fldChar w:fldCharType="end"/>
            </w:r>
            <w:r>
              <w:rPr>
                <w:rFonts w:ascii="Times New Roman" w:hAnsi="Times New Roman"/>
                <w:color w:val="auto"/>
                <w:sz w:val="24"/>
              </w:rPr>
              <w:t>类，矿化度472mg/L。九龙河、城北河流域面积和水体水量均偏小且受人为因素和自然因素影响太大，平水期河道沿途农业提水灌溉，使来水水量变化无常，枯水期经常发生断流无水可取；洪汛期水量虽大，但含泥沙量较大，水质浑浊，致使扬水机械和水处理构筑物无法正常运行而无水可供。另外，河道沿途农业近年来使用化肥、农药使河水受到污染，对水源地的水质构成威胁。</w:t>
            </w:r>
          </w:p>
          <w:p>
            <w:pPr>
              <w:spacing w:line="360" w:lineRule="auto"/>
              <w:ind w:firstLine="480" w:firstLineChars="200"/>
              <w:rPr>
                <w:rFonts w:ascii="Times New Roman" w:hAnsi="Times New Roman"/>
                <w:color w:val="auto"/>
                <w:sz w:val="24"/>
              </w:rPr>
            </w:pPr>
            <w:r>
              <w:rPr>
                <w:rFonts w:hint="eastAsia" w:ascii="宋体" w:hAnsi="宋体" w:cs="宋体"/>
                <w:color w:val="auto"/>
                <w:sz w:val="24"/>
              </w:rPr>
              <w:t>③</w:t>
            </w:r>
            <w:r>
              <w:rPr>
                <w:rFonts w:ascii="Times New Roman" w:hAnsi="Times New Roman"/>
                <w:color w:val="auto"/>
                <w:sz w:val="24"/>
              </w:rPr>
              <w:t>九龙河：发源于子午岭西麓的龙池，在宁县城汇入马莲河，流域面积642km</w:t>
            </w:r>
            <w:r>
              <w:rPr>
                <w:rFonts w:ascii="Times New Roman" w:hAnsi="Times New Roman"/>
                <w:color w:val="auto"/>
                <w:sz w:val="24"/>
                <w:vertAlign w:val="superscript"/>
              </w:rPr>
              <w:t>2</w:t>
            </w:r>
            <w:r>
              <w:rPr>
                <w:rFonts w:ascii="Times New Roman" w:hAnsi="Times New Roman"/>
                <w:color w:val="auto"/>
                <w:sz w:val="24"/>
              </w:rPr>
              <w:t>，河长56km，河道平均坡降7.25‰。宁县境内流域面积334.4km</w:t>
            </w:r>
            <w:r>
              <w:rPr>
                <w:rFonts w:ascii="Times New Roman" w:hAnsi="Times New Roman"/>
                <w:color w:val="auto"/>
                <w:sz w:val="24"/>
                <w:vertAlign w:val="superscript"/>
              </w:rPr>
              <w:t>2</w:t>
            </w:r>
            <w:r>
              <w:rPr>
                <w:rFonts w:ascii="Times New Roman" w:hAnsi="Times New Roman"/>
                <w:color w:val="auto"/>
                <w:sz w:val="24"/>
              </w:rPr>
              <w:t>在川口以上分为左家川和嘉峪川两条支流。根据九龙河宁县水文站24年实测资料统计，多年平均流量0.45m</w:t>
            </w:r>
            <w:r>
              <w:rPr>
                <w:rFonts w:ascii="Times New Roman" w:hAnsi="Times New Roman"/>
                <w:color w:val="auto"/>
                <w:sz w:val="24"/>
                <w:vertAlign w:val="superscript"/>
              </w:rPr>
              <w:t>3</w:t>
            </w:r>
            <w:r>
              <w:rPr>
                <w:rFonts w:ascii="Times New Roman" w:hAnsi="Times New Roman"/>
                <w:color w:val="auto"/>
                <w:sz w:val="24"/>
              </w:rPr>
              <w:t>/s，多年平均径流量为1434万m</w:t>
            </w:r>
            <w:r>
              <w:rPr>
                <w:rFonts w:ascii="Times New Roman" w:hAnsi="Times New Roman"/>
                <w:color w:val="auto"/>
                <w:sz w:val="24"/>
                <w:vertAlign w:val="superscript"/>
              </w:rPr>
              <w:t>3</w:t>
            </w:r>
            <w:r>
              <w:rPr>
                <w:rFonts w:ascii="Times New Roman" w:hAnsi="Times New Roman"/>
                <w:color w:val="auto"/>
                <w:sz w:val="24"/>
              </w:rPr>
              <w:t>。川口河段现状水质为</w:t>
            </w:r>
            <w:r>
              <w:rPr>
                <w:rFonts w:ascii="Times New Roman" w:hAnsi="Times New Roman"/>
                <w:color w:val="auto"/>
                <w:sz w:val="24"/>
              </w:rPr>
              <w:fldChar w:fldCharType="begin"/>
            </w:r>
            <w:r>
              <w:rPr>
                <w:rFonts w:ascii="Times New Roman" w:hAnsi="Times New Roman"/>
                <w:color w:val="auto"/>
                <w:sz w:val="24"/>
              </w:rPr>
              <w:instrText xml:space="preserve"> = 4 \* ROMAN \* MERGEFORMAT </w:instrText>
            </w:r>
            <w:r>
              <w:rPr>
                <w:rFonts w:ascii="Times New Roman" w:hAnsi="Times New Roman"/>
                <w:color w:val="auto"/>
                <w:sz w:val="24"/>
              </w:rPr>
              <w:fldChar w:fldCharType="separate"/>
            </w:r>
            <w:r>
              <w:rPr>
                <w:rFonts w:ascii="Times New Roman" w:hAnsi="Times New Roman"/>
                <w:color w:val="auto"/>
                <w:sz w:val="24"/>
              </w:rPr>
              <w:t>IV</w:t>
            </w:r>
            <w:r>
              <w:rPr>
                <w:rFonts w:ascii="Times New Roman" w:hAnsi="Times New Roman"/>
                <w:color w:val="auto"/>
                <w:sz w:val="24"/>
              </w:rPr>
              <w:fldChar w:fldCharType="end"/>
            </w:r>
            <w:r>
              <w:rPr>
                <w:rFonts w:ascii="Times New Roman" w:hAnsi="Times New Roman"/>
                <w:color w:val="auto"/>
                <w:sz w:val="24"/>
              </w:rPr>
              <w:t>类，九龙河出口河段现状水质为</w:t>
            </w:r>
            <w:r>
              <w:rPr>
                <w:rFonts w:ascii="Times New Roman" w:hAnsi="Times New Roman"/>
                <w:color w:val="auto"/>
                <w:sz w:val="24"/>
              </w:rPr>
              <w:fldChar w:fldCharType="begin"/>
            </w:r>
            <w:r>
              <w:rPr>
                <w:rFonts w:ascii="Times New Roman" w:hAnsi="Times New Roman"/>
                <w:color w:val="auto"/>
                <w:sz w:val="24"/>
              </w:rPr>
              <w:instrText xml:space="preserve"> = 4 \* ROMAN \* MERGEFORMAT </w:instrText>
            </w:r>
            <w:r>
              <w:rPr>
                <w:rFonts w:ascii="Times New Roman" w:hAnsi="Times New Roman"/>
                <w:color w:val="auto"/>
                <w:sz w:val="24"/>
              </w:rPr>
              <w:fldChar w:fldCharType="separate"/>
            </w:r>
            <w:r>
              <w:rPr>
                <w:rFonts w:ascii="Times New Roman" w:hAnsi="Times New Roman"/>
                <w:color w:val="auto"/>
                <w:sz w:val="24"/>
              </w:rPr>
              <w:t>V</w:t>
            </w:r>
            <w:r>
              <w:rPr>
                <w:rFonts w:ascii="Times New Roman" w:hAnsi="Times New Roman"/>
                <w:color w:val="auto"/>
                <w:sz w:val="24"/>
              </w:rPr>
              <w:fldChar w:fldCharType="end"/>
            </w:r>
            <w:r>
              <w:rPr>
                <w:rFonts w:ascii="Times New Roman" w:hAnsi="Times New Roman"/>
                <w:color w:val="auto"/>
                <w:sz w:val="24"/>
              </w:rPr>
              <w:t>类，矿化度556mg/L。</w:t>
            </w:r>
          </w:p>
          <w:p>
            <w:pPr>
              <w:spacing w:line="360" w:lineRule="auto"/>
              <w:ind w:firstLine="480" w:firstLineChars="200"/>
              <w:rPr>
                <w:rFonts w:ascii="Times New Roman" w:hAnsi="Times New Roman"/>
                <w:color w:val="auto"/>
                <w:sz w:val="24"/>
              </w:rPr>
            </w:pPr>
            <w:r>
              <w:rPr>
                <w:rFonts w:hint="eastAsia" w:ascii="宋体" w:hAnsi="宋体" w:cs="宋体"/>
                <w:color w:val="auto"/>
                <w:sz w:val="24"/>
              </w:rPr>
              <w:t>④</w:t>
            </w:r>
            <w:r>
              <w:rPr>
                <w:rFonts w:ascii="Times New Roman" w:hAnsi="Times New Roman"/>
                <w:color w:val="auto"/>
                <w:sz w:val="24"/>
              </w:rPr>
              <w:t>砚瓦川：原称珊瑚川，发源于董志塬中部的周家岭，由西北流向东南，至昔家川汇入马莲河，流域总面积371.2km</w:t>
            </w:r>
            <w:r>
              <w:rPr>
                <w:rFonts w:ascii="Times New Roman" w:hAnsi="Times New Roman"/>
                <w:color w:val="auto"/>
                <w:sz w:val="24"/>
                <w:vertAlign w:val="superscript"/>
              </w:rPr>
              <w:t>2</w:t>
            </w:r>
            <w:r>
              <w:rPr>
                <w:rFonts w:ascii="Times New Roman" w:hAnsi="Times New Roman"/>
                <w:color w:val="auto"/>
                <w:sz w:val="24"/>
              </w:rPr>
              <w:t>。河长41.2km，在河口（马莲河）6.2km处，建有砚瓦川泥沙站试验站，控制流域面积329km</w:t>
            </w:r>
            <w:r>
              <w:rPr>
                <w:rFonts w:ascii="Times New Roman" w:hAnsi="Times New Roman"/>
                <w:color w:val="auto"/>
                <w:sz w:val="24"/>
                <w:vertAlign w:val="superscript"/>
              </w:rPr>
              <w:t>2</w:t>
            </w:r>
            <w:r>
              <w:rPr>
                <w:rFonts w:ascii="Times New Roman" w:hAnsi="Times New Roman"/>
                <w:color w:val="auto"/>
                <w:sz w:val="24"/>
              </w:rPr>
              <w:t>，河道平均坡降12.9‰。多年平均流量0.243m</w:t>
            </w:r>
            <w:r>
              <w:rPr>
                <w:rFonts w:ascii="Times New Roman" w:hAnsi="Times New Roman"/>
                <w:color w:val="auto"/>
                <w:sz w:val="24"/>
                <w:vertAlign w:val="superscript"/>
              </w:rPr>
              <w:t>3</w:t>
            </w:r>
            <w:r>
              <w:rPr>
                <w:rFonts w:ascii="Times New Roman" w:hAnsi="Times New Roman"/>
                <w:color w:val="auto"/>
                <w:sz w:val="24"/>
              </w:rPr>
              <w:t>/s，多年平均径流量767.3万m</w:t>
            </w:r>
            <w:r>
              <w:rPr>
                <w:rFonts w:ascii="Times New Roman" w:hAnsi="Times New Roman"/>
                <w:color w:val="auto"/>
                <w:sz w:val="24"/>
                <w:vertAlign w:val="superscript"/>
              </w:rPr>
              <w:t>3</w:t>
            </w:r>
            <w:r>
              <w:rPr>
                <w:rFonts w:ascii="Times New Roman" w:hAnsi="Times New Roman"/>
                <w:color w:val="auto"/>
                <w:sz w:val="24"/>
              </w:rPr>
              <w:t>。</w:t>
            </w:r>
          </w:p>
          <w:p>
            <w:pPr>
              <w:spacing w:line="360" w:lineRule="auto"/>
              <w:ind w:firstLine="480" w:firstLineChars="200"/>
              <w:rPr>
                <w:rFonts w:ascii="Times New Roman" w:hAnsi="Times New Roman"/>
                <w:color w:val="auto"/>
                <w:sz w:val="24"/>
              </w:rPr>
            </w:pPr>
            <w:r>
              <w:rPr>
                <w:rFonts w:hint="eastAsia" w:ascii="宋体" w:hAnsi="宋体" w:cs="宋体"/>
                <w:color w:val="auto"/>
                <w:sz w:val="24"/>
              </w:rPr>
              <w:t>⑤</w:t>
            </w:r>
            <w:r>
              <w:rPr>
                <w:rFonts w:ascii="Times New Roman" w:hAnsi="Times New Roman"/>
                <w:color w:val="auto"/>
                <w:sz w:val="24"/>
              </w:rPr>
              <w:t>水门沟：为马莲河的一级支流，发源于焦村乡王咀村王家庄子，沟道全长11km，沟道比降13.1%，流域面积32.7km</w:t>
            </w:r>
            <w:r>
              <w:rPr>
                <w:rFonts w:ascii="Times New Roman" w:hAnsi="Times New Roman"/>
                <w:color w:val="auto"/>
                <w:sz w:val="24"/>
                <w:vertAlign w:val="superscript"/>
              </w:rPr>
              <w:t>2</w:t>
            </w:r>
            <w:r>
              <w:rPr>
                <w:rFonts w:ascii="Times New Roman" w:hAnsi="Times New Roman"/>
                <w:color w:val="auto"/>
                <w:sz w:val="24"/>
              </w:rPr>
              <w:t>，多年平均流量0.012m</w:t>
            </w:r>
            <w:r>
              <w:rPr>
                <w:rFonts w:ascii="Times New Roman" w:hAnsi="Times New Roman"/>
                <w:color w:val="auto"/>
                <w:sz w:val="24"/>
                <w:vertAlign w:val="superscript"/>
              </w:rPr>
              <w:t>3</w:t>
            </w:r>
            <w:r>
              <w:rPr>
                <w:rFonts w:ascii="Times New Roman" w:hAnsi="Times New Roman"/>
                <w:color w:val="auto"/>
                <w:sz w:val="24"/>
              </w:rPr>
              <w:t>/s，多年平均径流量37.87万m</w:t>
            </w:r>
            <w:r>
              <w:rPr>
                <w:rFonts w:ascii="Times New Roman" w:hAnsi="Times New Roman"/>
                <w:color w:val="auto"/>
                <w:sz w:val="24"/>
                <w:vertAlign w:val="superscript"/>
              </w:rPr>
              <w:t>3</w:t>
            </w:r>
            <w:r>
              <w:rPr>
                <w:rFonts w:ascii="Times New Roman" w:hAnsi="Times New Roman"/>
                <w:color w:val="auto"/>
                <w:sz w:val="24"/>
              </w:rPr>
              <w:t>。于县城的向阳组汇入马莲河，沟道常年有水。</w:t>
            </w:r>
          </w:p>
          <w:p>
            <w:pPr>
              <w:pStyle w:val="53"/>
              <w:spacing w:line="360" w:lineRule="auto"/>
              <w:ind w:firstLine="480" w:firstLineChars="200"/>
              <w:rPr>
                <w:color w:val="auto"/>
                <w:sz w:val="24"/>
              </w:rPr>
            </w:pPr>
            <w:r>
              <w:rPr>
                <w:rFonts w:hint="eastAsia" w:ascii="宋体" w:hAnsi="宋体" w:cs="宋体"/>
                <w:color w:val="auto"/>
                <w:sz w:val="24"/>
              </w:rPr>
              <w:t>⑥</w:t>
            </w:r>
            <w:r>
              <w:rPr>
                <w:color w:val="auto"/>
                <w:sz w:val="24"/>
              </w:rPr>
              <w:t>黄羊沟：为马莲河的一级支流，发源于焦村乡马村康家岭，沟道全长6.8km，沟道比降9.8%，流域面积14.7km</w:t>
            </w:r>
            <w:r>
              <w:rPr>
                <w:color w:val="auto"/>
                <w:sz w:val="24"/>
                <w:vertAlign w:val="superscript"/>
              </w:rPr>
              <w:t>2</w:t>
            </w:r>
            <w:r>
              <w:rPr>
                <w:color w:val="auto"/>
                <w:sz w:val="24"/>
              </w:rPr>
              <w:t>，多年平均流量0.054m</w:t>
            </w:r>
            <w:r>
              <w:rPr>
                <w:color w:val="auto"/>
                <w:sz w:val="24"/>
                <w:vertAlign w:val="superscript"/>
              </w:rPr>
              <w:t>3</w:t>
            </w:r>
            <w:r>
              <w:rPr>
                <w:color w:val="auto"/>
                <w:sz w:val="24"/>
              </w:rPr>
              <w:t>/s，多年平均径流量170.3万m</w:t>
            </w:r>
            <w:r>
              <w:rPr>
                <w:color w:val="auto"/>
                <w:sz w:val="24"/>
                <w:vertAlign w:val="superscript"/>
              </w:rPr>
              <w:t>3</w:t>
            </w:r>
            <w:r>
              <w:rPr>
                <w:color w:val="auto"/>
                <w:sz w:val="24"/>
              </w:rPr>
              <w:t>。于县城的向阳组汇入马莲河，沟道常年有水。</w:t>
            </w:r>
          </w:p>
          <w:p>
            <w:pPr>
              <w:pStyle w:val="53"/>
              <w:spacing w:line="360" w:lineRule="auto"/>
              <w:ind w:firstLine="480" w:firstLineChars="200"/>
              <w:rPr>
                <w:color w:val="auto"/>
                <w:kern w:val="0"/>
                <w:sz w:val="24"/>
                <w:szCs w:val="24"/>
              </w:rPr>
            </w:pPr>
            <w:r>
              <w:rPr>
                <w:color w:val="auto"/>
                <w:kern w:val="0"/>
                <w:sz w:val="24"/>
                <w:szCs w:val="24"/>
              </w:rPr>
              <w:t>（2）地下水</w:t>
            </w:r>
          </w:p>
          <w:p>
            <w:pPr>
              <w:spacing w:line="360" w:lineRule="auto"/>
              <w:ind w:firstLine="480" w:firstLineChars="200"/>
              <w:rPr>
                <w:rFonts w:ascii="Times New Roman" w:hAnsi="Times New Roman"/>
                <w:color w:val="auto"/>
                <w:sz w:val="24"/>
                <w:szCs w:val="20"/>
              </w:rPr>
            </w:pPr>
            <w:r>
              <w:rPr>
                <w:rFonts w:ascii="Times New Roman" w:hAnsi="Times New Roman"/>
                <w:color w:val="auto"/>
                <w:sz w:val="24"/>
              </w:rPr>
              <w:fldChar w:fldCharType="begin"/>
            </w:r>
            <w:r>
              <w:rPr>
                <w:rFonts w:ascii="Times New Roman" w:hAnsi="Times New Roman"/>
                <w:color w:val="auto"/>
                <w:sz w:val="24"/>
              </w:rPr>
              <w:instrText xml:space="preserve"> = 1 \* GB3 </w:instrText>
            </w:r>
            <w:r>
              <w:rPr>
                <w:rFonts w:ascii="Times New Roman" w:hAnsi="Times New Roman"/>
                <w:color w:val="auto"/>
                <w:sz w:val="24"/>
              </w:rPr>
              <w:fldChar w:fldCharType="separate"/>
            </w:r>
            <w:r>
              <w:rPr>
                <w:rFonts w:hint="eastAsia" w:ascii="宋体" w:hAnsi="宋体" w:cs="宋体"/>
                <w:color w:val="auto"/>
                <w:sz w:val="24"/>
              </w:rPr>
              <w:t>①</w:t>
            </w:r>
            <w:r>
              <w:rPr>
                <w:rFonts w:ascii="Times New Roman" w:hAnsi="Times New Roman"/>
                <w:color w:val="auto"/>
                <w:sz w:val="24"/>
              </w:rPr>
              <w:fldChar w:fldCharType="end"/>
            </w:r>
            <w:r>
              <w:rPr>
                <w:rFonts w:ascii="Times New Roman" w:hAnsi="Times New Roman"/>
                <w:color w:val="auto"/>
                <w:sz w:val="24"/>
              </w:rPr>
              <w:t>浅层地下水：含水地层主要是第四系松散岩类孔隙潜水，赋存于各河谷</w:t>
            </w:r>
            <w:r>
              <w:rPr>
                <w:rFonts w:ascii="Times New Roman" w:hAnsi="Times New Roman"/>
                <w:color w:val="auto"/>
                <w:sz w:val="24"/>
              </w:rPr>
              <w:fldChar w:fldCharType="begin"/>
            </w:r>
            <w:r>
              <w:rPr>
                <w:rFonts w:ascii="Times New Roman" w:hAnsi="Times New Roman"/>
                <w:color w:val="auto"/>
                <w:sz w:val="24"/>
              </w:rPr>
              <w:instrText xml:space="preserve"> = 1  \* ROMAN \* MERGEFORMAT </w:instrText>
            </w:r>
            <w:r>
              <w:rPr>
                <w:rFonts w:ascii="Times New Roman" w:hAnsi="Times New Roman"/>
                <w:color w:val="auto"/>
                <w:sz w:val="24"/>
              </w:rPr>
              <w:fldChar w:fldCharType="separate"/>
            </w:r>
            <w:r>
              <w:rPr>
                <w:rFonts w:ascii="Times New Roman" w:hAnsi="Times New Roman"/>
                <w:color w:val="auto"/>
                <w:sz w:val="24"/>
              </w:rPr>
              <w:t>I</w:t>
            </w:r>
            <w:r>
              <w:rPr>
                <w:rFonts w:ascii="Times New Roman" w:hAnsi="Times New Roman"/>
                <w:color w:val="auto"/>
                <w:sz w:val="24"/>
              </w:rPr>
              <w:fldChar w:fldCharType="end"/>
            </w:r>
            <w:r>
              <w:rPr>
                <w:rFonts w:ascii="Times New Roman" w:hAnsi="Times New Roman"/>
                <w:color w:val="auto"/>
                <w:sz w:val="24"/>
              </w:rPr>
              <w:t>-</w:t>
            </w:r>
            <w:r>
              <w:rPr>
                <w:rFonts w:ascii="Times New Roman" w:hAnsi="Times New Roman"/>
                <w:color w:val="auto"/>
                <w:sz w:val="24"/>
              </w:rPr>
              <w:fldChar w:fldCharType="begin"/>
            </w:r>
            <w:r>
              <w:rPr>
                <w:rFonts w:ascii="Times New Roman" w:hAnsi="Times New Roman"/>
                <w:color w:val="auto"/>
                <w:sz w:val="24"/>
              </w:rPr>
              <w:instrText xml:space="preserve"> = 2 \* ROMAN \* MERGEFORMAT </w:instrText>
            </w:r>
            <w:r>
              <w:rPr>
                <w:rFonts w:ascii="Times New Roman" w:hAnsi="Times New Roman"/>
                <w:color w:val="auto"/>
                <w:sz w:val="24"/>
              </w:rPr>
              <w:fldChar w:fldCharType="separate"/>
            </w:r>
            <w:r>
              <w:rPr>
                <w:rFonts w:ascii="Times New Roman" w:hAnsi="Times New Roman"/>
                <w:color w:val="auto"/>
                <w:sz w:val="24"/>
              </w:rPr>
              <w:t>II</w:t>
            </w:r>
            <w:r>
              <w:rPr>
                <w:rFonts w:ascii="Times New Roman" w:hAnsi="Times New Roman"/>
                <w:color w:val="auto"/>
                <w:sz w:val="24"/>
              </w:rPr>
              <w:fldChar w:fldCharType="end"/>
            </w:r>
            <w:r>
              <w:rPr>
                <w:rFonts w:ascii="Times New Roman" w:hAnsi="Times New Roman"/>
                <w:color w:val="auto"/>
                <w:sz w:val="24"/>
              </w:rPr>
              <w:t>级阶地、河漫滩中，含水层岩性为砂卵砾石。该类水水位埋藏浅，一般3-5m，含水层厚度薄，普遍小于1m，富水性差，单井涌水量小于50-100m</w:t>
            </w:r>
            <w:r>
              <w:rPr>
                <w:rFonts w:ascii="Times New Roman" w:hAnsi="Times New Roman"/>
                <w:color w:val="auto"/>
                <w:sz w:val="24"/>
                <w:vertAlign w:val="superscript"/>
              </w:rPr>
              <w:t>3</w:t>
            </w:r>
            <w:r>
              <w:rPr>
                <w:rFonts w:ascii="Times New Roman" w:hAnsi="Times New Roman"/>
                <w:color w:val="auto"/>
                <w:sz w:val="24"/>
              </w:rPr>
              <w:t>/d。该类地下水主要接受大气降水、河水渗入和地下径流的补给，以人工开采和地下径流的方式排泄，其水质较好，矿化度小于1.5g/l。</w:t>
            </w:r>
          </w:p>
          <w:p>
            <w:pPr>
              <w:spacing w:line="360" w:lineRule="auto"/>
              <w:ind w:firstLine="480" w:firstLineChars="200"/>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2 \* GB3 </w:instrText>
            </w:r>
            <w:r>
              <w:rPr>
                <w:rFonts w:ascii="Times New Roman" w:hAnsi="Times New Roman"/>
                <w:color w:val="auto"/>
                <w:sz w:val="24"/>
              </w:rPr>
              <w:fldChar w:fldCharType="separate"/>
            </w:r>
            <w:r>
              <w:rPr>
                <w:rFonts w:hint="eastAsia" w:ascii="宋体" w:hAnsi="宋体" w:cs="宋体"/>
                <w:color w:val="auto"/>
                <w:sz w:val="24"/>
              </w:rPr>
              <w:t>②</w:t>
            </w:r>
            <w:r>
              <w:rPr>
                <w:rFonts w:ascii="Times New Roman" w:hAnsi="Times New Roman"/>
                <w:color w:val="auto"/>
                <w:sz w:val="24"/>
              </w:rPr>
              <w:fldChar w:fldCharType="end"/>
            </w:r>
            <w:r>
              <w:rPr>
                <w:rFonts w:ascii="Times New Roman" w:hAnsi="Times New Roman"/>
                <w:color w:val="auto"/>
                <w:sz w:val="24"/>
              </w:rPr>
              <w:t>深层地下水</w:t>
            </w:r>
          </w:p>
          <w:p>
            <w:pPr>
              <w:spacing w:line="360" w:lineRule="auto"/>
              <w:ind w:firstLine="480" w:firstLineChars="200"/>
              <w:rPr>
                <w:rFonts w:ascii="Times New Roman" w:hAnsi="Times New Roman"/>
                <w:color w:val="auto"/>
                <w:sz w:val="24"/>
              </w:rPr>
            </w:pPr>
            <w:r>
              <w:rPr>
                <w:rFonts w:ascii="Times New Roman" w:hAnsi="Times New Roman"/>
                <w:color w:val="auto"/>
                <w:sz w:val="24"/>
              </w:rPr>
              <w:t>宁县城区深层地下水分布较广，根据《宁县城区供水扩建工程建设项目水资源论证报告》及《宁县城区供水扩建工程水源地水文地质勘察报告》，下白垩系碎屑岩类孔隙裂隙承压水具备作为城区供水水源的价值，其中宜君洛河组承压含水层供水条件较好。该组地下水矿化度为1.58-1.88g/l。其年天然补给量为1460万m</w:t>
            </w:r>
            <w:r>
              <w:rPr>
                <w:rFonts w:ascii="Times New Roman" w:hAnsi="Times New Roman"/>
                <w:color w:val="auto"/>
                <w:sz w:val="24"/>
                <w:vertAlign w:val="superscript"/>
              </w:rPr>
              <w:t>3</w:t>
            </w:r>
            <w:r>
              <w:rPr>
                <w:rFonts w:ascii="Times New Roman" w:hAnsi="Times New Roman"/>
                <w:color w:val="auto"/>
                <w:sz w:val="24"/>
              </w:rPr>
              <w:t>（日补给量4万m</w:t>
            </w:r>
            <w:r>
              <w:rPr>
                <w:rFonts w:ascii="Times New Roman" w:hAnsi="Times New Roman"/>
                <w:color w:val="auto"/>
                <w:sz w:val="24"/>
                <w:vertAlign w:val="superscript"/>
              </w:rPr>
              <w:t>3</w:t>
            </w:r>
            <w:r>
              <w:rPr>
                <w:rFonts w:ascii="Times New Roman" w:hAnsi="Times New Roman"/>
                <w:color w:val="auto"/>
                <w:sz w:val="24"/>
              </w:rPr>
              <w:t>），弹性储存量为85.12万m</w:t>
            </w:r>
            <w:r>
              <w:rPr>
                <w:rFonts w:ascii="Times New Roman" w:hAnsi="Times New Roman"/>
                <w:color w:val="auto"/>
                <w:sz w:val="24"/>
                <w:vertAlign w:val="superscript"/>
              </w:rPr>
              <w:t>3</w:t>
            </w:r>
            <w:r>
              <w:rPr>
                <w:rFonts w:ascii="Times New Roman" w:hAnsi="Times New Roman"/>
                <w:color w:val="auto"/>
                <w:sz w:val="24"/>
              </w:rPr>
              <w:t>，允许年开采量为876万m</w:t>
            </w:r>
            <w:r>
              <w:rPr>
                <w:rFonts w:ascii="Times New Roman" w:hAnsi="Times New Roman"/>
                <w:color w:val="auto"/>
                <w:sz w:val="24"/>
                <w:vertAlign w:val="superscript"/>
              </w:rPr>
              <w:t>3</w:t>
            </w:r>
            <w:r>
              <w:rPr>
                <w:rFonts w:ascii="Times New Roman" w:hAnsi="Times New Roman"/>
                <w:color w:val="auto"/>
                <w:sz w:val="24"/>
              </w:rPr>
              <w:t>（日开采2.4万m</w:t>
            </w:r>
            <w:r>
              <w:rPr>
                <w:rFonts w:ascii="Times New Roman" w:hAnsi="Times New Roman"/>
                <w:color w:val="auto"/>
                <w:sz w:val="24"/>
                <w:vertAlign w:val="superscript"/>
              </w:rPr>
              <w:t>3</w:t>
            </w:r>
            <w:r>
              <w:rPr>
                <w:rFonts w:ascii="Times New Roman" w:hAnsi="Times New Roman"/>
                <w:color w:val="auto"/>
                <w:sz w:val="24"/>
              </w:rPr>
              <w:t>）。</w:t>
            </w:r>
          </w:p>
          <w:p>
            <w:pPr>
              <w:keepNext/>
              <w:keepLines/>
              <w:spacing w:line="360" w:lineRule="auto"/>
              <w:ind w:left="576" w:leftChars="194" w:hanging="169" w:hangingChars="70"/>
              <w:outlineLvl w:val="2"/>
              <w:rPr>
                <w:rFonts w:ascii="Times New Roman" w:hAnsi="Times New Roman"/>
                <w:b/>
                <w:bCs/>
                <w:color w:val="auto"/>
                <w:sz w:val="24"/>
              </w:rPr>
            </w:pPr>
            <w:r>
              <w:rPr>
                <w:rFonts w:ascii="Times New Roman" w:hAnsi="Times New Roman"/>
                <w:b/>
                <w:bCs/>
                <w:color w:val="auto"/>
                <w:sz w:val="24"/>
              </w:rPr>
              <w:t>（3）水文地质特征</w:t>
            </w:r>
          </w:p>
          <w:p>
            <w:pPr>
              <w:spacing w:line="360" w:lineRule="auto"/>
              <w:ind w:firstLine="480" w:firstLineChars="200"/>
              <w:rPr>
                <w:rFonts w:ascii="Times New Roman" w:hAnsi="Times New Roman"/>
                <w:color w:val="auto"/>
                <w:sz w:val="24"/>
              </w:rPr>
            </w:pPr>
            <w:r>
              <w:rPr>
                <w:rFonts w:ascii="Times New Roman" w:hAnsi="Times New Roman"/>
                <w:color w:val="auto"/>
                <w:sz w:val="24"/>
              </w:rPr>
              <w:t>区内地下水为潜水类型，地下潜水流向基本与地形—致，为北东一西走向，流入马莲河、蒲河。地下水水量丰富，贮于第四洪基亚粘土亚砂土夹姜石层的空隙、空洞中。由于经黄土层和砂石层的过滤，且并未受到工业污染和自然污染，地下水水质较好，达到国家</w:t>
            </w:r>
            <w:r>
              <w:rPr>
                <w:rFonts w:ascii="Times New Roman" w:hAnsi="Times New Roman"/>
                <w:color w:val="auto"/>
                <w:sz w:val="24"/>
              </w:rPr>
              <w:fldChar w:fldCharType="begin"/>
            </w:r>
            <w:r>
              <w:rPr>
                <w:rFonts w:ascii="Times New Roman" w:hAnsi="Times New Roman"/>
                <w:color w:val="auto"/>
                <w:sz w:val="24"/>
              </w:rPr>
              <w:instrText xml:space="preserve"> = 3 \* ROMAN </w:instrText>
            </w:r>
            <w:r>
              <w:rPr>
                <w:rFonts w:ascii="Times New Roman" w:hAnsi="Times New Roman"/>
                <w:color w:val="auto"/>
                <w:sz w:val="24"/>
              </w:rPr>
              <w:fldChar w:fldCharType="separate"/>
            </w:r>
            <w:r>
              <w:rPr>
                <w:rFonts w:ascii="Times New Roman" w:hAnsi="Times New Roman"/>
                <w:color w:val="auto"/>
                <w:sz w:val="24"/>
              </w:rPr>
              <w:t>III</w:t>
            </w:r>
            <w:r>
              <w:rPr>
                <w:rFonts w:ascii="Times New Roman" w:hAnsi="Times New Roman"/>
                <w:color w:val="auto"/>
                <w:sz w:val="24"/>
              </w:rPr>
              <w:fldChar w:fldCharType="end"/>
            </w:r>
            <w:r>
              <w:rPr>
                <w:rFonts w:ascii="Times New Roman" w:hAnsi="Times New Roman"/>
                <w:color w:val="auto"/>
                <w:sz w:val="24"/>
              </w:rPr>
              <w:t>类标准，沙化度为0.43g/l，水体对砼不具腐蚀性，是主要的人畜饮水和工业用水，储存量为348.7万立方米。地下水的形成和分布规律受地质构造和地貌条件所控制，分为潜水、半承压水和承压水三种类型。它们具有各自的水文地质规律和特征，但又是相互制约和互相联系的。</w:t>
            </w:r>
          </w:p>
          <w:p>
            <w:pPr>
              <w:spacing w:line="360" w:lineRule="auto"/>
              <w:ind w:firstLine="480" w:firstLineChars="200"/>
              <w:rPr>
                <w:rFonts w:ascii="Times New Roman" w:hAnsi="Times New Roman"/>
                <w:color w:val="auto"/>
                <w:sz w:val="24"/>
              </w:rPr>
            </w:pPr>
            <w:r>
              <w:rPr>
                <w:rFonts w:hint="eastAsia" w:ascii="宋体" w:hAnsi="宋体" w:cs="宋体"/>
                <w:color w:val="auto"/>
                <w:sz w:val="24"/>
              </w:rPr>
              <w:t>①</w:t>
            </w:r>
            <w:r>
              <w:rPr>
                <w:rFonts w:ascii="Times New Roman" w:hAnsi="Times New Roman"/>
                <w:color w:val="auto"/>
                <w:sz w:val="24"/>
              </w:rPr>
              <w:t>潜水。根据所处的地质地貌条件不同划分为两个亚区。</w:t>
            </w:r>
          </w:p>
          <w:p>
            <w:pPr>
              <w:spacing w:line="360" w:lineRule="auto"/>
              <w:ind w:firstLine="480" w:firstLineChars="200"/>
              <w:rPr>
                <w:rFonts w:ascii="Times New Roman" w:hAnsi="Times New Roman"/>
                <w:color w:val="auto"/>
                <w:sz w:val="24"/>
              </w:rPr>
            </w:pPr>
            <w:r>
              <w:rPr>
                <w:rFonts w:ascii="Times New Roman" w:hAnsi="Times New Roman"/>
                <w:color w:val="auto"/>
                <w:sz w:val="24"/>
              </w:rPr>
              <w:t>a.黄土丘陵潜水区。含水层大多属中更新统上部的（PLQ22）黄土状中粉质壤土层的裂隙孔隙含水层，富水性不均匀，一般上部含水性较强，而下部含水性弱。在干杖地和掌形地的中心是上更新统（PLQ31）黄土状土的（eoLQ32）马兰黄土和全新统（PLQ4）黄土状砂壤土层，在该地层中有零星的含水层。潜水的补给源主要是靠大气降水，含水层厚度一般小于10m，在毛井-宋仗一带可达10~50m，渗透系数大多在1.0~1.5m/d之间，涌水量随含水层厚度增加而增大，含水层厚度在10~30m的地段，单井涌水量为10~100m</w:t>
            </w:r>
            <w:r>
              <w:rPr>
                <w:rFonts w:ascii="Times New Roman" w:hAnsi="Times New Roman"/>
                <w:color w:val="auto"/>
                <w:sz w:val="24"/>
                <w:vertAlign w:val="superscript"/>
              </w:rPr>
              <w:t>3</w:t>
            </w:r>
            <w:r>
              <w:rPr>
                <w:rFonts w:ascii="Times New Roman" w:hAnsi="Times New Roman"/>
                <w:color w:val="auto"/>
                <w:sz w:val="24"/>
              </w:rPr>
              <w:t>/d，含水层厚度在30~50m的地段，单井涌水量为100~200m</w:t>
            </w:r>
            <w:r>
              <w:rPr>
                <w:rFonts w:ascii="Times New Roman" w:hAnsi="Times New Roman"/>
                <w:color w:val="auto"/>
                <w:sz w:val="24"/>
                <w:vertAlign w:val="superscript"/>
              </w:rPr>
              <w:t>3</w:t>
            </w:r>
            <w:r>
              <w:rPr>
                <w:rFonts w:ascii="Times New Roman" w:hAnsi="Times New Roman"/>
                <w:color w:val="auto"/>
                <w:sz w:val="24"/>
              </w:rPr>
              <w:t>/d，残塬区潜水埋深多在15~30m，最深可达80~120m，梁峁区的潜水在沟谷中埋深一般小于15m。该区水质南好北差，与降水量的大小成正比，矿化度由南部的小于2.0g/L向北增至7.0g/L以上，最大处可达近30.0g/L。水化学类型由南部的HCO</w:t>
            </w:r>
            <w:r>
              <w:rPr>
                <w:rFonts w:ascii="Times New Roman" w:hAnsi="Times New Roman"/>
                <w:color w:val="auto"/>
                <w:sz w:val="24"/>
                <w:vertAlign w:val="subscript"/>
              </w:rPr>
              <w:t>3</w:t>
            </w:r>
            <w:r>
              <w:rPr>
                <w:rFonts w:ascii="Times New Roman" w:hAnsi="Times New Roman"/>
                <w:color w:val="auto"/>
                <w:sz w:val="24"/>
                <w:vertAlign w:val="superscript"/>
              </w:rPr>
              <w:t>-</w:t>
            </w:r>
            <w:r>
              <w:rPr>
                <w:rFonts w:ascii="Times New Roman" w:hAnsi="Times New Roman"/>
                <w:color w:val="auto"/>
                <w:sz w:val="24"/>
              </w:rPr>
              <w:t>-Na</w:t>
            </w:r>
            <w:r>
              <w:rPr>
                <w:rFonts w:ascii="Times New Roman" w:hAnsi="Times New Roman"/>
                <w:color w:val="auto"/>
                <w:sz w:val="24"/>
                <w:vertAlign w:val="superscript"/>
              </w:rPr>
              <w:t>+</w:t>
            </w:r>
            <w:r>
              <w:rPr>
                <w:rFonts w:ascii="Times New Roman" w:hAnsi="Times New Roman"/>
                <w:color w:val="auto"/>
                <w:sz w:val="24"/>
              </w:rPr>
              <w:t>-Mg</w:t>
            </w:r>
            <w:r>
              <w:rPr>
                <w:rFonts w:ascii="Times New Roman" w:hAnsi="Times New Roman"/>
                <w:color w:val="auto"/>
                <w:sz w:val="24"/>
                <w:vertAlign w:val="superscript"/>
              </w:rPr>
              <w:t>2+</w:t>
            </w:r>
            <w:r>
              <w:rPr>
                <w:rFonts w:ascii="Times New Roman" w:hAnsi="Times New Roman"/>
                <w:color w:val="auto"/>
                <w:sz w:val="24"/>
              </w:rPr>
              <w:t>型向北过渡为SO</w:t>
            </w:r>
            <w:r>
              <w:rPr>
                <w:rFonts w:ascii="Times New Roman" w:hAnsi="Times New Roman"/>
                <w:color w:val="auto"/>
                <w:sz w:val="24"/>
                <w:vertAlign w:val="subscript"/>
              </w:rPr>
              <w:t>4</w:t>
            </w:r>
            <w:r>
              <w:rPr>
                <w:rFonts w:ascii="Times New Roman" w:hAnsi="Times New Roman"/>
                <w:color w:val="auto"/>
                <w:sz w:val="24"/>
                <w:vertAlign w:val="superscript"/>
              </w:rPr>
              <w:t>2-</w:t>
            </w:r>
            <w:r>
              <w:rPr>
                <w:rFonts w:ascii="Times New Roman" w:hAnsi="Times New Roman"/>
                <w:color w:val="auto"/>
                <w:sz w:val="24"/>
              </w:rPr>
              <w:t>-Ca</w:t>
            </w:r>
            <w:r>
              <w:rPr>
                <w:rFonts w:ascii="Times New Roman" w:hAnsi="Times New Roman"/>
                <w:color w:val="auto"/>
                <w:sz w:val="24"/>
                <w:vertAlign w:val="superscript"/>
              </w:rPr>
              <w:t>2+</w:t>
            </w:r>
            <w:r>
              <w:rPr>
                <w:rFonts w:ascii="Times New Roman" w:hAnsi="Times New Roman"/>
                <w:color w:val="auto"/>
                <w:sz w:val="24"/>
              </w:rPr>
              <w:t>-Mg</w:t>
            </w:r>
            <w:r>
              <w:rPr>
                <w:rFonts w:ascii="Times New Roman" w:hAnsi="Times New Roman"/>
                <w:color w:val="auto"/>
                <w:sz w:val="24"/>
                <w:vertAlign w:val="superscript"/>
              </w:rPr>
              <w:t>2+</w:t>
            </w:r>
            <w:r>
              <w:rPr>
                <w:rFonts w:ascii="Times New Roman" w:hAnsi="Times New Roman"/>
                <w:color w:val="auto"/>
                <w:sz w:val="24"/>
              </w:rPr>
              <w:t>-Na</w:t>
            </w:r>
            <w:r>
              <w:rPr>
                <w:rFonts w:ascii="Times New Roman" w:hAnsi="Times New Roman"/>
                <w:color w:val="auto"/>
                <w:sz w:val="24"/>
                <w:vertAlign w:val="superscript"/>
              </w:rPr>
              <w:t>+</w:t>
            </w:r>
            <w:r>
              <w:rPr>
                <w:rFonts w:ascii="Times New Roman" w:hAnsi="Times New Roman"/>
                <w:color w:val="auto"/>
                <w:sz w:val="24"/>
              </w:rPr>
              <w:t>型。</w:t>
            </w:r>
          </w:p>
          <w:p>
            <w:pPr>
              <w:spacing w:line="360" w:lineRule="auto"/>
              <w:ind w:firstLine="480" w:firstLineChars="200"/>
              <w:rPr>
                <w:rFonts w:ascii="Times New Roman" w:hAnsi="Times New Roman"/>
                <w:color w:val="auto"/>
                <w:sz w:val="24"/>
              </w:rPr>
            </w:pPr>
            <w:r>
              <w:rPr>
                <w:rFonts w:ascii="Times New Roman" w:hAnsi="Times New Roman"/>
                <w:color w:val="auto"/>
                <w:sz w:val="24"/>
              </w:rPr>
              <w:t>b.河谷沟川地潜水区。本区补给主要来自大气降水，其次为河流地表水和梁峁区的潜水侧向补给，含水层除四沟门到占家沟门附近河床两侧（宽度不超过100m），以及河道沟口至五里桥段大多为基岩风化裂隙含水外，其它地段的岩性多为砂砾卵石含水层，其厚度由南向北为1~15m，富水性均匀，渗透系数为10~60m/d，单井涌水量随含水层厚度的增减而增减，由500m</w:t>
            </w:r>
            <w:r>
              <w:rPr>
                <w:rFonts w:ascii="Times New Roman" w:hAnsi="Times New Roman"/>
                <w:color w:val="auto"/>
                <w:sz w:val="24"/>
                <w:vertAlign w:val="superscript"/>
              </w:rPr>
              <w:t>3</w:t>
            </w:r>
            <w:r>
              <w:rPr>
                <w:rFonts w:ascii="Times New Roman" w:hAnsi="Times New Roman"/>
                <w:color w:val="auto"/>
                <w:sz w:val="24"/>
              </w:rPr>
              <w:t>/d降至不足100m</w:t>
            </w:r>
            <w:r>
              <w:rPr>
                <w:rFonts w:ascii="Times New Roman" w:hAnsi="Times New Roman"/>
                <w:color w:val="auto"/>
                <w:sz w:val="24"/>
                <w:vertAlign w:val="superscript"/>
              </w:rPr>
              <w:t>3</w:t>
            </w:r>
            <w:r>
              <w:rPr>
                <w:rFonts w:ascii="Times New Roman" w:hAnsi="Times New Roman"/>
                <w:color w:val="auto"/>
                <w:sz w:val="24"/>
              </w:rPr>
              <w:t>/d。风化基岩的富水性视裂隙发育程度而异，一般都小于100m</w:t>
            </w:r>
            <w:r>
              <w:rPr>
                <w:rFonts w:ascii="Times New Roman" w:hAnsi="Times New Roman"/>
                <w:color w:val="auto"/>
                <w:sz w:val="24"/>
                <w:vertAlign w:val="superscript"/>
              </w:rPr>
              <w:t>3</w:t>
            </w:r>
            <w:r>
              <w:rPr>
                <w:rFonts w:ascii="Times New Roman" w:hAnsi="Times New Roman"/>
                <w:color w:val="auto"/>
                <w:sz w:val="24"/>
              </w:rPr>
              <w:t>/d。根据扬黄二期工程南线地质勘查和民井调查资料，环江河谷潜水在</w:t>
            </w:r>
            <w:r>
              <w:rPr>
                <w:rFonts w:hint="eastAsia" w:ascii="宋体" w:hAnsi="宋体" w:cs="宋体"/>
                <w:color w:val="auto"/>
                <w:sz w:val="24"/>
              </w:rPr>
              <w:t>Ⅰ</w:t>
            </w:r>
            <w:r>
              <w:rPr>
                <w:rFonts w:ascii="Times New Roman" w:hAnsi="Times New Roman"/>
                <w:color w:val="auto"/>
                <w:sz w:val="24"/>
              </w:rPr>
              <w:t>、</w:t>
            </w:r>
            <w:r>
              <w:rPr>
                <w:rFonts w:hint="eastAsia" w:ascii="宋体" w:hAnsi="宋体" w:cs="宋体"/>
                <w:color w:val="auto"/>
                <w:sz w:val="24"/>
              </w:rPr>
              <w:t>Ⅱ</w:t>
            </w:r>
            <w:r>
              <w:rPr>
                <w:rFonts w:ascii="Times New Roman" w:hAnsi="Times New Roman"/>
                <w:color w:val="auto"/>
                <w:sz w:val="24"/>
              </w:rPr>
              <w:t>级阶地埋深小于15m，一般为8~12m，</w:t>
            </w:r>
            <w:r>
              <w:rPr>
                <w:rFonts w:hint="eastAsia" w:ascii="宋体" w:hAnsi="宋体" w:cs="宋体"/>
                <w:color w:val="auto"/>
                <w:sz w:val="24"/>
              </w:rPr>
              <w:t>Ⅲ</w:t>
            </w:r>
            <w:r>
              <w:rPr>
                <w:rFonts w:ascii="Times New Roman" w:hAnsi="Times New Roman"/>
                <w:color w:val="auto"/>
                <w:sz w:val="24"/>
              </w:rPr>
              <w:t>级阶地以上埋深大于15m，县南潜水的矿化度一般为1~3g/L，和盛以北为5~10g/L，水化学类型东南为SO</w:t>
            </w:r>
            <w:r>
              <w:rPr>
                <w:rFonts w:ascii="Times New Roman" w:hAnsi="Times New Roman"/>
                <w:color w:val="auto"/>
                <w:sz w:val="24"/>
                <w:vertAlign w:val="subscript"/>
              </w:rPr>
              <w:t>4</w:t>
            </w:r>
            <w:r>
              <w:rPr>
                <w:rFonts w:ascii="Times New Roman" w:hAnsi="Times New Roman"/>
                <w:color w:val="auto"/>
                <w:sz w:val="24"/>
                <w:vertAlign w:val="superscript"/>
              </w:rPr>
              <w:t>2-</w:t>
            </w:r>
            <w:r>
              <w:rPr>
                <w:rFonts w:ascii="Times New Roman" w:hAnsi="Times New Roman"/>
                <w:color w:val="auto"/>
                <w:sz w:val="24"/>
              </w:rPr>
              <w:t>-Mg</w:t>
            </w:r>
            <w:r>
              <w:rPr>
                <w:rFonts w:ascii="Times New Roman" w:hAnsi="Times New Roman"/>
                <w:color w:val="auto"/>
                <w:sz w:val="24"/>
                <w:vertAlign w:val="superscript"/>
              </w:rPr>
              <w:t>2+</w:t>
            </w:r>
            <w:r>
              <w:rPr>
                <w:rFonts w:ascii="Times New Roman" w:hAnsi="Times New Roman"/>
                <w:color w:val="auto"/>
                <w:sz w:val="24"/>
              </w:rPr>
              <w:t>-Na</w:t>
            </w:r>
            <w:r>
              <w:rPr>
                <w:rFonts w:ascii="Times New Roman" w:hAnsi="Times New Roman"/>
                <w:color w:val="auto"/>
                <w:sz w:val="24"/>
                <w:vertAlign w:val="superscript"/>
              </w:rPr>
              <w:t>+</w:t>
            </w:r>
            <w:r>
              <w:rPr>
                <w:rFonts w:ascii="Times New Roman" w:hAnsi="Times New Roman"/>
                <w:color w:val="auto"/>
                <w:sz w:val="24"/>
              </w:rPr>
              <w:t>型。</w:t>
            </w:r>
          </w:p>
          <w:p>
            <w:pPr>
              <w:spacing w:line="360" w:lineRule="auto"/>
              <w:ind w:firstLine="480" w:firstLineChars="200"/>
              <w:rPr>
                <w:rFonts w:ascii="Times New Roman" w:hAnsi="Times New Roman"/>
                <w:color w:val="auto"/>
                <w:sz w:val="24"/>
              </w:rPr>
            </w:pPr>
            <w:r>
              <w:rPr>
                <w:rFonts w:hint="eastAsia" w:ascii="宋体" w:hAnsi="宋体" w:cs="宋体"/>
                <w:color w:val="auto"/>
                <w:sz w:val="24"/>
              </w:rPr>
              <w:t>②</w:t>
            </w:r>
            <w:r>
              <w:rPr>
                <w:rFonts w:ascii="Times New Roman" w:hAnsi="Times New Roman"/>
                <w:color w:val="auto"/>
                <w:sz w:val="24"/>
              </w:rPr>
              <w:t>半承压水。主要由第三系上部（N2h）砂岩和第四系（PLQ1）半胶结底砾岩构成层间含水层，埋藏于潜水层之下、基岩承压水层之上，具有独特水文地质特征，为了与潜水和基岩承压水区分，定名为半承压水或过渡水。</w:t>
            </w:r>
          </w:p>
          <w:p>
            <w:pPr>
              <w:spacing w:line="360" w:lineRule="auto"/>
              <w:ind w:firstLine="480" w:firstLineChars="200"/>
              <w:rPr>
                <w:rFonts w:ascii="Times New Roman" w:hAnsi="Times New Roman"/>
                <w:color w:val="auto"/>
                <w:sz w:val="24"/>
              </w:rPr>
            </w:pPr>
            <w:r>
              <w:rPr>
                <w:rFonts w:ascii="Times New Roman" w:hAnsi="Times New Roman"/>
                <w:color w:val="auto"/>
                <w:sz w:val="24"/>
              </w:rPr>
              <w:t>半承压水主要由沟谷上游黄土层潜水排泄转化为地表水直接渗入补给，其次为降水通过第四系和第三系地层上部切割的沟谷下渗补给，含水层最大厚度为5~10m，由西北向东南逐渐变薄，属过渡性含水层。地下水自资料查得，溢出流量大于1.0L/s的泉群有11处，最大的泉群流量为3632m</w:t>
            </w:r>
            <w:r>
              <w:rPr>
                <w:rFonts w:ascii="Times New Roman" w:hAnsi="Times New Roman"/>
                <w:color w:val="auto"/>
                <w:sz w:val="24"/>
                <w:vertAlign w:val="superscript"/>
              </w:rPr>
              <w:t>3</w:t>
            </w:r>
            <w:r>
              <w:rPr>
                <w:rFonts w:ascii="Times New Roman" w:hAnsi="Times New Roman"/>
                <w:color w:val="auto"/>
                <w:sz w:val="24"/>
              </w:rPr>
              <w:t>/d。据不完全统计，较大泉群共有28组，总流量达7477m</w:t>
            </w:r>
            <w:r>
              <w:rPr>
                <w:rFonts w:ascii="Times New Roman" w:hAnsi="Times New Roman"/>
                <w:color w:val="auto"/>
                <w:sz w:val="24"/>
                <w:vertAlign w:val="superscript"/>
              </w:rPr>
              <w:t>3</w:t>
            </w:r>
            <w:r>
              <w:rPr>
                <w:rFonts w:ascii="Times New Roman" w:hAnsi="Times New Roman"/>
                <w:color w:val="auto"/>
                <w:sz w:val="24"/>
              </w:rPr>
              <w:t>/d，地下水矿化度自南而北由小于3g/L增高到10g/L，地下水化学类型由SO</w:t>
            </w:r>
            <w:r>
              <w:rPr>
                <w:rFonts w:ascii="Times New Roman" w:hAnsi="Times New Roman"/>
                <w:color w:val="auto"/>
                <w:sz w:val="24"/>
                <w:vertAlign w:val="subscript"/>
              </w:rPr>
              <w:t>4</w:t>
            </w:r>
            <w:r>
              <w:rPr>
                <w:rFonts w:ascii="Times New Roman" w:hAnsi="Times New Roman"/>
                <w:color w:val="auto"/>
                <w:sz w:val="24"/>
                <w:vertAlign w:val="superscript"/>
              </w:rPr>
              <w:t>2-</w:t>
            </w:r>
            <w:r>
              <w:rPr>
                <w:rFonts w:ascii="Times New Roman" w:hAnsi="Times New Roman"/>
                <w:color w:val="auto"/>
                <w:sz w:val="24"/>
              </w:rPr>
              <w:t>-Na</w:t>
            </w:r>
            <w:r>
              <w:rPr>
                <w:rFonts w:ascii="Times New Roman" w:hAnsi="Times New Roman"/>
                <w:color w:val="auto"/>
                <w:sz w:val="24"/>
                <w:vertAlign w:val="superscript"/>
              </w:rPr>
              <w:t>+</w:t>
            </w:r>
            <w:r>
              <w:rPr>
                <w:rFonts w:ascii="Times New Roman" w:hAnsi="Times New Roman"/>
                <w:color w:val="auto"/>
                <w:sz w:val="24"/>
              </w:rPr>
              <w:t>-Mg</w:t>
            </w:r>
            <w:r>
              <w:rPr>
                <w:rFonts w:ascii="Times New Roman" w:hAnsi="Times New Roman"/>
                <w:color w:val="auto"/>
                <w:sz w:val="24"/>
                <w:vertAlign w:val="superscript"/>
              </w:rPr>
              <w:t>2+</w:t>
            </w:r>
            <w:r>
              <w:rPr>
                <w:rFonts w:ascii="Times New Roman" w:hAnsi="Times New Roman"/>
                <w:color w:val="auto"/>
                <w:sz w:val="24"/>
              </w:rPr>
              <w:t>型变化为Cl</w:t>
            </w:r>
            <w:r>
              <w:rPr>
                <w:rFonts w:ascii="Times New Roman" w:hAnsi="Times New Roman"/>
                <w:color w:val="auto"/>
                <w:sz w:val="24"/>
                <w:vertAlign w:val="superscript"/>
              </w:rPr>
              <w:t>-</w:t>
            </w:r>
            <w:r>
              <w:rPr>
                <w:rFonts w:ascii="Times New Roman" w:hAnsi="Times New Roman"/>
                <w:color w:val="auto"/>
                <w:sz w:val="24"/>
              </w:rPr>
              <w:t>-SO</w:t>
            </w:r>
            <w:r>
              <w:rPr>
                <w:rFonts w:ascii="Times New Roman" w:hAnsi="Times New Roman"/>
                <w:color w:val="auto"/>
                <w:sz w:val="24"/>
                <w:vertAlign w:val="subscript"/>
              </w:rPr>
              <w:t>4</w:t>
            </w:r>
            <w:r>
              <w:rPr>
                <w:rFonts w:ascii="Times New Roman" w:hAnsi="Times New Roman"/>
                <w:color w:val="auto"/>
                <w:sz w:val="24"/>
                <w:vertAlign w:val="superscript"/>
              </w:rPr>
              <w:t>2-</w:t>
            </w:r>
            <w:r>
              <w:rPr>
                <w:rFonts w:ascii="Times New Roman" w:hAnsi="Times New Roman"/>
                <w:color w:val="auto"/>
                <w:sz w:val="24"/>
              </w:rPr>
              <w:t>-Na</w:t>
            </w:r>
            <w:r>
              <w:rPr>
                <w:rFonts w:ascii="Times New Roman" w:hAnsi="Times New Roman"/>
                <w:color w:val="auto"/>
                <w:sz w:val="24"/>
                <w:vertAlign w:val="superscript"/>
              </w:rPr>
              <w:t>+</w:t>
            </w:r>
            <w:r>
              <w:rPr>
                <w:rFonts w:ascii="Times New Roman" w:hAnsi="Times New Roman"/>
                <w:color w:val="auto"/>
                <w:sz w:val="24"/>
              </w:rPr>
              <w:t>-Mg</w:t>
            </w:r>
            <w:r>
              <w:rPr>
                <w:rFonts w:ascii="Times New Roman" w:hAnsi="Times New Roman"/>
                <w:color w:val="auto"/>
                <w:sz w:val="24"/>
                <w:vertAlign w:val="superscript"/>
              </w:rPr>
              <w:t>2+</w:t>
            </w:r>
            <w:r>
              <w:rPr>
                <w:rFonts w:ascii="Times New Roman" w:hAnsi="Times New Roman"/>
                <w:color w:val="auto"/>
                <w:sz w:val="24"/>
              </w:rPr>
              <w:t>型。</w:t>
            </w:r>
          </w:p>
          <w:p>
            <w:pPr>
              <w:spacing w:line="360" w:lineRule="auto"/>
              <w:ind w:firstLine="480" w:firstLineChars="200"/>
              <w:rPr>
                <w:rFonts w:ascii="Times New Roman" w:hAnsi="Times New Roman"/>
                <w:color w:val="auto"/>
                <w:sz w:val="24"/>
              </w:rPr>
            </w:pPr>
            <w:r>
              <w:rPr>
                <w:rFonts w:hint="eastAsia" w:ascii="宋体" w:hAnsi="宋体" w:cs="宋体"/>
                <w:color w:val="auto"/>
                <w:sz w:val="24"/>
              </w:rPr>
              <w:t>③</w:t>
            </w:r>
            <w:r>
              <w:rPr>
                <w:rFonts w:ascii="Times New Roman" w:hAnsi="Times New Roman"/>
                <w:color w:val="auto"/>
                <w:sz w:val="24"/>
              </w:rPr>
              <w:t>承压水。根据出露的含水层受构造运动影响程度的不同，可划分为三个亚区。</w:t>
            </w:r>
          </w:p>
          <w:p>
            <w:pPr>
              <w:spacing w:line="360" w:lineRule="auto"/>
              <w:ind w:firstLine="480" w:firstLineChars="200"/>
              <w:rPr>
                <w:rFonts w:ascii="Times New Roman" w:hAnsi="Times New Roman"/>
                <w:color w:val="auto"/>
                <w:sz w:val="24"/>
              </w:rPr>
            </w:pPr>
            <w:r>
              <w:rPr>
                <w:rFonts w:ascii="Times New Roman" w:hAnsi="Times New Roman"/>
                <w:color w:val="auto"/>
                <w:sz w:val="24"/>
              </w:rPr>
              <w:t>a.褶皱较强的元、古、中生界承压水区。主要分布于大断裂以西，含水层由老地层震旦系（Z）、侏罗系（J）的灰岩、白云岩、砂岩及砂页岩构成，地下水埋深一般为30~50m，最大可达250~300m。地下水类型为构造裂隙承压水，承压水头的高低因裂隙发育深度和延展程度的不同而异，在深大断裂带中的地下水有时溢出地表自流，在水井中出现断层泉，其流量达683m</w:t>
            </w:r>
            <w:r>
              <w:rPr>
                <w:rFonts w:ascii="Times New Roman" w:hAnsi="Times New Roman"/>
                <w:color w:val="auto"/>
                <w:sz w:val="24"/>
                <w:vertAlign w:val="superscript"/>
              </w:rPr>
              <w:t>3</w:t>
            </w:r>
            <w:r>
              <w:rPr>
                <w:rFonts w:ascii="Times New Roman" w:hAnsi="Times New Roman"/>
                <w:color w:val="auto"/>
                <w:sz w:val="24"/>
              </w:rPr>
              <w:t>/d，矿化度5.1g/L，水温17</w:t>
            </w:r>
            <w:r>
              <w:rPr>
                <w:rFonts w:hint="eastAsia" w:ascii="宋体" w:hAnsi="宋体" w:cs="宋体"/>
                <w:color w:val="auto"/>
                <w:sz w:val="24"/>
              </w:rPr>
              <w:t>℃</w:t>
            </w:r>
            <w:r>
              <w:rPr>
                <w:rFonts w:ascii="Times New Roman" w:hAnsi="Times New Roman"/>
                <w:color w:val="auto"/>
                <w:sz w:val="24"/>
              </w:rPr>
              <w:t>。含水层的富水性不均匀，单位涌水量一般在5~10m</w:t>
            </w:r>
            <w:r>
              <w:rPr>
                <w:rFonts w:ascii="Times New Roman" w:hAnsi="Times New Roman"/>
                <w:color w:val="auto"/>
                <w:sz w:val="24"/>
                <w:vertAlign w:val="superscript"/>
              </w:rPr>
              <w:t>3</w:t>
            </w:r>
            <w:r>
              <w:rPr>
                <w:rFonts w:ascii="Times New Roman" w:hAnsi="Times New Roman"/>
                <w:color w:val="auto"/>
                <w:sz w:val="24"/>
              </w:rPr>
              <w:t>/d•m，个别地段小于1.0m</w:t>
            </w:r>
            <w:r>
              <w:rPr>
                <w:rFonts w:ascii="Times New Roman" w:hAnsi="Times New Roman"/>
                <w:color w:val="auto"/>
                <w:sz w:val="24"/>
                <w:vertAlign w:val="superscript"/>
              </w:rPr>
              <w:t>3</w:t>
            </w:r>
            <w:r>
              <w:rPr>
                <w:rFonts w:ascii="Times New Roman" w:hAnsi="Times New Roman"/>
                <w:color w:val="auto"/>
                <w:sz w:val="24"/>
              </w:rPr>
              <w:t>/d•m，渗透系数为0.1~1.0m/d，矿化度一般为3~5g/L，最大可达7.9g/L。</w:t>
            </w:r>
          </w:p>
          <w:p>
            <w:pPr>
              <w:spacing w:line="360" w:lineRule="auto"/>
              <w:ind w:firstLine="480" w:firstLineChars="200"/>
              <w:rPr>
                <w:rFonts w:ascii="Times New Roman" w:hAnsi="Times New Roman"/>
                <w:color w:val="auto"/>
                <w:sz w:val="24"/>
              </w:rPr>
            </w:pPr>
            <w:r>
              <w:rPr>
                <w:rFonts w:ascii="Times New Roman" w:hAnsi="Times New Roman"/>
                <w:color w:val="auto"/>
                <w:sz w:val="24"/>
              </w:rPr>
              <w:t>b.褶皱平缓的中生界承压含水区。主要分布在车甜大断裂以东，是由下白垩系（K）各套岩层构成的层间水，含水层厚度一般为100~500m，最大可达800~900m，含水层富水性不均匀，大小视裂隙发育程度和性质而异，单位涌水量自南向北由200~300m</w:t>
            </w:r>
            <w:r>
              <w:rPr>
                <w:rFonts w:ascii="Times New Roman" w:hAnsi="Times New Roman"/>
                <w:color w:val="auto"/>
                <w:sz w:val="24"/>
                <w:vertAlign w:val="superscript"/>
              </w:rPr>
              <w:t>3</w:t>
            </w:r>
            <w:r>
              <w:rPr>
                <w:rFonts w:ascii="Times New Roman" w:hAnsi="Times New Roman"/>
                <w:color w:val="auto"/>
                <w:sz w:val="24"/>
              </w:rPr>
              <w:t>/d•m降至不足10m</w:t>
            </w:r>
            <w:r>
              <w:rPr>
                <w:rFonts w:ascii="Times New Roman" w:hAnsi="Times New Roman"/>
                <w:color w:val="auto"/>
                <w:sz w:val="24"/>
                <w:vertAlign w:val="superscript"/>
              </w:rPr>
              <w:t>3</w:t>
            </w:r>
            <w:r>
              <w:rPr>
                <w:rFonts w:ascii="Times New Roman" w:hAnsi="Times New Roman"/>
                <w:color w:val="auto"/>
                <w:sz w:val="24"/>
              </w:rPr>
              <w:t>/d•m，渗透系数为0.1~0.3m/d，矿化度自东北向西南由小于3.0g/L增高为5.0g/L以上。县城以南自流水分布广泛，流量一般在100~200m</w:t>
            </w:r>
            <w:r>
              <w:rPr>
                <w:rFonts w:ascii="Times New Roman" w:hAnsi="Times New Roman"/>
                <w:color w:val="auto"/>
                <w:sz w:val="24"/>
                <w:vertAlign w:val="superscript"/>
              </w:rPr>
              <w:t>3</w:t>
            </w:r>
            <w:r>
              <w:rPr>
                <w:rFonts w:ascii="Times New Roman" w:hAnsi="Times New Roman"/>
                <w:color w:val="auto"/>
                <w:sz w:val="24"/>
              </w:rPr>
              <w:t>/d，最小处不足10m</w:t>
            </w:r>
            <w:r>
              <w:rPr>
                <w:rFonts w:ascii="Times New Roman" w:hAnsi="Times New Roman"/>
                <w:color w:val="auto"/>
                <w:sz w:val="24"/>
                <w:vertAlign w:val="superscript"/>
              </w:rPr>
              <w:t>3</w:t>
            </w:r>
            <w:r>
              <w:rPr>
                <w:rFonts w:ascii="Times New Roman" w:hAnsi="Times New Roman"/>
                <w:color w:val="auto"/>
                <w:sz w:val="24"/>
              </w:rPr>
              <w:t>/d。</w:t>
            </w:r>
          </w:p>
          <w:p>
            <w:pPr>
              <w:spacing w:line="360" w:lineRule="auto"/>
              <w:ind w:firstLine="480" w:firstLineChars="200"/>
              <w:rPr>
                <w:rFonts w:ascii="Times New Roman" w:hAnsi="Times New Roman"/>
                <w:color w:val="auto"/>
                <w:sz w:val="24"/>
              </w:rPr>
            </w:pPr>
            <w:r>
              <w:rPr>
                <w:rFonts w:ascii="Times New Roman" w:hAnsi="Times New Roman"/>
                <w:color w:val="auto"/>
                <w:sz w:val="24"/>
              </w:rPr>
              <w:t>c.褶皱平缓的新生界承压含水区。本区主要为第三系（E）砂砾岩层间裂隙孔隙含水层，含水层的岩性，南部以砾岩为主，而北部为砾岩夹砂岩，富水性较均匀。毛井分水岭以南地区，地下水埋深为40~50m，含水层厚度为20~30m，单位涌水量小于1.0m</w:t>
            </w:r>
            <w:r>
              <w:rPr>
                <w:rFonts w:ascii="Times New Roman" w:hAnsi="Times New Roman"/>
                <w:color w:val="auto"/>
                <w:sz w:val="24"/>
                <w:vertAlign w:val="superscript"/>
              </w:rPr>
              <w:t>3</w:t>
            </w:r>
            <w:r>
              <w:rPr>
                <w:rFonts w:ascii="Times New Roman" w:hAnsi="Times New Roman"/>
                <w:color w:val="auto"/>
                <w:sz w:val="24"/>
              </w:rPr>
              <w:t>/d•m，矿化度在1~3g/L之间。毛井分水岭以北，其埋藏深度小于30m，厚度为50~70m，单位涌水量小于0.1m</w:t>
            </w:r>
            <w:r>
              <w:rPr>
                <w:rFonts w:ascii="Times New Roman" w:hAnsi="Times New Roman"/>
                <w:color w:val="auto"/>
                <w:sz w:val="24"/>
                <w:vertAlign w:val="superscript"/>
              </w:rPr>
              <w:t>3</w:t>
            </w:r>
            <w:r>
              <w:rPr>
                <w:rFonts w:ascii="Times New Roman" w:hAnsi="Times New Roman"/>
                <w:color w:val="auto"/>
                <w:sz w:val="24"/>
              </w:rPr>
              <w:t>/d•m，渗透系数小于1.0m/d。在构造断裂带，地下水呈上升泉溢出，其流量10~30m</w:t>
            </w:r>
            <w:r>
              <w:rPr>
                <w:rFonts w:ascii="Times New Roman" w:hAnsi="Times New Roman"/>
                <w:color w:val="auto"/>
                <w:sz w:val="24"/>
                <w:vertAlign w:val="superscript"/>
              </w:rPr>
              <w:t>3</w:t>
            </w:r>
            <w:r>
              <w:rPr>
                <w:rFonts w:ascii="Times New Roman" w:hAnsi="Times New Roman"/>
                <w:color w:val="auto"/>
                <w:sz w:val="24"/>
              </w:rPr>
              <w:t>/d，矿化度5~10g/L。高家洼泉水的流量可达219m</w:t>
            </w:r>
            <w:r>
              <w:rPr>
                <w:rFonts w:ascii="Times New Roman" w:hAnsi="Times New Roman"/>
                <w:color w:val="auto"/>
                <w:sz w:val="24"/>
                <w:vertAlign w:val="superscript"/>
              </w:rPr>
              <w:t>3</w:t>
            </w:r>
            <w:r>
              <w:rPr>
                <w:rFonts w:ascii="Times New Roman" w:hAnsi="Times New Roman"/>
                <w:color w:val="auto"/>
                <w:sz w:val="24"/>
              </w:rPr>
              <w:t>/d，矿化度3~5g/L，水化学类型由HCO</w:t>
            </w:r>
            <w:r>
              <w:rPr>
                <w:rFonts w:ascii="Times New Roman" w:hAnsi="Times New Roman"/>
                <w:color w:val="auto"/>
                <w:sz w:val="24"/>
                <w:vertAlign w:val="subscript"/>
              </w:rPr>
              <w:t>3</w:t>
            </w:r>
            <w:r>
              <w:rPr>
                <w:rFonts w:ascii="Times New Roman" w:hAnsi="Times New Roman"/>
                <w:color w:val="auto"/>
                <w:sz w:val="24"/>
                <w:vertAlign w:val="superscript"/>
              </w:rPr>
              <w:t>-</w:t>
            </w:r>
            <w:r>
              <w:rPr>
                <w:rFonts w:ascii="Times New Roman" w:hAnsi="Times New Roman"/>
                <w:color w:val="auto"/>
                <w:sz w:val="24"/>
              </w:rPr>
              <w:t>-Na</w:t>
            </w:r>
            <w:r>
              <w:rPr>
                <w:rFonts w:ascii="Times New Roman" w:hAnsi="Times New Roman"/>
                <w:color w:val="auto"/>
                <w:sz w:val="24"/>
                <w:vertAlign w:val="superscript"/>
              </w:rPr>
              <w:t>+</w:t>
            </w:r>
            <w:r>
              <w:rPr>
                <w:rFonts w:ascii="Times New Roman" w:hAnsi="Times New Roman"/>
                <w:color w:val="auto"/>
                <w:sz w:val="24"/>
              </w:rPr>
              <w:t>-Mg</w:t>
            </w:r>
            <w:r>
              <w:rPr>
                <w:rFonts w:ascii="Times New Roman" w:hAnsi="Times New Roman"/>
                <w:color w:val="auto"/>
                <w:sz w:val="24"/>
                <w:vertAlign w:val="superscript"/>
              </w:rPr>
              <w:t>2+</w:t>
            </w:r>
            <w:r>
              <w:rPr>
                <w:rFonts w:ascii="Times New Roman" w:hAnsi="Times New Roman"/>
                <w:color w:val="auto"/>
                <w:sz w:val="24"/>
              </w:rPr>
              <w:t>型向转为SO</w:t>
            </w:r>
            <w:r>
              <w:rPr>
                <w:rFonts w:ascii="Times New Roman" w:hAnsi="Times New Roman"/>
                <w:color w:val="auto"/>
                <w:sz w:val="24"/>
                <w:vertAlign w:val="subscript"/>
              </w:rPr>
              <w:t>4</w:t>
            </w:r>
            <w:r>
              <w:rPr>
                <w:rFonts w:ascii="Times New Roman" w:hAnsi="Times New Roman"/>
                <w:color w:val="auto"/>
                <w:sz w:val="24"/>
                <w:vertAlign w:val="superscript"/>
              </w:rPr>
              <w:t>2-</w:t>
            </w:r>
            <w:r>
              <w:rPr>
                <w:rFonts w:ascii="Times New Roman" w:hAnsi="Times New Roman"/>
                <w:color w:val="auto"/>
                <w:sz w:val="24"/>
              </w:rPr>
              <w:t>-HCO</w:t>
            </w:r>
            <w:r>
              <w:rPr>
                <w:rFonts w:ascii="Times New Roman" w:hAnsi="Times New Roman"/>
                <w:color w:val="auto"/>
                <w:sz w:val="24"/>
                <w:vertAlign w:val="subscript"/>
              </w:rPr>
              <w:t>3</w:t>
            </w:r>
            <w:r>
              <w:rPr>
                <w:rFonts w:ascii="Times New Roman" w:hAnsi="Times New Roman"/>
                <w:color w:val="auto"/>
                <w:sz w:val="24"/>
                <w:vertAlign w:val="superscript"/>
              </w:rPr>
              <w:t>-</w:t>
            </w:r>
            <w:r>
              <w:rPr>
                <w:rFonts w:ascii="Times New Roman" w:hAnsi="Times New Roman"/>
                <w:color w:val="auto"/>
                <w:sz w:val="24"/>
              </w:rPr>
              <w:t>-Na</w:t>
            </w:r>
            <w:r>
              <w:rPr>
                <w:rFonts w:ascii="Times New Roman" w:hAnsi="Times New Roman"/>
                <w:color w:val="auto"/>
                <w:sz w:val="24"/>
                <w:vertAlign w:val="superscript"/>
              </w:rPr>
              <w:t>+</w:t>
            </w:r>
            <w:r>
              <w:rPr>
                <w:rFonts w:ascii="Times New Roman" w:hAnsi="Times New Roman"/>
                <w:color w:val="auto"/>
                <w:sz w:val="24"/>
              </w:rPr>
              <w:t>-Mg</w:t>
            </w:r>
            <w:r>
              <w:rPr>
                <w:rFonts w:ascii="Times New Roman" w:hAnsi="Times New Roman"/>
                <w:color w:val="auto"/>
                <w:sz w:val="24"/>
                <w:vertAlign w:val="superscript"/>
              </w:rPr>
              <w:t>2+</w:t>
            </w:r>
            <w:r>
              <w:rPr>
                <w:rFonts w:ascii="Times New Roman" w:hAnsi="Times New Roman"/>
                <w:color w:val="auto"/>
                <w:sz w:val="24"/>
              </w:rPr>
              <w:t>型。</w:t>
            </w:r>
          </w:p>
          <w:p>
            <w:pPr>
              <w:spacing w:line="360" w:lineRule="auto"/>
              <w:ind w:firstLine="482" w:firstLineChars="200"/>
              <w:outlineLvl w:val="2"/>
              <w:rPr>
                <w:rFonts w:ascii="Times New Roman" w:hAnsi="Times New Roman"/>
                <w:b/>
                <w:color w:val="auto"/>
                <w:sz w:val="24"/>
              </w:rPr>
            </w:pPr>
            <w:r>
              <w:rPr>
                <w:rFonts w:ascii="Times New Roman" w:hAnsi="Times New Roman"/>
                <w:b/>
                <w:color w:val="auto"/>
                <w:sz w:val="24"/>
              </w:rPr>
              <w:t>5、土壤</w:t>
            </w:r>
          </w:p>
          <w:p>
            <w:pPr>
              <w:spacing w:line="360" w:lineRule="auto"/>
              <w:ind w:firstLine="480" w:firstLineChars="200"/>
              <w:rPr>
                <w:rFonts w:ascii="Times New Roman" w:hAnsi="Times New Roman"/>
                <w:color w:val="auto"/>
                <w:sz w:val="24"/>
                <w:szCs w:val="20"/>
              </w:rPr>
            </w:pPr>
            <w:r>
              <w:rPr>
                <w:rFonts w:ascii="Times New Roman" w:hAnsi="Times New Roman"/>
                <w:color w:val="auto"/>
                <w:sz w:val="24"/>
              </w:rPr>
              <w:t>土壤受地形、母质、气候、植物、和耕作条件的影响，形成不同的土壤类型，即：黄绵土、黑垆土、淤积土、潮土、红粘土和灰褐土。全县土地资源比较丰富，有耕地69030公顷。宁县温和较湿润的气候条件，适宜多种阔叶林和草本植被的生长发育，植物种类较多。据不完全调查，全县木本植物和草本植物类型约有40多科200种，农作物品种资源也很丰富。按照不同的地形条件和植被状况，大致可分为三个植被区：一是次森林植被区，主要分布于子午岭中段西侧与大弯、龙池、绣花楼、北桂花、九里沟、胡家岔、前崾岘、徐阳沟一线以东的中山丘陵地带。自然植被以落叶阔林为主，植被覆盖度90%以上。地表枯枝落叶层达2~4cm，林下土壤向灰褐土发育；二是荒坡疏林草原植被区，即为林区以外未开垦的梁、茆、丘陵、沟谷、坡地。该区地形条件复杂，植物群落和长势差异很大。一般阳山覆盖度为20~70%，阴山40~80%。河谷川台地植被生长较好，覆盖度为50~90%。植被条件较好的土壤则为薄腐殖灰绵土和薄腐殖灰培土及荒坡红土；三是农作物种植区，宁县是以种植业为主的农业县，农作物种植物遍布全县各地，农作物主要有粮食作物、经济作物、绿肥及饲料作物，田间杂草主要有冰草、偃麦草、米蒿、荠荠菜、苦菜、毛不留行、蒺藜等。</w:t>
            </w:r>
          </w:p>
          <w:p>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6、自然资源</w:t>
            </w:r>
          </w:p>
          <w:p>
            <w:pPr>
              <w:spacing w:line="360" w:lineRule="auto"/>
              <w:ind w:firstLine="480" w:firstLineChars="200"/>
              <w:rPr>
                <w:rFonts w:ascii="Times New Roman" w:hAnsi="Times New Roman"/>
                <w:color w:val="auto"/>
                <w:sz w:val="24"/>
              </w:rPr>
            </w:pPr>
            <w:r>
              <w:rPr>
                <w:rFonts w:ascii="Times New Roman" w:hAnsi="Times New Roman"/>
                <w:color w:val="auto"/>
                <w:sz w:val="24"/>
              </w:rPr>
              <w:t>（1）动物资源</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本项目所在区域动物主要为一些鸟类及小型啮齿类动物等，无大型野生动物，且在现场踏勘及走访过程中，项目所在区域没有发现珍稀、濒危或国家及自治区级保护动物的栖息地和繁殖地。</w:t>
            </w:r>
          </w:p>
          <w:p>
            <w:pPr>
              <w:spacing w:line="360" w:lineRule="auto"/>
              <w:ind w:firstLine="480" w:firstLineChars="200"/>
              <w:rPr>
                <w:rFonts w:ascii="Times New Roman" w:hAnsi="Times New Roman"/>
                <w:color w:val="auto"/>
                <w:sz w:val="24"/>
              </w:rPr>
            </w:pPr>
            <w:r>
              <w:rPr>
                <w:rFonts w:ascii="Times New Roman" w:hAnsi="Times New Roman"/>
                <w:color w:val="auto"/>
                <w:sz w:val="24"/>
              </w:rPr>
              <w:t>（2）植物资源</w:t>
            </w:r>
          </w:p>
          <w:p>
            <w:pPr>
              <w:spacing w:line="360" w:lineRule="auto"/>
              <w:ind w:firstLine="480" w:firstLineChars="200"/>
              <w:rPr>
                <w:rFonts w:ascii="Times New Roman" w:hAnsi="Times New Roman"/>
                <w:color w:val="auto"/>
                <w:sz w:val="24"/>
              </w:rPr>
            </w:pPr>
            <w:r>
              <w:rPr>
                <w:rFonts w:ascii="Times New Roman" w:hAnsi="Times New Roman"/>
                <w:color w:val="auto"/>
                <w:sz w:val="24"/>
              </w:rPr>
              <w:t>宁县温和较湿润的气候条件，适宜多种阔叶林和草本植被的生长发育，植物种类较多。据不完全调查，全县木本植物和草本植物类型约有40多科200种，农作物品种资源也很丰富。按照不同的地形条件和植被状况，大致可分为三个植被区：一是次生林植被区，主要分布于子午岭中段西侧与大弯、龙池、绣花楼、北桂花、九里沟、胡家岔、前崾岘、徐阳沟一线以东的中山丘陵地带。自然植被以落叶阔林为主，植被覆盖度90%以上。地表枯枝落叶层达2~4cm，林下土壤向灰褐土发育；二是荒坡疏林草原植被区，即为林区以外未开垦的梁、茆、丘陵、沟谷、坡地。该区地形条件复杂，植物群落和长势差异很大。一般阳山覆盖度为20~70%，阴山40~80%。河谷川台地植被生长较好，覆盖度为50~90%。植被条件较好的土壤则为薄腐殖灰绵土和薄腐殖灰培土及荒坡红土；三是农作物种植区，宁县是以种植业为主的农业县，农作物种植物遍布全县各地，农作物主要有粮食作物、经济作物、绿肥及饲料作物，田间杂草主要有冰草、偃麦草、米蒿、荠荠菜、苦菜、毛不留行、蒺藜等。</w:t>
            </w:r>
          </w:p>
          <w:p>
            <w:pPr>
              <w:spacing w:line="360" w:lineRule="auto"/>
              <w:ind w:firstLine="480" w:firstLineChars="200"/>
              <w:rPr>
                <w:rFonts w:ascii="Times New Roman" w:hAnsi="Times New Roman"/>
                <w:color w:val="auto"/>
                <w:sz w:val="24"/>
              </w:rPr>
            </w:pPr>
            <w:r>
              <w:rPr>
                <w:rFonts w:ascii="Times New Roman" w:hAnsi="Times New Roman"/>
                <w:color w:val="auto"/>
                <w:sz w:val="24"/>
              </w:rPr>
              <w:t>宁县代表性树种有山杏、刺槐、杨柳、松、楸、桐、椿、柏、白桦、国槐等二十多种。主要经济树种有苹果、梨、杏、核桃、枣、李、桑等。</w:t>
            </w:r>
          </w:p>
          <w:p>
            <w:pPr>
              <w:spacing w:line="360" w:lineRule="auto"/>
              <w:ind w:firstLine="480" w:firstLineChars="200"/>
              <w:rPr>
                <w:rFonts w:ascii="Times New Roman" w:hAnsi="Times New Roman"/>
                <w:color w:val="auto"/>
                <w:sz w:val="24"/>
              </w:rPr>
            </w:pPr>
            <w:r>
              <w:rPr>
                <w:rFonts w:ascii="Times New Roman" w:hAnsi="Times New Roman"/>
                <w:color w:val="auto"/>
                <w:sz w:val="24"/>
              </w:rPr>
              <w:t>（3）矿产资源</w:t>
            </w:r>
          </w:p>
          <w:p>
            <w:pPr>
              <w:spacing w:line="360" w:lineRule="auto"/>
              <w:ind w:firstLine="480" w:firstLineChars="200"/>
              <w:rPr>
                <w:rFonts w:ascii="Times New Roman" w:hAnsi="Times New Roman"/>
                <w:color w:val="auto"/>
                <w:sz w:val="24"/>
              </w:rPr>
            </w:pPr>
            <w:r>
              <w:rPr>
                <w:rFonts w:ascii="Times New Roman" w:hAnsi="Times New Roman"/>
                <w:color w:val="auto"/>
                <w:sz w:val="24"/>
              </w:rPr>
              <w:t>宁县县域内矿产资源主要有煤、石油、煤层气、建筑用砂（沙）石、石灰石、矿泉水，砖瓦用粘土矿遍布境内。其中煤炭、石油、天然气等矿产资源储量丰富，遍布境内。截至2014年，煤炭探明总储量1027亿吨，占全省预测储量的73%，其中千米以浅储量77亿吨，查探明储量63亿吨，宁南煤田已开工建设;石油预测储量2亿吨，中石油、中石化已开始规模开采，"十二五"末产能可达120万吨;煤层气预测储量达2150亿立方米。每平方米有煤38.6吨，石油0.075吨，煤层气81立方米。</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7、地震</w:t>
            </w:r>
          </w:p>
          <w:p>
            <w:pPr>
              <w:spacing w:line="360" w:lineRule="auto"/>
              <w:ind w:firstLine="480" w:firstLineChars="200"/>
              <w:outlineLvl w:val="2"/>
              <w:rPr>
                <w:rFonts w:ascii="Times New Roman" w:hAnsi="Times New Roman"/>
                <w:color w:val="auto"/>
                <w:sz w:val="24"/>
                <w:szCs w:val="20"/>
              </w:rPr>
            </w:pPr>
            <w:r>
              <w:rPr>
                <w:rFonts w:ascii="Times New Roman" w:hAnsi="Times New Roman"/>
                <w:color w:val="auto"/>
                <w:sz w:val="24"/>
              </w:rPr>
              <w:t>依据国家标准《建筑抗震设计规范》（GB50011-2010），已建场地抗震设防烈度为6度，设计基本抗震加速度为0.05g，设计地震分组为第三组，特征周期指为0.65s。</w:t>
            </w:r>
          </w:p>
          <w:p>
            <w:pPr>
              <w:spacing w:line="360" w:lineRule="auto"/>
              <w:ind w:firstLine="480" w:firstLineChars="200"/>
              <w:rPr>
                <w:rFonts w:ascii="Times New Roman" w:hAnsi="Times New Roman"/>
                <w:color w:val="auto"/>
                <w:sz w:val="24"/>
              </w:rPr>
            </w:pPr>
          </w:p>
        </w:tc>
      </w:tr>
    </w:tbl>
    <w:p>
      <w:pPr>
        <w:rPr>
          <w:rFonts w:ascii="Times New Roman" w:hAnsi="Times New Roman"/>
          <w:b/>
          <w:color w:val="auto"/>
          <w:sz w:val="30"/>
        </w:rPr>
      </w:pPr>
    </w:p>
    <w:p>
      <w:pPr>
        <w:pStyle w:val="5"/>
        <w:rPr>
          <w:rFonts w:ascii="Times New Roman" w:hAnsi="Times New Roman"/>
          <w:color w:val="auto"/>
        </w:rPr>
      </w:pPr>
      <w:r>
        <w:rPr>
          <w:rFonts w:ascii="Times New Roman" w:hAnsi="Times New Roman"/>
          <w:color w:val="auto"/>
        </w:rPr>
        <w:t>环境质量状况</w:t>
      </w:r>
    </w:p>
    <w:tbl>
      <w:tblPr>
        <w:tblStyle w:val="26"/>
        <w:tblW w:w="922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9227" w:type="dxa"/>
          </w:tcPr>
          <w:p>
            <w:pPr>
              <w:pStyle w:val="10"/>
              <w:spacing w:line="360" w:lineRule="auto"/>
              <w:rPr>
                <w:rFonts w:ascii="Times New Roman" w:hAnsi="Times New Roman" w:eastAsia="宋体"/>
                <w:b/>
                <w:color w:val="auto"/>
              </w:rPr>
            </w:pPr>
            <w:r>
              <w:rPr>
                <w:rFonts w:ascii="Times New Roman" w:hAnsi="Times New Roman" w:eastAsia="宋体"/>
                <w:b/>
                <w:color w:val="auto"/>
              </w:rPr>
              <w:t>建设项目所在地区域环境质量现状及主要环境问题（环境空气、地表水、地下水、声环境、生态环境等）</w:t>
            </w:r>
          </w:p>
          <w:p>
            <w:pPr>
              <w:spacing w:line="360" w:lineRule="auto"/>
              <w:ind w:firstLine="482" w:firstLineChars="200"/>
              <w:rPr>
                <w:rFonts w:ascii="Times New Roman" w:hAnsi="Times New Roman"/>
                <w:b/>
                <w:bCs/>
                <w:color w:val="auto"/>
                <w:sz w:val="24"/>
                <w:szCs w:val="28"/>
              </w:rPr>
            </w:pPr>
            <w:r>
              <w:rPr>
                <w:rFonts w:ascii="Times New Roman" w:hAnsi="Times New Roman"/>
                <w:b/>
                <w:bCs/>
                <w:color w:val="auto"/>
                <w:sz w:val="24"/>
                <w:szCs w:val="28"/>
              </w:rPr>
              <w:t>1、空气环境质量现状</w:t>
            </w:r>
          </w:p>
          <w:p>
            <w:pPr>
              <w:spacing w:line="360" w:lineRule="auto"/>
              <w:ind w:firstLine="480" w:firstLineChars="200"/>
              <w:rPr>
                <w:rFonts w:ascii="Times New Roman" w:hAnsi="Times New Roman"/>
                <w:color w:val="auto"/>
                <w:sz w:val="24"/>
              </w:rPr>
            </w:pPr>
            <w:r>
              <w:rPr>
                <w:rFonts w:ascii="Times New Roman" w:hAnsi="Times New Roman"/>
                <w:color w:val="auto"/>
                <w:sz w:val="24"/>
              </w:rPr>
              <w:t>1.1项目所在区域达标判断</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根据《环境影响评价技术导则 大气环境》（HJ2.2-2018）中6.4.1.1中的内容“城市环境空气质量达标评价指标为SO</w:t>
            </w:r>
            <w:r>
              <w:rPr>
                <w:rFonts w:ascii="Times New Roman" w:hAnsi="Times New Roman"/>
                <w:color w:val="auto"/>
                <w:sz w:val="24"/>
                <w:vertAlign w:val="subscript"/>
              </w:rPr>
              <w:t>2</w:t>
            </w:r>
            <w:r>
              <w:rPr>
                <w:rFonts w:ascii="Times New Roman" w:hAnsi="Times New Roman"/>
                <w:color w:val="auto"/>
                <w:sz w:val="24"/>
              </w:rPr>
              <w:t>、NO</w:t>
            </w:r>
            <w:r>
              <w:rPr>
                <w:rFonts w:ascii="Times New Roman" w:hAnsi="Times New Roman"/>
                <w:color w:val="auto"/>
                <w:sz w:val="24"/>
                <w:vertAlign w:val="subscript"/>
              </w:rPr>
              <w:t>2</w:t>
            </w:r>
            <w:r>
              <w:rPr>
                <w:rFonts w:ascii="Times New Roman" w:hAnsi="Times New Roman"/>
                <w:color w:val="auto"/>
                <w:sz w:val="24"/>
              </w:rPr>
              <w:t>、PM</w:t>
            </w:r>
            <w:r>
              <w:rPr>
                <w:rFonts w:ascii="Times New Roman" w:hAnsi="Times New Roman"/>
                <w:color w:val="auto"/>
                <w:sz w:val="24"/>
                <w:vertAlign w:val="subscript"/>
              </w:rPr>
              <w:t>10</w:t>
            </w:r>
            <w:r>
              <w:rPr>
                <w:rFonts w:ascii="Times New Roman" w:hAnsi="Times New Roman"/>
                <w:color w:val="auto"/>
                <w:sz w:val="24"/>
              </w:rPr>
              <w:t>、PM</w:t>
            </w:r>
            <w:r>
              <w:rPr>
                <w:rFonts w:ascii="Times New Roman" w:hAnsi="Times New Roman"/>
                <w:color w:val="auto"/>
                <w:sz w:val="24"/>
                <w:vertAlign w:val="subscript"/>
              </w:rPr>
              <w:t>2.5</w:t>
            </w:r>
            <w:r>
              <w:rPr>
                <w:rFonts w:ascii="Times New Roman" w:hAnsi="Times New Roman"/>
                <w:color w:val="auto"/>
                <w:sz w:val="24"/>
              </w:rPr>
              <w:t>、CO和O</w:t>
            </w:r>
            <w:r>
              <w:rPr>
                <w:rFonts w:ascii="Times New Roman" w:hAnsi="Times New Roman"/>
                <w:color w:val="auto"/>
                <w:sz w:val="24"/>
                <w:vertAlign w:val="subscript"/>
              </w:rPr>
              <w:t>3</w:t>
            </w:r>
            <w:r>
              <w:rPr>
                <w:rFonts w:ascii="Times New Roman" w:hAnsi="Times New Roman"/>
                <w:color w:val="auto"/>
                <w:sz w:val="24"/>
              </w:rPr>
              <w:t>，六项污染物全部达标即为城市环境空气质量达标”。</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根据《环境影响评价技术导则 大气环境》（HJ2.2-2018），项目所在区域达标判定，优先采用国家或地方生态环境主管部门公开发布的评价基准年环境质量公告或环境质量报告中的数据或结论。其中评价基准年为近3年中数据相对完整的1个日历年作为评价基准年。本次设定的评价基准年为2018年，数据来源为宁县环境质量月报（2018年1-12月）。统计情况如表3-1所示。</w:t>
            </w:r>
          </w:p>
          <w:p>
            <w:pPr>
              <w:spacing w:line="360" w:lineRule="auto"/>
              <w:jc w:val="center"/>
              <w:rPr>
                <w:rFonts w:ascii="Times New Roman" w:hAnsi="Times New Roman"/>
                <w:b/>
                <w:color w:val="auto"/>
                <w:sz w:val="24"/>
              </w:rPr>
            </w:pPr>
            <w:r>
              <w:rPr>
                <w:rFonts w:ascii="Times New Roman" w:hAnsi="Times New Roman"/>
                <w:b/>
                <w:color w:val="auto"/>
                <w:sz w:val="24"/>
              </w:rPr>
              <w:t>表3-1     环境空气质量监测统计情况    单位：μg/m</w:t>
            </w:r>
            <w:r>
              <w:rPr>
                <w:rFonts w:ascii="Times New Roman" w:hAnsi="Times New Roman"/>
                <w:b/>
                <w:color w:val="auto"/>
                <w:sz w:val="24"/>
                <w:vertAlign w:val="superscript"/>
              </w:rPr>
              <w:t>3</w:t>
            </w:r>
          </w:p>
          <w:tbl>
            <w:tblPr>
              <w:tblStyle w:val="26"/>
              <w:tblW w:w="899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8"/>
              <w:gridCol w:w="1241"/>
              <w:gridCol w:w="1243"/>
              <w:gridCol w:w="1246"/>
              <w:gridCol w:w="1074"/>
              <w:gridCol w:w="1286"/>
              <w:gridCol w:w="138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1518"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日期</w:t>
                  </w:r>
                </w:p>
              </w:tc>
              <w:tc>
                <w:tcPr>
                  <w:tcW w:w="1241"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p>
              </w:tc>
              <w:tc>
                <w:tcPr>
                  <w:tcW w:w="1243"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NO</w:t>
                  </w:r>
                  <w:r>
                    <w:rPr>
                      <w:rFonts w:ascii="Times New Roman" w:hAnsi="Times New Roman"/>
                      <w:color w:val="auto"/>
                      <w:szCs w:val="21"/>
                      <w:vertAlign w:val="subscript"/>
                    </w:rPr>
                    <w:t>2</w:t>
                  </w:r>
                </w:p>
              </w:tc>
              <w:tc>
                <w:tcPr>
                  <w:tcW w:w="1246"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PM</w:t>
                  </w:r>
                  <w:r>
                    <w:rPr>
                      <w:rFonts w:ascii="Times New Roman" w:hAnsi="Times New Roman"/>
                      <w:color w:val="auto"/>
                      <w:szCs w:val="21"/>
                      <w:vertAlign w:val="subscript"/>
                    </w:rPr>
                    <w:t>10</w:t>
                  </w:r>
                </w:p>
              </w:tc>
              <w:tc>
                <w:tcPr>
                  <w:tcW w:w="1074"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PM</w:t>
                  </w:r>
                  <w:r>
                    <w:rPr>
                      <w:rFonts w:ascii="Times New Roman" w:hAnsi="Times New Roman"/>
                      <w:color w:val="auto"/>
                      <w:szCs w:val="21"/>
                      <w:vertAlign w:val="subscript"/>
                    </w:rPr>
                    <w:t>2.5</w:t>
                  </w:r>
                </w:p>
              </w:tc>
              <w:tc>
                <w:tcPr>
                  <w:tcW w:w="1286"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CO第95百分位数</w:t>
                  </w:r>
                </w:p>
              </w:tc>
              <w:tc>
                <w:tcPr>
                  <w:tcW w:w="1383"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O</w:t>
                  </w:r>
                  <w:r>
                    <w:rPr>
                      <w:rFonts w:ascii="Times New Roman" w:hAnsi="Times New Roman"/>
                      <w:color w:val="auto"/>
                      <w:szCs w:val="21"/>
                      <w:vertAlign w:val="subscript"/>
                    </w:rPr>
                    <w:t>3</w:t>
                  </w:r>
                  <w:r>
                    <w:rPr>
                      <w:rFonts w:ascii="Times New Roman" w:hAnsi="Times New Roman"/>
                      <w:color w:val="auto"/>
                      <w:szCs w:val="21"/>
                    </w:rPr>
                    <w:t>_8h第90百分位数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2018年1月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69</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22</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97</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53</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1.2</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83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2018年2月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69</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18</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126</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59</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1.0</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97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2018年3月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39</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21</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127</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56</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0.7</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134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2018年4月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19</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18</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142</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48</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0.7</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2018年5月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11</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16</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124</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46</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0.8</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2018年6月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13</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15</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79</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33</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0.7</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2018年7月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10</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10</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66</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28</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1.3</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126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2018年8月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9</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12</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69</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30</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1.2</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134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2018年9月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11</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15</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73</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32</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0.7</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2018年10月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9</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19</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96</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44</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0.6</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2018年11月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18</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142</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56</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0.9</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77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2018年12月</w:t>
                  </w:r>
                </w:p>
              </w:tc>
              <w:tc>
                <w:tcPr>
                  <w:tcW w:w="1241"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26</w:t>
                  </w:r>
                </w:p>
              </w:tc>
              <w:tc>
                <w:tcPr>
                  <w:tcW w:w="124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22</w:t>
                  </w:r>
                </w:p>
              </w:tc>
              <w:tc>
                <w:tcPr>
                  <w:tcW w:w="124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136</w:t>
                  </w:r>
                </w:p>
              </w:tc>
              <w:tc>
                <w:tcPr>
                  <w:tcW w:w="1074"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53</w:t>
                  </w:r>
                </w:p>
              </w:tc>
              <w:tc>
                <w:tcPr>
                  <w:tcW w:w="1286"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1.1</w:t>
                  </w:r>
                </w:p>
              </w:tc>
              <w:tc>
                <w:tcPr>
                  <w:tcW w:w="1383"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518" w:type="dxa"/>
                  <w:vAlign w:val="center"/>
                </w:tcPr>
                <w:p>
                  <w:pPr>
                    <w:widowControl/>
                    <w:jc w:val="center"/>
                    <w:textAlignment w:val="center"/>
                    <w:rPr>
                      <w:rFonts w:ascii="Times New Roman" w:hAnsi="Times New Roman"/>
                      <w:color w:val="auto"/>
                      <w:kern w:val="0"/>
                      <w:szCs w:val="21"/>
                    </w:rPr>
                  </w:pPr>
                  <w:r>
                    <w:rPr>
                      <w:rFonts w:ascii="Times New Roman" w:hAnsi="Times New Roman"/>
                      <w:color w:val="auto"/>
                      <w:kern w:val="0"/>
                      <w:szCs w:val="21"/>
                    </w:rPr>
                    <w:t>平均值</w:t>
                  </w:r>
                </w:p>
              </w:tc>
              <w:tc>
                <w:tcPr>
                  <w:tcW w:w="1241" w:type="dxa"/>
                  <w:vAlign w:val="center"/>
                </w:tcPr>
                <w:p>
                  <w:pPr>
                    <w:jc w:val="center"/>
                    <w:rPr>
                      <w:rFonts w:ascii="Times New Roman" w:hAnsi="Times New Roman"/>
                      <w:color w:val="auto"/>
                      <w:szCs w:val="21"/>
                    </w:rPr>
                  </w:pPr>
                  <w:r>
                    <w:rPr>
                      <w:rFonts w:ascii="Times New Roman" w:hAnsi="Times New Roman"/>
                      <w:color w:val="auto"/>
                      <w:szCs w:val="21"/>
                    </w:rPr>
                    <w:t>25.25</w:t>
                  </w:r>
                </w:p>
              </w:tc>
              <w:tc>
                <w:tcPr>
                  <w:tcW w:w="1243" w:type="dxa"/>
                  <w:vAlign w:val="center"/>
                </w:tcPr>
                <w:p>
                  <w:pPr>
                    <w:jc w:val="center"/>
                    <w:rPr>
                      <w:rFonts w:ascii="Times New Roman" w:hAnsi="Times New Roman"/>
                      <w:color w:val="auto"/>
                      <w:szCs w:val="21"/>
                    </w:rPr>
                  </w:pPr>
                  <w:r>
                    <w:rPr>
                      <w:rFonts w:ascii="Times New Roman" w:hAnsi="Times New Roman"/>
                      <w:color w:val="auto"/>
                      <w:szCs w:val="21"/>
                    </w:rPr>
                    <w:t>17.33</w:t>
                  </w:r>
                </w:p>
              </w:tc>
              <w:tc>
                <w:tcPr>
                  <w:tcW w:w="1246" w:type="dxa"/>
                  <w:vAlign w:val="center"/>
                </w:tcPr>
                <w:p>
                  <w:pPr>
                    <w:jc w:val="center"/>
                    <w:rPr>
                      <w:rFonts w:ascii="Times New Roman" w:hAnsi="Times New Roman"/>
                      <w:color w:val="auto"/>
                      <w:szCs w:val="21"/>
                    </w:rPr>
                  </w:pPr>
                  <w:r>
                    <w:rPr>
                      <w:rFonts w:ascii="Times New Roman" w:hAnsi="Times New Roman"/>
                      <w:color w:val="auto"/>
                      <w:szCs w:val="21"/>
                    </w:rPr>
                    <w:t>106.42</w:t>
                  </w:r>
                </w:p>
              </w:tc>
              <w:tc>
                <w:tcPr>
                  <w:tcW w:w="1074" w:type="dxa"/>
                  <w:vAlign w:val="center"/>
                </w:tcPr>
                <w:p>
                  <w:pPr>
                    <w:jc w:val="center"/>
                    <w:rPr>
                      <w:rFonts w:ascii="Times New Roman" w:hAnsi="Times New Roman"/>
                      <w:color w:val="auto"/>
                      <w:szCs w:val="21"/>
                    </w:rPr>
                  </w:pPr>
                  <w:r>
                    <w:rPr>
                      <w:rFonts w:ascii="Times New Roman" w:hAnsi="Times New Roman"/>
                      <w:color w:val="auto"/>
                      <w:szCs w:val="21"/>
                    </w:rPr>
                    <w:t>44.83</w:t>
                  </w:r>
                </w:p>
              </w:tc>
              <w:tc>
                <w:tcPr>
                  <w:tcW w:w="1286" w:type="dxa"/>
                  <w:vAlign w:val="center"/>
                </w:tcPr>
                <w:p>
                  <w:pPr>
                    <w:jc w:val="center"/>
                    <w:rPr>
                      <w:rFonts w:ascii="Times New Roman" w:hAnsi="Times New Roman"/>
                      <w:color w:val="auto"/>
                      <w:szCs w:val="21"/>
                    </w:rPr>
                  </w:pPr>
                  <w:r>
                    <w:rPr>
                      <w:rFonts w:ascii="Times New Roman" w:hAnsi="Times New Roman"/>
                      <w:color w:val="auto"/>
                      <w:szCs w:val="21"/>
                    </w:rPr>
                    <w:t>0.91</w:t>
                  </w:r>
                </w:p>
              </w:tc>
              <w:tc>
                <w:tcPr>
                  <w:tcW w:w="1383" w:type="dxa"/>
                  <w:vAlign w:val="center"/>
                </w:tcPr>
                <w:p>
                  <w:pPr>
                    <w:jc w:val="center"/>
                    <w:rPr>
                      <w:rFonts w:ascii="Times New Roman" w:hAnsi="Times New Roman"/>
                      <w:color w:val="auto"/>
                      <w:szCs w:val="21"/>
                    </w:rPr>
                  </w:pPr>
                  <w:r>
                    <w:rPr>
                      <w:rFonts w:ascii="Times New Roman" w:hAnsi="Times New Roman"/>
                      <w:color w:val="auto"/>
                      <w:szCs w:val="21"/>
                    </w:rPr>
                    <w:t>114.92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18"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标准限值</w:t>
                  </w:r>
                </w:p>
              </w:tc>
              <w:tc>
                <w:tcPr>
                  <w:tcW w:w="1241"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150</w:t>
                  </w:r>
                </w:p>
              </w:tc>
              <w:tc>
                <w:tcPr>
                  <w:tcW w:w="1243"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80</w:t>
                  </w:r>
                </w:p>
              </w:tc>
              <w:tc>
                <w:tcPr>
                  <w:tcW w:w="1246"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150</w:t>
                  </w:r>
                </w:p>
              </w:tc>
              <w:tc>
                <w:tcPr>
                  <w:tcW w:w="1074"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75</w:t>
                  </w:r>
                </w:p>
              </w:tc>
              <w:tc>
                <w:tcPr>
                  <w:tcW w:w="1286" w:type="dxa"/>
                  <w:vAlign w:val="center"/>
                </w:tcPr>
                <w:p>
                  <w:pPr>
                    <w:widowControl/>
                    <w:jc w:val="center"/>
                    <w:textAlignment w:val="center"/>
                    <w:rPr>
                      <w:rFonts w:ascii="Times New Roman" w:hAnsi="Times New Roman"/>
                      <w:color w:val="auto"/>
                      <w:kern w:val="0"/>
                      <w:szCs w:val="21"/>
                    </w:rPr>
                  </w:pPr>
                  <w:r>
                    <w:rPr>
                      <w:rFonts w:ascii="Times New Roman" w:hAnsi="Times New Roman"/>
                      <w:color w:val="auto"/>
                      <w:kern w:val="0"/>
                      <w:szCs w:val="21"/>
                    </w:rPr>
                    <w:t>4</w:t>
                  </w:r>
                </w:p>
              </w:tc>
              <w:tc>
                <w:tcPr>
                  <w:tcW w:w="1383"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160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518" w:type="dxa"/>
                  <w:vAlign w:val="center"/>
                </w:tcPr>
                <w:p>
                  <w:pPr>
                    <w:tabs>
                      <w:tab w:val="left" w:pos="220"/>
                      <w:tab w:val="left" w:pos="430"/>
                    </w:tabs>
                    <w:jc w:val="center"/>
                    <w:rPr>
                      <w:rFonts w:ascii="Times New Roman" w:hAnsi="Times New Roman"/>
                      <w:color w:val="auto"/>
                      <w:szCs w:val="21"/>
                    </w:rPr>
                  </w:pPr>
                  <w:r>
                    <w:rPr>
                      <w:rFonts w:ascii="Times New Roman" w:hAnsi="Times New Roman"/>
                      <w:color w:val="auto"/>
                      <w:szCs w:val="21"/>
                    </w:rPr>
                    <w:t>超标倍数</w:t>
                  </w:r>
                </w:p>
              </w:tc>
              <w:tc>
                <w:tcPr>
                  <w:tcW w:w="1241"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0</w:t>
                  </w:r>
                </w:p>
              </w:tc>
              <w:tc>
                <w:tcPr>
                  <w:tcW w:w="1243"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0</w:t>
                  </w:r>
                </w:p>
              </w:tc>
              <w:tc>
                <w:tcPr>
                  <w:tcW w:w="1246"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0</w:t>
                  </w:r>
                </w:p>
              </w:tc>
              <w:tc>
                <w:tcPr>
                  <w:tcW w:w="1074"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0</w:t>
                  </w:r>
                </w:p>
              </w:tc>
              <w:tc>
                <w:tcPr>
                  <w:tcW w:w="1286" w:type="dxa"/>
                  <w:vAlign w:val="center"/>
                </w:tcPr>
                <w:p>
                  <w:pPr>
                    <w:widowControl/>
                    <w:jc w:val="center"/>
                    <w:textAlignment w:val="center"/>
                    <w:rPr>
                      <w:rFonts w:ascii="Times New Roman" w:hAnsi="Times New Roman"/>
                      <w:color w:val="auto"/>
                      <w:kern w:val="0"/>
                      <w:szCs w:val="21"/>
                    </w:rPr>
                  </w:pPr>
                  <w:r>
                    <w:rPr>
                      <w:rFonts w:ascii="Times New Roman" w:hAnsi="Times New Roman"/>
                      <w:color w:val="auto"/>
                      <w:kern w:val="0"/>
                      <w:szCs w:val="21"/>
                    </w:rPr>
                    <w:t>0</w:t>
                  </w:r>
                </w:p>
              </w:tc>
              <w:tc>
                <w:tcPr>
                  <w:tcW w:w="1383" w:type="dxa"/>
                  <w:vAlign w:val="center"/>
                </w:tcPr>
                <w:p>
                  <w:pPr>
                    <w:widowControl/>
                    <w:jc w:val="center"/>
                    <w:rPr>
                      <w:rFonts w:ascii="Times New Roman" w:hAnsi="Times New Roman"/>
                      <w:color w:val="auto"/>
                      <w:kern w:val="0"/>
                      <w:szCs w:val="21"/>
                    </w:rPr>
                  </w:pPr>
                  <w:r>
                    <w:rPr>
                      <w:rFonts w:ascii="Times New Roman" w:hAnsi="Times New Roman"/>
                      <w:color w:val="auto"/>
                      <w:kern w:val="0"/>
                      <w:szCs w:val="21"/>
                    </w:rPr>
                    <w:t>0</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综上所述，项目区域环境空气中SO</w:t>
            </w:r>
            <w:r>
              <w:rPr>
                <w:rFonts w:ascii="Times New Roman" w:hAnsi="Times New Roman"/>
                <w:color w:val="auto"/>
                <w:sz w:val="24"/>
                <w:vertAlign w:val="subscript"/>
              </w:rPr>
              <w:t>2</w:t>
            </w:r>
            <w:r>
              <w:rPr>
                <w:rFonts w:ascii="Times New Roman" w:hAnsi="Times New Roman"/>
                <w:color w:val="auto"/>
                <w:sz w:val="24"/>
              </w:rPr>
              <w:t>、NO</w:t>
            </w:r>
            <w:r>
              <w:rPr>
                <w:rFonts w:ascii="Times New Roman" w:hAnsi="Times New Roman"/>
                <w:color w:val="auto"/>
                <w:sz w:val="24"/>
                <w:vertAlign w:val="subscript"/>
              </w:rPr>
              <w:t>2</w:t>
            </w:r>
            <w:r>
              <w:rPr>
                <w:rFonts w:ascii="Times New Roman" w:hAnsi="Times New Roman"/>
                <w:color w:val="auto"/>
                <w:sz w:val="24"/>
              </w:rPr>
              <w:t>、PM</w:t>
            </w:r>
            <w:r>
              <w:rPr>
                <w:rFonts w:ascii="Times New Roman" w:hAnsi="Times New Roman"/>
                <w:color w:val="auto"/>
                <w:sz w:val="24"/>
                <w:vertAlign w:val="subscript"/>
              </w:rPr>
              <w:t>10</w:t>
            </w:r>
            <w:r>
              <w:rPr>
                <w:rFonts w:ascii="Times New Roman" w:hAnsi="Times New Roman"/>
                <w:color w:val="auto"/>
                <w:sz w:val="24"/>
              </w:rPr>
              <w:t>、PM</w:t>
            </w:r>
            <w:r>
              <w:rPr>
                <w:rFonts w:ascii="Times New Roman" w:hAnsi="Times New Roman"/>
                <w:color w:val="auto"/>
                <w:sz w:val="24"/>
                <w:vertAlign w:val="subscript"/>
              </w:rPr>
              <w:t>2.5</w:t>
            </w:r>
            <w:r>
              <w:rPr>
                <w:rFonts w:ascii="Times New Roman" w:hAnsi="Times New Roman"/>
                <w:color w:val="auto"/>
                <w:sz w:val="24"/>
              </w:rPr>
              <w:t>、CO第95百分位数、O</w:t>
            </w:r>
            <w:r>
              <w:rPr>
                <w:rFonts w:ascii="Times New Roman" w:hAnsi="Times New Roman"/>
                <w:color w:val="auto"/>
                <w:sz w:val="24"/>
                <w:vertAlign w:val="subscript"/>
              </w:rPr>
              <w:t>3</w:t>
            </w:r>
            <w:r>
              <w:rPr>
                <w:rFonts w:ascii="Times New Roman" w:hAnsi="Times New Roman"/>
                <w:color w:val="auto"/>
                <w:sz w:val="24"/>
              </w:rPr>
              <w:t>_8h第90百分位数日均值均未超过《环境空气质量标准》（GB3095-2012）中二级标准，项目所在区域环境空气质量为达标区。</w:t>
            </w:r>
          </w:p>
          <w:p>
            <w:pPr>
              <w:numPr>
                <w:ilvl w:val="0"/>
                <w:numId w:val="1"/>
              </w:numPr>
              <w:tabs>
                <w:tab w:val="left" w:pos="2473"/>
              </w:tabs>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 xml:space="preserve"> 水环境质量现状</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项目所在区域地表水为马莲河，执行《地表水环境质量标准》（GB3838-2002）</w:t>
            </w:r>
            <w:r>
              <w:rPr>
                <w:rFonts w:hint="eastAsia" w:ascii="宋体" w:hAnsi="宋体" w:cs="宋体"/>
                <w:color w:val="auto"/>
                <w:sz w:val="24"/>
              </w:rPr>
              <w:t>Ⅳ</w:t>
            </w:r>
            <w:r>
              <w:rPr>
                <w:rFonts w:ascii="Times New Roman" w:hAnsi="Times New Roman"/>
                <w:color w:val="auto"/>
                <w:sz w:val="24"/>
              </w:rPr>
              <w:t>类标准。为充分了解项目评价区内地表水环境质量现状情况，本次环评地表水环境质量现状引用2019年11月庆阳市对马莲河2个例行监测断面例行断面监测结果，监测结果如下：</w:t>
            </w:r>
          </w:p>
          <w:p>
            <w:pPr>
              <w:jc w:val="center"/>
              <w:rPr>
                <w:rFonts w:ascii="Times New Roman" w:hAnsi="Times New Roman"/>
                <w:b/>
                <w:bCs/>
                <w:color w:val="auto"/>
                <w:kern w:val="0"/>
                <w:szCs w:val="21"/>
              </w:rPr>
            </w:pPr>
            <w:r>
              <w:rPr>
                <w:rFonts w:ascii="Times New Roman" w:hAnsi="Times New Roman"/>
                <w:b/>
                <w:bCs/>
                <w:color w:val="auto"/>
                <w:kern w:val="0"/>
                <w:szCs w:val="21"/>
              </w:rPr>
              <w:t>表3-2  庆阳蒲河2019年11月地表水监测结果</w:t>
            </w:r>
          </w:p>
          <w:tbl>
            <w:tblPr>
              <w:tblStyle w:val="26"/>
              <w:tblW w:w="900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30"/>
              <w:gridCol w:w="1890"/>
              <w:gridCol w:w="1055"/>
              <w:gridCol w:w="1059"/>
              <w:gridCol w:w="1050"/>
              <w:gridCol w:w="1252"/>
              <w:gridCol w:w="20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0"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序号</w:t>
                  </w:r>
                </w:p>
              </w:tc>
              <w:tc>
                <w:tcPr>
                  <w:tcW w:w="1890"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河流（水库）名称</w:t>
                  </w:r>
                </w:p>
              </w:tc>
              <w:tc>
                <w:tcPr>
                  <w:tcW w:w="1055"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断面名称</w:t>
                  </w:r>
                </w:p>
              </w:tc>
              <w:tc>
                <w:tcPr>
                  <w:tcW w:w="1059"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水域功能</w:t>
                  </w:r>
                </w:p>
              </w:tc>
              <w:tc>
                <w:tcPr>
                  <w:tcW w:w="1050"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水质类别</w:t>
                  </w:r>
                </w:p>
              </w:tc>
              <w:tc>
                <w:tcPr>
                  <w:tcW w:w="1252"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断面水质</w:t>
                  </w:r>
                </w:p>
                <w:p>
                  <w:pPr>
                    <w:jc w:val="center"/>
                    <w:rPr>
                      <w:rFonts w:ascii="Times New Roman" w:hAnsi="Times New Roman"/>
                      <w:color w:val="auto"/>
                      <w:szCs w:val="21"/>
                    </w:rPr>
                  </w:pPr>
                  <w:r>
                    <w:rPr>
                      <w:rFonts w:ascii="Times New Roman" w:hAnsi="Times New Roman"/>
                      <w:color w:val="auto"/>
                      <w:szCs w:val="21"/>
                    </w:rPr>
                    <w:t>状况</w:t>
                  </w:r>
                </w:p>
              </w:tc>
              <w:tc>
                <w:tcPr>
                  <w:tcW w:w="2065"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地表水达标率（%）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0"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1</w:t>
                  </w:r>
                </w:p>
              </w:tc>
              <w:tc>
                <w:tcPr>
                  <w:tcW w:w="1890" w:type="dxa"/>
                  <w:vMerge w:val="restart"/>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马莲河</w:t>
                  </w:r>
                </w:p>
              </w:tc>
              <w:tc>
                <w:tcPr>
                  <w:tcW w:w="1055"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柴家台</w:t>
                  </w:r>
                </w:p>
              </w:tc>
              <w:tc>
                <w:tcPr>
                  <w:tcW w:w="1059"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III类</w:t>
                  </w:r>
                </w:p>
              </w:tc>
              <w:tc>
                <w:tcPr>
                  <w:tcW w:w="1050"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劣</w:t>
                  </w:r>
                  <w:r>
                    <w:rPr>
                      <w:rFonts w:hint="eastAsia" w:ascii="宋体" w:hAnsi="宋体" w:cs="宋体"/>
                      <w:color w:val="auto"/>
                      <w:szCs w:val="21"/>
                    </w:rPr>
                    <w:t>Ⅴ</w:t>
                  </w:r>
                  <w:r>
                    <w:rPr>
                      <w:rFonts w:ascii="Times New Roman" w:hAnsi="Times New Roman"/>
                      <w:color w:val="auto"/>
                      <w:szCs w:val="21"/>
                    </w:rPr>
                    <w:t>类</w:t>
                  </w:r>
                </w:p>
              </w:tc>
              <w:tc>
                <w:tcPr>
                  <w:tcW w:w="1252"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重度污染</w:t>
                  </w:r>
                </w:p>
              </w:tc>
              <w:tc>
                <w:tcPr>
                  <w:tcW w:w="2065" w:type="dxa"/>
                  <w:vMerge w:val="restart"/>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0"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2</w:t>
                  </w:r>
                </w:p>
              </w:tc>
              <w:tc>
                <w:tcPr>
                  <w:tcW w:w="1890" w:type="dxa"/>
                  <w:vMerge w:val="continue"/>
                  <w:tcMar>
                    <w:top w:w="0" w:type="dxa"/>
                    <w:left w:w="105" w:type="dxa"/>
                    <w:bottom w:w="0" w:type="dxa"/>
                    <w:right w:w="105" w:type="dxa"/>
                  </w:tcMar>
                  <w:vAlign w:val="center"/>
                </w:tcPr>
                <w:p>
                  <w:pPr>
                    <w:widowControl/>
                    <w:rPr>
                      <w:rFonts w:ascii="Times New Roman" w:hAnsi="Times New Roman"/>
                      <w:color w:val="auto"/>
                      <w:szCs w:val="21"/>
                    </w:rPr>
                  </w:pPr>
                </w:p>
              </w:tc>
              <w:tc>
                <w:tcPr>
                  <w:tcW w:w="1055"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宁县桥头</w:t>
                  </w:r>
                </w:p>
              </w:tc>
              <w:tc>
                <w:tcPr>
                  <w:tcW w:w="1059"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IV类</w:t>
                  </w:r>
                </w:p>
              </w:tc>
              <w:tc>
                <w:tcPr>
                  <w:tcW w:w="1050"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III类</w:t>
                  </w:r>
                </w:p>
              </w:tc>
              <w:tc>
                <w:tcPr>
                  <w:tcW w:w="1252" w:type="dxa"/>
                  <w:tcMar>
                    <w:top w:w="0" w:type="dxa"/>
                    <w:left w:w="105" w:type="dxa"/>
                    <w:bottom w:w="0" w:type="dxa"/>
                    <w:right w:w="105" w:type="dxa"/>
                  </w:tcMar>
                  <w:vAlign w:val="center"/>
                </w:tcPr>
                <w:p>
                  <w:pPr>
                    <w:jc w:val="center"/>
                    <w:rPr>
                      <w:rFonts w:ascii="Times New Roman" w:hAnsi="Times New Roman"/>
                      <w:color w:val="auto"/>
                      <w:szCs w:val="21"/>
                    </w:rPr>
                  </w:pPr>
                  <w:r>
                    <w:rPr>
                      <w:rFonts w:ascii="Times New Roman" w:hAnsi="Times New Roman"/>
                      <w:color w:val="auto"/>
                      <w:szCs w:val="21"/>
                    </w:rPr>
                    <w:t>良</w:t>
                  </w:r>
                </w:p>
              </w:tc>
              <w:tc>
                <w:tcPr>
                  <w:tcW w:w="2065" w:type="dxa"/>
                  <w:vMerge w:val="continue"/>
                  <w:vAlign w:val="center"/>
                </w:tcPr>
                <w:p>
                  <w:pPr>
                    <w:widowControl/>
                    <w:rPr>
                      <w:rFonts w:ascii="Times New Roman" w:hAnsi="Times New Roman"/>
                      <w:color w:val="auto"/>
                      <w:szCs w:val="21"/>
                    </w:rPr>
                  </w:pPr>
                </w:p>
              </w:tc>
            </w:tr>
          </w:tbl>
          <w:p>
            <w:pPr>
              <w:spacing w:line="360" w:lineRule="auto"/>
              <w:ind w:firstLine="480" w:firstLineChars="200"/>
              <w:rPr>
                <w:rFonts w:ascii="Times New Roman" w:hAnsi="Times New Roman"/>
                <w:b/>
                <w:bCs/>
                <w:color w:val="auto"/>
                <w:sz w:val="24"/>
              </w:rPr>
            </w:pPr>
            <w:r>
              <w:rPr>
                <w:rFonts w:ascii="Times New Roman" w:hAnsi="Times New Roman"/>
                <w:color w:val="auto"/>
                <w:sz w:val="24"/>
              </w:rPr>
              <w:t>综上，区域内水质达执行《地表水环境质量标准》（GB3838-2002）</w:t>
            </w:r>
            <w:r>
              <w:rPr>
                <w:rFonts w:hint="eastAsia" w:ascii="宋体" w:hAnsi="宋体" w:cs="宋体"/>
                <w:color w:val="auto"/>
                <w:sz w:val="24"/>
              </w:rPr>
              <w:t>Ⅳ</w:t>
            </w:r>
            <w:r>
              <w:rPr>
                <w:rFonts w:ascii="Times New Roman" w:hAnsi="Times New Roman"/>
                <w:color w:val="auto"/>
                <w:sz w:val="24"/>
              </w:rPr>
              <w:t>类标准，项目所在地地表水水质受到污染，需加强管理。</w:t>
            </w:r>
          </w:p>
          <w:p>
            <w:pPr>
              <w:pStyle w:val="5"/>
              <w:ind w:firstLine="482"/>
              <w:rPr>
                <w:rFonts w:ascii="Times New Roman" w:hAnsi="Times New Roman"/>
                <w:bCs/>
                <w:color w:val="auto"/>
                <w:szCs w:val="27"/>
              </w:rPr>
            </w:pPr>
            <w:r>
              <w:rPr>
                <w:rFonts w:ascii="Times New Roman" w:hAnsi="Times New Roman"/>
                <w:b w:val="0"/>
                <w:bCs/>
                <w:color w:val="auto"/>
              </w:rPr>
              <w:t>3、声环境质量现状</w:t>
            </w:r>
          </w:p>
          <w:p>
            <w:pPr>
              <w:tabs>
                <w:tab w:val="left" w:pos="2473"/>
              </w:tabs>
              <w:spacing w:line="360" w:lineRule="auto"/>
              <w:ind w:firstLine="480" w:firstLineChars="200"/>
              <w:textAlignment w:val="baseline"/>
              <w:rPr>
                <w:rFonts w:ascii="Times New Roman" w:hAnsi="Times New Roman"/>
                <w:color w:val="auto"/>
                <w:sz w:val="24"/>
              </w:rPr>
            </w:pPr>
            <w:r>
              <w:rPr>
                <w:rFonts w:ascii="Times New Roman" w:hAnsi="Times New Roman"/>
                <w:color w:val="auto"/>
                <w:kern w:val="0"/>
                <w:sz w:val="24"/>
              </w:rPr>
              <w:t>根据现场勘查以及调查周边环境，项目所在地周围均为居住区，无大型产噪工业企业，项目四周声环境质量较好，运营期产生的噪声较小，经厂房隔声、距离衰减后，对环境影响轻微。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2" w:hRule="atLeast"/>
        </w:trPr>
        <w:tc>
          <w:tcPr>
            <w:tcW w:w="9227" w:type="dxa"/>
          </w:tcPr>
          <w:p>
            <w:pPr>
              <w:adjustRightInd w:val="0"/>
              <w:snapToGrid w:val="0"/>
              <w:spacing w:line="360" w:lineRule="auto"/>
              <w:rPr>
                <w:rFonts w:ascii="Times New Roman" w:hAnsi="Times New Roman"/>
                <w:b/>
                <w:color w:val="auto"/>
                <w:sz w:val="24"/>
              </w:rPr>
            </w:pPr>
            <w:r>
              <w:rPr>
                <w:rFonts w:ascii="Times New Roman" w:hAnsi="Times New Roman"/>
                <w:b/>
                <w:color w:val="auto"/>
                <w:sz w:val="24"/>
              </w:rPr>
              <w:t>主要环境保护目标（列出名单及保护级别）：</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该工程的主要保护目标是附近居民及环境空气质量、声环境、水环境质量，使工程建设和运行后不破坏环境现状，环境敏感点图见附图6。</w:t>
            </w:r>
          </w:p>
          <w:p>
            <w:pPr>
              <w:spacing w:line="360" w:lineRule="auto"/>
              <w:ind w:firstLine="424" w:firstLineChars="176"/>
              <w:jc w:val="center"/>
              <w:rPr>
                <w:rFonts w:ascii="Times New Roman" w:hAnsi="Times New Roman"/>
                <w:b/>
                <w:color w:val="auto"/>
                <w:sz w:val="24"/>
              </w:rPr>
            </w:pPr>
            <w:r>
              <w:rPr>
                <w:rFonts w:ascii="Times New Roman" w:hAnsi="Times New Roman"/>
                <w:b/>
                <w:color w:val="auto"/>
                <w:sz w:val="24"/>
              </w:rPr>
              <w:t>表3-3  主要环境保护目标</w:t>
            </w:r>
          </w:p>
          <w:tbl>
            <w:tblPr>
              <w:tblStyle w:val="26"/>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1"/>
              <w:gridCol w:w="635"/>
              <w:gridCol w:w="666"/>
              <w:gridCol w:w="855"/>
              <w:gridCol w:w="1701"/>
              <w:gridCol w:w="1536"/>
              <w:gridCol w:w="1863"/>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Merge w:val="restart"/>
                  <w:vAlign w:val="center"/>
                </w:tcPr>
                <w:p>
                  <w:pPr>
                    <w:jc w:val="center"/>
                    <w:textAlignment w:val="baseline"/>
                    <w:rPr>
                      <w:rFonts w:ascii="Times New Roman" w:hAnsi="Times New Roman"/>
                      <w:color w:val="auto"/>
                    </w:rPr>
                  </w:pPr>
                  <w:r>
                    <w:rPr>
                      <w:rFonts w:ascii="Times New Roman" w:hAnsi="Times New Roman"/>
                      <w:color w:val="auto"/>
                    </w:rPr>
                    <w:t>敏感目</w:t>
                  </w:r>
                  <w:r>
                    <w:rPr>
                      <w:rStyle w:val="31"/>
                      <w:rFonts w:ascii="Times New Roman" w:hAnsi="Times New Roman"/>
                      <w:color w:val="auto"/>
                    </w:rPr>
                    <w:t>标</w:t>
                  </w:r>
                </w:p>
              </w:tc>
              <w:tc>
                <w:tcPr>
                  <w:tcW w:w="1301" w:type="dxa"/>
                  <w:gridSpan w:val="2"/>
                  <w:vAlign w:val="center"/>
                </w:tcPr>
                <w:p>
                  <w:pPr>
                    <w:jc w:val="center"/>
                    <w:rPr>
                      <w:rFonts w:ascii="Times New Roman" w:hAnsi="Times New Roman"/>
                      <w:color w:val="auto"/>
                    </w:rPr>
                  </w:pPr>
                  <w:r>
                    <w:rPr>
                      <w:rFonts w:ascii="Times New Roman" w:hAnsi="Times New Roman"/>
                      <w:color w:val="auto"/>
                    </w:rPr>
                    <w:t>坐标</w:t>
                  </w:r>
                </w:p>
              </w:tc>
              <w:tc>
                <w:tcPr>
                  <w:tcW w:w="855" w:type="dxa"/>
                  <w:vMerge w:val="restart"/>
                  <w:vAlign w:val="center"/>
                </w:tcPr>
                <w:p>
                  <w:pPr>
                    <w:jc w:val="center"/>
                    <w:textAlignment w:val="baseline"/>
                    <w:rPr>
                      <w:rFonts w:ascii="Times New Roman" w:hAnsi="Times New Roman"/>
                      <w:color w:val="auto"/>
                    </w:rPr>
                  </w:pPr>
                  <w:r>
                    <w:rPr>
                      <w:rFonts w:ascii="Times New Roman" w:hAnsi="Times New Roman"/>
                      <w:color w:val="auto"/>
                    </w:rPr>
                    <w:t>保护对象</w:t>
                  </w:r>
                </w:p>
              </w:tc>
              <w:tc>
                <w:tcPr>
                  <w:tcW w:w="1701" w:type="dxa"/>
                  <w:vMerge w:val="restart"/>
                  <w:vAlign w:val="center"/>
                </w:tcPr>
                <w:p>
                  <w:pPr>
                    <w:jc w:val="center"/>
                    <w:textAlignment w:val="baseline"/>
                    <w:rPr>
                      <w:rFonts w:ascii="Times New Roman" w:hAnsi="Times New Roman"/>
                      <w:color w:val="auto"/>
                    </w:rPr>
                  </w:pPr>
                  <w:r>
                    <w:rPr>
                      <w:rFonts w:ascii="Times New Roman" w:hAnsi="Times New Roman"/>
                      <w:color w:val="auto"/>
                    </w:rPr>
                    <w:t>保护内容</w:t>
                  </w:r>
                </w:p>
              </w:tc>
              <w:tc>
                <w:tcPr>
                  <w:tcW w:w="1536" w:type="dxa"/>
                  <w:vMerge w:val="restart"/>
                  <w:vAlign w:val="center"/>
                </w:tcPr>
                <w:p>
                  <w:pPr>
                    <w:jc w:val="center"/>
                    <w:textAlignment w:val="baseline"/>
                    <w:rPr>
                      <w:rFonts w:ascii="Times New Roman" w:hAnsi="Times New Roman"/>
                      <w:color w:val="auto"/>
                    </w:rPr>
                  </w:pPr>
                  <w:r>
                    <w:rPr>
                      <w:rFonts w:ascii="Times New Roman" w:hAnsi="Times New Roman"/>
                      <w:color w:val="auto"/>
                    </w:rPr>
                    <w:t>环境功能区</w:t>
                  </w:r>
                </w:p>
              </w:tc>
              <w:tc>
                <w:tcPr>
                  <w:tcW w:w="1863" w:type="dxa"/>
                  <w:vMerge w:val="restart"/>
                  <w:vAlign w:val="center"/>
                </w:tcPr>
                <w:p>
                  <w:pPr>
                    <w:jc w:val="center"/>
                    <w:textAlignment w:val="baseline"/>
                    <w:rPr>
                      <w:rFonts w:ascii="Times New Roman" w:hAnsi="Times New Roman"/>
                      <w:color w:val="auto"/>
                    </w:rPr>
                  </w:pPr>
                  <w:r>
                    <w:rPr>
                      <w:rFonts w:ascii="Times New Roman" w:hAnsi="Times New Roman"/>
                      <w:color w:val="auto"/>
                    </w:rPr>
                    <w:t>相对方位</w:t>
                  </w:r>
                </w:p>
              </w:tc>
              <w:tc>
                <w:tcPr>
                  <w:tcW w:w="754" w:type="dxa"/>
                  <w:vMerge w:val="restart"/>
                  <w:vAlign w:val="center"/>
                </w:tcPr>
                <w:p>
                  <w:pPr>
                    <w:jc w:val="center"/>
                    <w:textAlignment w:val="baseline"/>
                    <w:rPr>
                      <w:rFonts w:ascii="Times New Roman" w:hAnsi="Times New Roman"/>
                      <w:color w:val="auto"/>
                    </w:rPr>
                  </w:pPr>
                  <w:r>
                    <w:rPr>
                      <w:rFonts w:ascii="Times New Roman" w:hAnsi="Times New Roman"/>
                      <w:color w:val="auto"/>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Merge w:val="continue"/>
                  <w:vAlign w:val="center"/>
                </w:tcPr>
                <w:p>
                  <w:pPr>
                    <w:jc w:val="center"/>
                    <w:textAlignment w:val="baseline"/>
                    <w:rPr>
                      <w:rFonts w:ascii="Times New Roman" w:hAnsi="Times New Roman"/>
                      <w:color w:val="auto"/>
                    </w:rPr>
                  </w:pPr>
                </w:p>
              </w:tc>
              <w:tc>
                <w:tcPr>
                  <w:tcW w:w="635" w:type="dxa"/>
                  <w:vAlign w:val="center"/>
                </w:tcPr>
                <w:p>
                  <w:pPr>
                    <w:jc w:val="center"/>
                    <w:rPr>
                      <w:rFonts w:ascii="Times New Roman" w:hAnsi="Times New Roman"/>
                      <w:color w:val="auto"/>
                    </w:rPr>
                  </w:pPr>
                  <w:r>
                    <w:rPr>
                      <w:rFonts w:ascii="Times New Roman" w:hAnsi="Times New Roman"/>
                      <w:color w:val="auto"/>
                    </w:rPr>
                    <w:t>X</w:t>
                  </w:r>
                </w:p>
              </w:tc>
              <w:tc>
                <w:tcPr>
                  <w:tcW w:w="666" w:type="dxa"/>
                  <w:vAlign w:val="center"/>
                </w:tcPr>
                <w:p>
                  <w:pPr>
                    <w:jc w:val="center"/>
                    <w:rPr>
                      <w:rFonts w:ascii="Times New Roman" w:hAnsi="Times New Roman"/>
                      <w:color w:val="auto"/>
                    </w:rPr>
                  </w:pPr>
                  <w:r>
                    <w:rPr>
                      <w:rFonts w:ascii="Times New Roman" w:hAnsi="Times New Roman"/>
                      <w:color w:val="auto"/>
                    </w:rPr>
                    <w:t>Y</w:t>
                  </w:r>
                </w:p>
              </w:tc>
              <w:tc>
                <w:tcPr>
                  <w:tcW w:w="855" w:type="dxa"/>
                  <w:vMerge w:val="continue"/>
                  <w:vAlign w:val="center"/>
                </w:tcPr>
                <w:p>
                  <w:pPr>
                    <w:jc w:val="center"/>
                    <w:textAlignment w:val="baseline"/>
                    <w:rPr>
                      <w:rFonts w:ascii="Times New Roman" w:hAnsi="Times New Roman"/>
                      <w:color w:val="auto"/>
                    </w:rPr>
                  </w:pPr>
                </w:p>
              </w:tc>
              <w:tc>
                <w:tcPr>
                  <w:tcW w:w="1701" w:type="dxa"/>
                  <w:vMerge w:val="continue"/>
                  <w:vAlign w:val="center"/>
                </w:tcPr>
                <w:p>
                  <w:pPr>
                    <w:jc w:val="center"/>
                    <w:textAlignment w:val="baseline"/>
                    <w:rPr>
                      <w:rFonts w:ascii="Times New Roman" w:hAnsi="Times New Roman"/>
                      <w:color w:val="auto"/>
                    </w:rPr>
                  </w:pPr>
                </w:p>
              </w:tc>
              <w:tc>
                <w:tcPr>
                  <w:tcW w:w="1536" w:type="dxa"/>
                  <w:vMerge w:val="continue"/>
                  <w:vAlign w:val="center"/>
                </w:tcPr>
                <w:p>
                  <w:pPr>
                    <w:jc w:val="center"/>
                    <w:textAlignment w:val="baseline"/>
                    <w:rPr>
                      <w:rFonts w:ascii="Times New Roman" w:hAnsi="Times New Roman"/>
                      <w:color w:val="auto"/>
                    </w:rPr>
                  </w:pPr>
                </w:p>
              </w:tc>
              <w:tc>
                <w:tcPr>
                  <w:tcW w:w="1863" w:type="dxa"/>
                  <w:vMerge w:val="continue"/>
                  <w:vAlign w:val="center"/>
                </w:tcPr>
                <w:p>
                  <w:pPr>
                    <w:jc w:val="center"/>
                    <w:textAlignment w:val="baseline"/>
                    <w:rPr>
                      <w:rFonts w:ascii="Times New Roman" w:hAnsi="Times New Roman"/>
                      <w:color w:val="auto"/>
                    </w:rPr>
                  </w:pPr>
                </w:p>
              </w:tc>
              <w:tc>
                <w:tcPr>
                  <w:tcW w:w="754" w:type="dxa"/>
                  <w:vMerge w:val="continue"/>
                  <w:vAlign w:val="center"/>
                </w:tcPr>
                <w:p>
                  <w:pPr>
                    <w:jc w:val="center"/>
                    <w:textAlignment w:val="baseline"/>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石甲圪垯</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-362</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241</w:t>
                  </w:r>
                </w:p>
              </w:tc>
              <w:tc>
                <w:tcPr>
                  <w:tcW w:w="855" w:type="dxa"/>
                  <w:vAlign w:val="center"/>
                </w:tcPr>
                <w:p>
                  <w:pPr>
                    <w:jc w:val="center"/>
                    <w:textAlignment w:val="baseline"/>
                    <w:rPr>
                      <w:rFonts w:ascii="Times New Roman" w:hAnsi="Times New Roman"/>
                      <w:color w:val="auto"/>
                    </w:rPr>
                  </w:pPr>
                  <w:r>
                    <w:rPr>
                      <w:rFonts w:ascii="Times New Roman" w:hAnsi="Times New Roman"/>
                      <w:color w:val="auto"/>
                    </w:rPr>
                    <w:t>村庄</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约4户，16人</w:t>
                  </w:r>
                </w:p>
              </w:tc>
              <w:tc>
                <w:tcPr>
                  <w:tcW w:w="1536" w:type="dxa"/>
                  <w:vMerge w:val="restart"/>
                  <w:vAlign w:val="center"/>
                </w:tcPr>
                <w:p>
                  <w:pPr>
                    <w:jc w:val="center"/>
                    <w:textAlignment w:val="baseline"/>
                    <w:rPr>
                      <w:rFonts w:ascii="Times New Roman" w:hAnsi="Times New Roman"/>
                      <w:color w:val="auto"/>
                    </w:rPr>
                  </w:pPr>
                  <w:r>
                    <w:rPr>
                      <w:rFonts w:ascii="Times New Roman" w:hAnsi="Times New Roman"/>
                      <w:color w:val="auto"/>
                    </w:rPr>
                    <w:t>环境空气二类区</w:t>
                  </w: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NW</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井儿塬</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-1163</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543</w:t>
                  </w:r>
                </w:p>
              </w:tc>
              <w:tc>
                <w:tcPr>
                  <w:tcW w:w="855" w:type="dxa"/>
                  <w:vAlign w:val="center"/>
                </w:tcPr>
                <w:p>
                  <w:pPr>
                    <w:jc w:val="center"/>
                    <w:rPr>
                      <w:rFonts w:ascii="Times New Roman" w:hAnsi="Times New Roman"/>
                      <w:color w:val="auto"/>
                    </w:rPr>
                  </w:pPr>
                  <w:r>
                    <w:rPr>
                      <w:rFonts w:ascii="Times New Roman" w:hAnsi="Times New Roman"/>
                      <w:color w:val="auto"/>
                    </w:rPr>
                    <w:t>村庄</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约36户，144人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NW</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1283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鲁甲村</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-2400</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218</w:t>
                  </w:r>
                </w:p>
              </w:tc>
              <w:tc>
                <w:tcPr>
                  <w:tcW w:w="855" w:type="dxa"/>
                  <w:vAlign w:val="center"/>
                </w:tcPr>
                <w:p>
                  <w:pPr>
                    <w:jc w:val="center"/>
                    <w:rPr>
                      <w:rFonts w:ascii="Times New Roman" w:hAnsi="Times New Roman"/>
                      <w:color w:val="auto"/>
                    </w:rPr>
                  </w:pPr>
                  <w:r>
                    <w:rPr>
                      <w:rFonts w:ascii="Times New Roman" w:hAnsi="Times New Roman"/>
                      <w:color w:val="auto"/>
                    </w:rPr>
                    <w:t>村庄</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约98户，392人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NW</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2409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马沟</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-1599</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-2190</w:t>
                  </w:r>
                </w:p>
              </w:tc>
              <w:tc>
                <w:tcPr>
                  <w:tcW w:w="855" w:type="dxa"/>
                  <w:vAlign w:val="center"/>
                </w:tcPr>
                <w:p>
                  <w:pPr>
                    <w:jc w:val="center"/>
                    <w:rPr>
                      <w:rFonts w:ascii="Times New Roman" w:hAnsi="Times New Roman"/>
                      <w:color w:val="auto"/>
                    </w:rPr>
                  </w:pPr>
                  <w:r>
                    <w:rPr>
                      <w:rFonts w:ascii="Times New Roman" w:hAnsi="Times New Roman"/>
                      <w:color w:val="auto"/>
                    </w:rPr>
                    <w:t>村庄</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约20户，80人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SW</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2711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榆林子</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-1179</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-1981</w:t>
                  </w:r>
                </w:p>
              </w:tc>
              <w:tc>
                <w:tcPr>
                  <w:tcW w:w="855" w:type="dxa"/>
                  <w:vAlign w:val="center"/>
                </w:tcPr>
                <w:p>
                  <w:pPr>
                    <w:jc w:val="center"/>
                    <w:rPr>
                      <w:rFonts w:ascii="Times New Roman" w:hAnsi="Times New Roman"/>
                      <w:color w:val="auto"/>
                    </w:rPr>
                  </w:pPr>
                  <w:r>
                    <w:rPr>
                      <w:rFonts w:ascii="Times New Roman" w:hAnsi="Times New Roman"/>
                      <w:color w:val="auto"/>
                    </w:rPr>
                    <w:t>村庄</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约28户，112人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SW</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枣林村</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198</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-1571</w:t>
                  </w:r>
                </w:p>
              </w:tc>
              <w:tc>
                <w:tcPr>
                  <w:tcW w:w="855" w:type="dxa"/>
                  <w:vAlign w:val="center"/>
                </w:tcPr>
                <w:p>
                  <w:pPr>
                    <w:jc w:val="center"/>
                    <w:rPr>
                      <w:rFonts w:ascii="Times New Roman" w:hAnsi="Times New Roman"/>
                      <w:color w:val="auto"/>
                    </w:rPr>
                  </w:pPr>
                  <w:r>
                    <w:rPr>
                      <w:rFonts w:ascii="Times New Roman" w:hAnsi="Times New Roman"/>
                      <w:color w:val="auto"/>
                    </w:rPr>
                    <w:t>村庄</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约30户，120人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SE</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1583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枣林小学</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180</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-1635</w:t>
                  </w:r>
                </w:p>
              </w:tc>
              <w:tc>
                <w:tcPr>
                  <w:tcW w:w="855" w:type="dxa"/>
                  <w:vAlign w:val="center"/>
                </w:tcPr>
                <w:p>
                  <w:pPr>
                    <w:jc w:val="center"/>
                    <w:rPr>
                      <w:rFonts w:ascii="Times New Roman" w:hAnsi="Times New Roman"/>
                      <w:color w:val="auto"/>
                    </w:rPr>
                  </w:pPr>
                  <w:r>
                    <w:rPr>
                      <w:rFonts w:ascii="Times New Roman" w:hAnsi="Times New Roman"/>
                      <w:color w:val="auto"/>
                    </w:rPr>
                    <w:t>学校</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约师生200人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SE</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1597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蔡村</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1746</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-1199</w:t>
                  </w:r>
                </w:p>
              </w:tc>
              <w:tc>
                <w:tcPr>
                  <w:tcW w:w="855" w:type="dxa"/>
                  <w:vAlign w:val="center"/>
                </w:tcPr>
                <w:p>
                  <w:pPr>
                    <w:jc w:val="center"/>
                    <w:rPr>
                      <w:rFonts w:ascii="Times New Roman" w:hAnsi="Times New Roman"/>
                      <w:color w:val="auto"/>
                    </w:rPr>
                  </w:pPr>
                  <w:r>
                    <w:rPr>
                      <w:rFonts w:ascii="Times New Roman" w:hAnsi="Times New Roman"/>
                      <w:color w:val="auto"/>
                    </w:rPr>
                    <w:t>村庄</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约38户，152人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SE</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2118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北庄小学</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838</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961</w:t>
                  </w:r>
                </w:p>
              </w:tc>
              <w:tc>
                <w:tcPr>
                  <w:tcW w:w="855" w:type="dxa"/>
                  <w:vAlign w:val="center"/>
                </w:tcPr>
                <w:p>
                  <w:pPr>
                    <w:jc w:val="center"/>
                    <w:rPr>
                      <w:rFonts w:ascii="Times New Roman" w:hAnsi="Times New Roman"/>
                      <w:color w:val="auto"/>
                    </w:rPr>
                  </w:pPr>
                  <w:r>
                    <w:rPr>
                      <w:rFonts w:ascii="Times New Roman" w:hAnsi="Times New Roman"/>
                      <w:color w:val="auto"/>
                    </w:rPr>
                    <w:t>学校</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约师生200人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NE</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北庄村</w:t>
                  </w:r>
                </w:p>
              </w:tc>
              <w:tc>
                <w:tcPr>
                  <w:tcW w:w="635" w:type="dxa"/>
                  <w:vAlign w:val="center"/>
                </w:tcPr>
                <w:p>
                  <w:pPr>
                    <w:jc w:val="center"/>
                    <w:textAlignment w:val="baseline"/>
                    <w:rPr>
                      <w:rFonts w:ascii="Times New Roman" w:hAnsi="Times New Roman"/>
                      <w:color w:val="auto"/>
                    </w:rPr>
                  </w:pPr>
                  <w:r>
                    <w:rPr>
                      <w:rFonts w:ascii="Times New Roman" w:hAnsi="Times New Roman"/>
                      <w:color w:val="auto"/>
                    </w:rPr>
                    <w:t>1045</w:t>
                  </w:r>
                </w:p>
              </w:tc>
              <w:tc>
                <w:tcPr>
                  <w:tcW w:w="666" w:type="dxa"/>
                  <w:vAlign w:val="center"/>
                </w:tcPr>
                <w:p>
                  <w:pPr>
                    <w:jc w:val="center"/>
                    <w:textAlignment w:val="baseline"/>
                    <w:rPr>
                      <w:rFonts w:ascii="Times New Roman" w:hAnsi="Times New Roman"/>
                      <w:color w:val="auto"/>
                    </w:rPr>
                  </w:pPr>
                  <w:r>
                    <w:rPr>
                      <w:rFonts w:ascii="Times New Roman" w:hAnsi="Times New Roman"/>
                      <w:color w:val="auto"/>
                    </w:rPr>
                    <w:t>1240</w:t>
                  </w:r>
                </w:p>
              </w:tc>
              <w:tc>
                <w:tcPr>
                  <w:tcW w:w="855" w:type="dxa"/>
                  <w:vAlign w:val="center"/>
                </w:tcPr>
                <w:p>
                  <w:pPr>
                    <w:jc w:val="center"/>
                    <w:rPr>
                      <w:rFonts w:ascii="Times New Roman" w:hAnsi="Times New Roman"/>
                      <w:color w:val="auto"/>
                    </w:rPr>
                  </w:pPr>
                  <w:r>
                    <w:rPr>
                      <w:rFonts w:ascii="Times New Roman" w:hAnsi="Times New Roman"/>
                      <w:color w:val="auto"/>
                    </w:rPr>
                    <w:t>村庄</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约112户，448人</w:t>
                  </w:r>
                </w:p>
              </w:tc>
              <w:tc>
                <w:tcPr>
                  <w:tcW w:w="1536" w:type="dxa"/>
                  <w:vMerge w:val="continue"/>
                  <w:vAlign w:val="center"/>
                </w:tcPr>
                <w:p>
                  <w:pPr>
                    <w:jc w:val="center"/>
                    <w:textAlignment w:val="baseline"/>
                    <w:rPr>
                      <w:rFonts w:ascii="Times New Roman" w:hAnsi="Times New Roman"/>
                      <w:color w:val="auto"/>
                    </w:rPr>
                  </w:pP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NE</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1621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rPr>
                    <w:t>九龙河</w:t>
                  </w:r>
                </w:p>
              </w:tc>
              <w:tc>
                <w:tcPr>
                  <w:tcW w:w="2156" w:type="dxa"/>
                  <w:gridSpan w:val="3"/>
                  <w:vAlign w:val="center"/>
                </w:tcPr>
                <w:p>
                  <w:pPr>
                    <w:jc w:val="center"/>
                    <w:textAlignment w:val="baseline"/>
                    <w:rPr>
                      <w:rFonts w:ascii="Times New Roman" w:hAnsi="Times New Roman"/>
                      <w:color w:val="auto"/>
                    </w:rPr>
                  </w:pPr>
                  <w:r>
                    <w:rPr>
                      <w:rFonts w:ascii="Times New Roman" w:hAnsi="Times New Roman"/>
                      <w:snapToGrid w:val="0"/>
                      <w:color w:val="auto"/>
                      <w:kern w:val="0"/>
                      <w:szCs w:val="21"/>
                    </w:rPr>
                    <w:t>—</w:t>
                  </w:r>
                </w:p>
              </w:tc>
              <w:tc>
                <w:tcPr>
                  <w:tcW w:w="1701" w:type="dxa"/>
                  <w:vAlign w:val="center"/>
                </w:tcPr>
                <w:p>
                  <w:pPr>
                    <w:jc w:val="center"/>
                    <w:textAlignment w:val="baseline"/>
                    <w:rPr>
                      <w:rFonts w:ascii="Times New Roman" w:hAnsi="Times New Roman"/>
                      <w:color w:val="auto"/>
                    </w:rPr>
                  </w:pPr>
                  <w:r>
                    <w:rPr>
                      <w:rFonts w:ascii="Times New Roman" w:hAnsi="Times New Roman"/>
                      <w:color w:val="auto"/>
                    </w:rPr>
                    <w:t>九龙河</w:t>
                  </w:r>
                </w:p>
              </w:tc>
              <w:tc>
                <w:tcPr>
                  <w:tcW w:w="1536" w:type="dxa"/>
                  <w:vAlign w:val="center"/>
                </w:tcPr>
                <w:p>
                  <w:pPr>
                    <w:jc w:val="center"/>
                    <w:textAlignment w:val="baseline"/>
                    <w:rPr>
                      <w:rFonts w:ascii="Times New Roman" w:hAnsi="Times New Roman"/>
                      <w:color w:val="auto"/>
                    </w:rPr>
                  </w:pPr>
                  <w:r>
                    <w:rPr>
                      <w:rFonts w:ascii="Times New Roman" w:hAnsi="Times New Roman"/>
                      <w:color w:val="auto"/>
                    </w:rPr>
                    <w:t>地表水IV类水体</w:t>
                  </w:r>
                </w:p>
              </w:tc>
              <w:tc>
                <w:tcPr>
                  <w:tcW w:w="1863" w:type="dxa"/>
                  <w:vAlign w:val="center"/>
                </w:tcPr>
                <w:p>
                  <w:pPr>
                    <w:jc w:val="center"/>
                    <w:textAlignment w:val="baseline"/>
                    <w:rPr>
                      <w:rFonts w:ascii="Times New Roman" w:hAnsi="Times New Roman"/>
                      <w:color w:val="auto"/>
                    </w:rPr>
                  </w:pPr>
                  <w:r>
                    <w:rPr>
                      <w:rFonts w:ascii="Times New Roman" w:hAnsi="Times New Roman"/>
                      <w:color w:val="auto"/>
                    </w:rPr>
                    <w:t>S</w:t>
                  </w:r>
                </w:p>
              </w:tc>
              <w:tc>
                <w:tcPr>
                  <w:tcW w:w="754" w:type="dxa"/>
                  <w:vAlign w:val="center"/>
                </w:tcPr>
                <w:p>
                  <w:pPr>
                    <w:jc w:val="center"/>
                    <w:textAlignment w:val="baseline"/>
                    <w:rPr>
                      <w:rFonts w:ascii="Times New Roman" w:hAnsi="Times New Roman"/>
                      <w:color w:val="auto"/>
                    </w:rPr>
                  </w:pPr>
                  <w:r>
                    <w:rPr>
                      <w:rFonts w:ascii="Times New Roman" w:hAnsi="Times New Roman"/>
                      <w:color w:val="auto"/>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1" w:type="dxa"/>
                  <w:vAlign w:val="center"/>
                </w:tcPr>
                <w:p>
                  <w:pPr>
                    <w:jc w:val="center"/>
                    <w:textAlignment w:val="baseline"/>
                    <w:rPr>
                      <w:rFonts w:ascii="Times New Roman" w:hAnsi="Times New Roman"/>
                      <w:color w:val="auto"/>
                    </w:rPr>
                  </w:pPr>
                  <w:r>
                    <w:rPr>
                      <w:rFonts w:ascii="Times New Roman" w:hAnsi="Times New Roman"/>
                      <w:color w:val="auto"/>
                      <w:szCs w:val="21"/>
                    </w:rPr>
                    <w:t>地下水</w:t>
                  </w:r>
                </w:p>
              </w:tc>
              <w:tc>
                <w:tcPr>
                  <w:tcW w:w="8010" w:type="dxa"/>
                  <w:gridSpan w:val="7"/>
                  <w:vAlign w:val="center"/>
                </w:tcPr>
                <w:p>
                  <w:pPr>
                    <w:jc w:val="center"/>
                    <w:textAlignment w:val="baseline"/>
                    <w:rPr>
                      <w:rFonts w:ascii="Times New Roman" w:hAnsi="Times New Roman"/>
                      <w:color w:val="auto"/>
                      <w:szCs w:val="21"/>
                    </w:rPr>
                  </w:pPr>
                  <w:r>
                    <w:rPr>
                      <w:rFonts w:ascii="Times New Roman" w:hAnsi="Times New Roman"/>
                      <w:color w:val="auto"/>
                      <w:szCs w:val="21"/>
                    </w:rPr>
                    <w:t>项目周围</w:t>
                  </w:r>
                  <w:r>
                    <w:rPr>
                      <w:rFonts w:ascii="Times New Roman" w:hAnsi="Times New Roman"/>
                      <w:snapToGrid w:val="0"/>
                      <w:color w:val="auto"/>
                      <w:kern w:val="0"/>
                      <w:szCs w:val="21"/>
                    </w:rPr>
                    <w:t>地下水</w:t>
                  </w:r>
                </w:p>
              </w:tc>
            </w:tr>
          </w:tbl>
          <w:p>
            <w:pPr>
              <w:pStyle w:val="2"/>
              <w:rPr>
                <w:rFonts w:ascii="Times New Roman" w:hAnsi="Times New Roman"/>
                <w:color w:val="auto"/>
              </w:rPr>
            </w:pPr>
          </w:p>
          <w:p>
            <w:pPr>
              <w:rPr>
                <w:rFonts w:ascii="Times New Roman" w:hAnsi="Times New Roman"/>
                <w:color w:val="auto"/>
              </w:rPr>
            </w:pPr>
          </w:p>
          <w:p>
            <w:pPr>
              <w:pStyle w:val="37"/>
              <w:rPr>
                <w:rFonts w:ascii="Times New Roman"/>
                <w:color w:val="auto"/>
              </w:rPr>
            </w:pPr>
          </w:p>
        </w:tc>
      </w:tr>
    </w:tbl>
    <w:p>
      <w:pPr>
        <w:pStyle w:val="5"/>
        <w:rPr>
          <w:rFonts w:ascii="Times New Roman" w:hAnsi="Times New Roman"/>
          <w:color w:val="auto"/>
        </w:rPr>
      </w:pPr>
      <w:r>
        <w:rPr>
          <w:rFonts w:ascii="Times New Roman" w:hAnsi="Times New Roman"/>
          <w:color w:val="auto"/>
        </w:rPr>
        <w:t>评价适用标准</w:t>
      </w:r>
    </w:p>
    <w:tbl>
      <w:tblPr>
        <w:tblStyle w:val="26"/>
        <w:tblW w:w="9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58" w:type="dxa"/>
            <w:vAlign w:val="center"/>
          </w:tcPr>
          <w:p>
            <w:pPr>
              <w:jc w:val="center"/>
              <w:rPr>
                <w:rFonts w:ascii="Times New Roman" w:hAnsi="Times New Roman"/>
                <w:color w:val="auto"/>
                <w:sz w:val="24"/>
              </w:rPr>
            </w:pPr>
            <w:r>
              <w:rPr>
                <w:rFonts w:ascii="Times New Roman" w:hAnsi="Times New Roman"/>
                <w:color w:val="auto"/>
                <w:sz w:val="24"/>
              </w:rPr>
              <w:t>环境质量标准</w:t>
            </w:r>
          </w:p>
        </w:tc>
        <w:tc>
          <w:tcPr>
            <w:tcW w:w="8731" w:type="dxa"/>
            <w:vAlign w:val="center"/>
          </w:tcPr>
          <w:p>
            <w:pPr>
              <w:spacing w:line="360" w:lineRule="auto"/>
              <w:ind w:firstLine="480" w:firstLineChars="200"/>
              <w:jc w:val="left"/>
              <w:textAlignment w:val="baseline"/>
              <w:rPr>
                <w:rFonts w:ascii="Times New Roman" w:hAnsi="Times New Roman"/>
                <w:color w:val="auto"/>
                <w:sz w:val="24"/>
              </w:rPr>
            </w:pPr>
            <w:r>
              <w:rPr>
                <w:rFonts w:ascii="Times New Roman" w:hAnsi="Times New Roman"/>
                <w:color w:val="auto"/>
                <w:sz w:val="24"/>
              </w:rPr>
              <w:t>1、根据环境空气质量功能区划，项目所在区域大气环境执行《环境空气质量标准》（GB3095－2012）中的二级标准。氨、硫化氢</w:t>
            </w:r>
            <w:r>
              <w:rPr>
                <w:rFonts w:ascii="Times New Roman" w:hAnsi="Times New Roman"/>
                <w:color w:val="auto"/>
                <w:kern w:val="24"/>
                <w:sz w:val="24"/>
                <w:lang w:val="zh-CN"/>
              </w:rPr>
              <w:t>环境浓度执行《环境影响评价技术导则</w:t>
            </w:r>
            <w:r>
              <w:rPr>
                <w:rFonts w:ascii="Times New Roman" w:hAnsi="Times New Roman"/>
                <w:color w:val="auto"/>
                <w:kern w:val="24"/>
                <w:sz w:val="24"/>
              </w:rPr>
              <w:t xml:space="preserve"> 大气环境</w:t>
            </w:r>
            <w:r>
              <w:rPr>
                <w:rFonts w:ascii="Times New Roman" w:hAnsi="Times New Roman"/>
                <w:color w:val="auto"/>
                <w:kern w:val="24"/>
                <w:sz w:val="24"/>
                <w:lang w:val="zh-CN"/>
              </w:rPr>
              <w:t>》（</w:t>
            </w:r>
            <w:r>
              <w:rPr>
                <w:rFonts w:ascii="Times New Roman" w:hAnsi="Times New Roman"/>
                <w:color w:val="auto"/>
                <w:kern w:val="24"/>
                <w:sz w:val="24"/>
              </w:rPr>
              <w:t>HJ2.2-2018</w:t>
            </w:r>
            <w:r>
              <w:rPr>
                <w:rFonts w:ascii="Times New Roman" w:hAnsi="Times New Roman"/>
                <w:color w:val="auto"/>
                <w:kern w:val="24"/>
                <w:sz w:val="24"/>
                <w:lang w:val="zh-CN"/>
              </w:rPr>
              <w:t>）附录</w:t>
            </w:r>
            <w:r>
              <w:rPr>
                <w:rFonts w:ascii="Times New Roman" w:hAnsi="Times New Roman"/>
                <w:color w:val="auto"/>
                <w:kern w:val="24"/>
                <w:sz w:val="24"/>
              </w:rPr>
              <w:t>D</w:t>
            </w:r>
            <w:r>
              <w:rPr>
                <w:rFonts w:ascii="Times New Roman" w:hAnsi="Times New Roman"/>
                <w:color w:val="auto"/>
                <w:kern w:val="24"/>
                <w:sz w:val="24"/>
                <w:lang w:val="zh-CN"/>
              </w:rPr>
              <w:t>其他污染物空气质量浓度参考限值标准。</w:t>
            </w:r>
          </w:p>
          <w:p>
            <w:pPr>
              <w:pStyle w:val="58"/>
              <w:spacing w:before="24" w:after="24"/>
              <w:ind w:firstLine="240"/>
              <w:textAlignment w:val="baseline"/>
              <w:rPr>
                <w:rFonts w:ascii="Times New Roman" w:hAnsi="Times New Roman"/>
                <w:b/>
                <w:bCs/>
                <w:color w:val="auto"/>
                <w:kern w:val="0"/>
                <w:sz w:val="21"/>
                <w:szCs w:val="21"/>
              </w:rPr>
            </w:pPr>
            <w:r>
              <w:rPr>
                <w:rFonts w:ascii="Times New Roman" w:hAnsi="Times New Roman"/>
                <w:b/>
                <w:bCs/>
                <w:color w:val="auto"/>
                <w:kern w:val="0"/>
                <w:sz w:val="21"/>
                <w:szCs w:val="21"/>
              </w:rPr>
              <w:t>表4-1  环境空气质量标准</w:t>
            </w:r>
          </w:p>
          <w:tbl>
            <w:tblPr>
              <w:tblStyle w:val="26"/>
              <w:tblW w:w="85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3"/>
              <w:gridCol w:w="2125"/>
              <w:gridCol w:w="742"/>
              <w:gridCol w:w="861"/>
              <w:gridCol w:w="1281"/>
              <w:gridCol w:w="961"/>
              <w:gridCol w:w="930"/>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3" w:type="dxa"/>
                  <w:vMerge w:val="restart"/>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区域</w:t>
                  </w:r>
                </w:p>
              </w:tc>
              <w:tc>
                <w:tcPr>
                  <w:tcW w:w="2125" w:type="dxa"/>
                  <w:vMerge w:val="restart"/>
                  <w:tcBorders>
                    <w:top w:val="single" w:color="auto" w:sz="4"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执行标准</w:t>
                  </w:r>
                </w:p>
              </w:tc>
              <w:tc>
                <w:tcPr>
                  <w:tcW w:w="742" w:type="dxa"/>
                  <w:vMerge w:val="restart"/>
                  <w:tcBorders>
                    <w:top w:val="single" w:color="auto" w:sz="4"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级别</w:t>
                  </w:r>
                </w:p>
              </w:tc>
              <w:tc>
                <w:tcPr>
                  <w:tcW w:w="861" w:type="dxa"/>
                  <w:vMerge w:val="restart"/>
                  <w:tcBorders>
                    <w:top w:val="single" w:color="auto" w:sz="4"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污染物</w:t>
                  </w:r>
                </w:p>
              </w:tc>
              <w:tc>
                <w:tcPr>
                  <w:tcW w:w="1281" w:type="dxa"/>
                  <w:vMerge w:val="restart"/>
                  <w:tcBorders>
                    <w:top w:val="single" w:color="auto" w:sz="4"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单位</w:t>
                  </w:r>
                </w:p>
              </w:tc>
              <w:tc>
                <w:tcPr>
                  <w:tcW w:w="2883" w:type="dxa"/>
                  <w:gridSpan w:val="3"/>
                  <w:tcBorders>
                    <w:top w:val="single" w:color="auto" w:sz="4"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标准限值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3" w:type="dxa"/>
                  <w:vMerge w:val="continue"/>
                  <w:tcBorders>
                    <w:top w:val="single" w:color="auto" w:sz="4"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continue"/>
                  <w:tcBorders>
                    <w:top w:val="single" w:color="auto" w:sz="4"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742" w:type="dxa"/>
                  <w:vMerge w:val="continue"/>
                  <w:tcBorders>
                    <w:top w:val="single" w:color="auto" w:sz="4"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861" w:type="dxa"/>
                  <w:vMerge w:val="continue"/>
                  <w:tcBorders>
                    <w:top w:val="single" w:color="auto" w:sz="4"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1281" w:type="dxa"/>
                  <w:vMerge w:val="continue"/>
                  <w:tcBorders>
                    <w:top w:val="single" w:color="auto" w:sz="4"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小时</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日均</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年均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restart"/>
                  <w:tcBorders>
                    <w:top w:val="single" w:color="auto" w:sz="6" w:space="0"/>
                    <w:left w:val="single" w:color="auto" w:sz="4"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项目所在区域</w:t>
                  </w:r>
                </w:p>
              </w:tc>
              <w:tc>
                <w:tcPr>
                  <w:tcW w:w="2125" w:type="dxa"/>
                  <w:vMerge w:val="restart"/>
                  <w:tcBorders>
                    <w:top w:val="single" w:color="auto" w:sz="6" w:space="0"/>
                    <w:left w:val="single" w:color="auto" w:sz="6" w:space="0"/>
                    <w:bottom w:val="single" w:color="auto" w:sz="4"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《环境空气质量标准》（GB3095-2012）及其修改单</w:t>
                  </w:r>
                </w:p>
              </w:tc>
              <w:tc>
                <w:tcPr>
                  <w:tcW w:w="742" w:type="dxa"/>
                  <w:vMerge w:val="restart"/>
                  <w:tcBorders>
                    <w:top w:val="single" w:color="auto" w:sz="6" w:space="0"/>
                    <w:left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二级标准</w:t>
                  </w:r>
                </w:p>
              </w:tc>
              <w:tc>
                <w:tcPr>
                  <w:tcW w:w="8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SO</w:t>
                  </w:r>
                  <w:r>
                    <w:rPr>
                      <w:rFonts w:ascii="Times New Roman" w:hAnsi="Times New Roman"/>
                      <w:color w:val="auto"/>
                      <w:kern w:val="0"/>
                      <w:szCs w:val="21"/>
                      <w:vertAlign w:val="subscript"/>
                    </w:rPr>
                    <w:t>2</w:t>
                  </w:r>
                </w:p>
              </w:tc>
              <w:tc>
                <w:tcPr>
                  <w:tcW w:w="128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500</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continue"/>
                  <w:tcBorders>
                    <w:left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continue"/>
                  <w:tcBorders>
                    <w:top w:val="single" w:color="auto" w:sz="6" w:space="0"/>
                    <w:left w:val="single" w:color="auto" w:sz="6" w:space="0"/>
                    <w:bottom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742" w:type="dxa"/>
                  <w:vMerge w:val="continue"/>
                  <w:tcBorders>
                    <w:left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8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NO</w:t>
                  </w:r>
                  <w:r>
                    <w:rPr>
                      <w:rFonts w:ascii="Times New Roman" w:hAnsi="Times New Roman"/>
                      <w:color w:val="auto"/>
                      <w:kern w:val="0"/>
                      <w:szCs w:val="21"/>
                      <w:vertAlign w:val="subscript"/>
                    </w:rPr>
                    <w:t>2</w:t>
                  </w:r>
                </w:p>
              </w:tc>
              <w:tc>
                <w:tcPr>
                  <w:tcW w:w="128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200</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continue"/>
                  <w:tcBorders>
                    <w:left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continue"/>
                  <w:tcBorders>
                    <w:top w:val="single" w:color="auto" w:sz="6" w:space="0"/>
                    <w:left w:val="single" w:color="auto" w:sz="6" w:space="0"/>
                    <w:bottom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742" w:type="dxa"/>
                  <w:vMerge w:val="continue"/>
                  <w:tcBorders>
                    <w:left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8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10</w:t>
                  </w:r>
                </w:p>
              </w:tc>
              <w:tc>
                <w:tcPr>
                  <w:tcW w:w="128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80</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continue"/>
                  <w:tcBorders>
                    <w:left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continue"/>
                  <w:tcBorders>
                    <w:top w:val="single" w:color="auto" w:sz="6" w:space="0"/>
                    <w:left w:val="single" w:color="auto" w:sz="6" w:space="0"/>
                    <w:bottom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742" w:type="dxa"/>
                  <w:vMerge w:val="continue"/>
                  <w:tcBorders>
                    <w:left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8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TSP</w:t>
                  </w:r>
                </w:p>
              </w:tc>
              <w:tc>
                <w:tcPr>
                  <w:tcW w:w="128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continue"/>
                  <w:tcBorders>
                    <w:left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continue"/>
                  <w:tcBorders>
                    <w:top w:val="single" w:color="auto" w:sz="6" w:space="0"/>
                    <w:left w:val="single" w:color="auto" w:sz="6" w:space="0"/>
                    <w:bottom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742" w:type="dxa"/>
                  <w:vMerge w:val="continue"/>
                  <w:tcBorders>
                    <w:left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8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2.5</w:t>
                  </w:r>
                </w:p>
              </w:tc>
              <w:tc>
                <w:tcPr>
                  <w:tcW w:w="128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300</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continue"/>
                  <w:tcBorders>
                    <w:left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continue"/>
                  <w:tcBorders>
                    <w:top w:val="single" w:color="auto" w:sz="6" w:space="0"/>
                    <w:left w:val="single" w:color="auto" w:sz="6" w:space="0"/>
                    <w:bottom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742" w:type="dxa"/>
                  <w:vMerge w:val="continue"/>
                  <w:tcBorders>
                    <w:left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8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CO</w:t>
                  </w:r>
                </w:p>
              </w:tc>
              <w:tc>
                <w:tcPr>
                  <w:tcW w:w="128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10</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75</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continue"/>
                  <w:tcBorders>
                    <w:left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742" w:type="dxa"/>
                  <w:vMerge w:val="continue"/>
                  <w:tcBorders>
                    <w:left w:val="single" w:color="auto" w:sz="6" w:space="0"/>
                    <w:right w:val="single" w:color="auto" w:sz="6" w:space="0"/>
                  </w:tcBorders>
                  <w:vAlign w:val="center"/>
                </w:tcPr>
                <w:p>
                  <w:pPr>
                    <w:widowControl/>
                    <w:jc w:val="left"/>
                    <w:rPr>
                      <w:rFonts w:ascii="Times New Roman" w:hAnsi="Times New Roman"/>
                      <w:color w:val="auto"/>
                      <w:kern w:val="0"/>
                      <w:szCs w:val="21"/>
                    </w:rPr>
                  </w:pPr>
                </w:p>
              </w:tc>
              <w:tc>
                <w:tcPr>
                  <w:tcW w:w="8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O</w:t>
                  </w:r>
                  <w:r>
                    <w:rPr>
                      <w:rFonts w:ascii="Times New Roman" w:hAnsi="Times New Roman"/>
                      <w:color w:val="auto"/>
                      <w:kern w:val="0"/>
                      <w:szCs w:val="21"/>
                      <w:vertAlign w:val="subscript"/>
                    </w:rPr>
                    <w:t>3</w:t>
                  </w:r>
                </w:p>
              </w:tc>
              <w:tc>
                <w:tcPr>
                  <w:tcW w:w="128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200</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4</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continue"/>
                  <w:tcBorders>
                    <w:left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restart"/>
                  <w:tcBorders>
                    <w:top w:val="single" w:color="auto" w:sz="6" w:space="0"/>
                    <w:left w:val="single" w:color="auto" w:sz="6" w:space="0"/>
                    <w:right w:val="single" w:color="auto" w:sz="6" w:space="0"/>
                  </w:tcBorders>
                  <w:vAlign w:val="center"/>
                </w:tcPr>
                <w:p>
                  <w:pPr>
                    <w:widowControl/>
                    <w:jc w:val="left"/>
                    <w:rPr>
                      <w:rFonts w:ascii="Times New Roman" w:hAnsi="Times New Roman"/>
                      <w:color w:val="auto"/>
                      <w:kern w:val="0"/>
                      <w:szCs w:val="21"/>
                    </w:rPr>
                  </w:pPr>
                  <w:r>
                    <w:rPr>
                      <w:rFonts w:ascii="Times New Roman" w:hAnsi="Times New Roman"/>
                      <w:color w:val="auto"/>
                      <w:kern w:val="24"/>
                      <w:szCs w:val="21"/>
                      <w:lang w:val="zh-CN"/>
                    </w:rPr>
                    <w:t>《环境影响评价技术导则</w:t>
                  </w:r>
                  <w:r>
                    <w:rPr>
                      <w:rFonts w:ascii="Times New Roman" w:hAnsi="Times New Roman"/>
                      <w:color w:val="auto"/>
                      <w:kern w:val="24"/>
                      <w:szCs w:val="21"/>
                    </w:rPr>
                    <w:t xml:space="preserve"> 大气环境</w:t>
                  </w:r>
                  <w:r>
                    <w:rPr>
                      <w:rFonts w:ascii="Times New Roman" w:hAnsi="Times New Roman"/>
                      <w:color w:val="auto"/>
                      <w:kern w:val="24"/>
                      <w:szCs w:val="21"/>
                      <w:lang w:val="zh-CN"/>
                    </w:rPr>
                    <w:t>》（</w:t>
                  </w:r>
                  <w:r>
                    <w:rPr>
                      <w:rFonts w:ascii="Times New Roman" w:hAnsi="Times New Roman"/>
                      <w:color w:val="auto"/>
                      <w:kern w:val="24"/>
                      <w:szCs w:val="21"/>
                    </w:rPr>
                    <w:t>HJ2.2-2018</w:t>
                  </w:r>
                  <w:r>
                    <w:rPr>
                      <w:rFonts w:ascii="Times New Roman" w:hAnsi="Times New Roman"/>
                      <w:color w:val="auto"/>
                      <w:kern w:val="24"/>
                      <w:szCs w:val="21"/>
                      <w:lang w:val="zh-CN"/>
                    </w:rPr>
                    <w:t>）附录</w:t>
                  </w:r>
                  <w:r>
                    <w:rPr>
                      <w:rFonts w:ascii="Times New Roman" w:hAnsi="Times New Roman"/>
                      <w:color w:val="auto"/>
                      <w:kern w:val="24"/>
                      <w:szCs w:val="21"/>
                    </w:rPr>
                    <w:t>D</w:t>
                  </w:r>
                </w:p>
              </w:tc>
              <w:tc>
                <w:tcPr>
                  <w:tcW w:w="742" w:type="dxa"/>
                  <w:vMerge w:val="continue"/>
                  <w:tcBorders>
                    <w:left w:val="single" w:color="auto" w:sz="6" w:space="0"/>
                    <w:right w:val="single" w:color="auto" w:sz="6" w:space="0"/>
                  </w:tcBorders>
                  <w:vAlign w:val="center"/>
                </w:tcPr>
                <w:p>
                  <w:pPr>
                    <w:widowControl/>
                    <w:jc w:val="center"/>
                    <w:rPr>
                      <w:rFonts w:ascii="Times New Roman" w:hAnsi="Times New Roman"/>
                      <w:color w:val="auto"/>
                      <w:kern w:val="0"/>
                      <w:szCs w:val="21"/>
                    </w:rPr>
                  </w:pPr>
                </w:p>
              </w:tc>
              <w:tc>
                <w:tcPr>
                  <w:tcW w:w="8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氨</w:t>
                  </w:r>
                </w:p>
              </w:tc>
              <w:tc>
                <w:tcPr>
                  <w:tcW w:w="128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200</w:t>
                  </w:r>
                </w:p>
              </w:tc>
              <w:tc>
                <w:tcPr>
                  <w:tcW w:w="93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w:t>
                  </w:r>
                </w:p>
              </w:tc>
              <w:tc>
                <w:tcPr>
                  <w:tcW w:w="992" w:type="dxa"/>
                  <w:tcBorders>
                    <w:top w:val="single" w:color="auto" w:sz="6" w:space="0"/>
                    <w:left w:val="single" w:color="auto" w:sz="6" w:space="0"/>
                    <w:bottom w:val="single" w:color="auto" w:sz="6"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3" w:type="dxa"/>
                  <w:vMerge w:val="continue"/>
                  <w:tcBorders>
                    <w:left w:val="single" w:color="auto" w:sz="4" w:space="0"/>
                    <w:bottom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2125" w:type="dxa"/>
                  <w:vMerge w:val="continue"/>
                  <w:tcBorders>
                    <w:left w:val="single" w:color="auto" w:sz="6" w:space="0"/>
                    <w:bottom w:val="single" w:color="auto" w:sz="4" w:space="0"/>
                    <w:right w:val="single" w:color="auto" w:sz="6" w:space="0"/>
                  </w:tcBorders>
                  <w:vAlign w:val="center"/>
                </w:tcPr>
                <w:p>
                  <w:pPr>
                    <w:widowControl/>
                    <w:jc w:val="left"/>
                    <w:rPr>
                      <w:rFonts w:ascii="Times New Roman" w:hAnsi="Times New Roman"/>
                      <w:color w:val="auto"/>
                      <w:kern w:val="0"/>
                      <w:szCs w:val="21"/>
                    </w:rPr>
                  </w:pPr>
                </w:p>
              </w:tc>
              <w:tc>
                <w:tcPr>
                  <w:tcW w:w="742" w:type="dxa"/>
                  <w:vMerge w:val="continue"/>
                  <w:tcBorders>
                    <w:left w:val="single" w:color="auto" w:sz="6" w:space="0"/>
                    <w:bottom w:val="single" w:color="auto" w:sz="4" w:space="0"/>
                    <w:right w:val="single" w:color="auto" w:sz="6" w:space="0"/>
                  </w:tcBorders>
                  <w:vAlign w:val="center"/>
                </w:tcPr>
                <w:p>
                  <w:pPr>
                    <w:widowControl/>
                    <w:jc w:val="center"/>
                    <w:rPr>
                      <w:rFonts w:ascii="Times New Roman" w:hAnsi="Times New Roman"/>
                      <w:color w:val="auto"/>
                      <w:kern w:val="0"/>
                      <w:szCs w:val="21"/>
                    </w:rPr>
                  </w:pPr>
                </w:p>
              </w:tc>
              <w:tc>
                <w:tcPr>
                  <w:tcW w:w="861" w:type="dxa"/>
                  <w:tcBorders>
                    <w:top w:val="single" w:color="auto" w:sz="6" w:space="0"/>
                    <w:left w:val="single" w:color="auto" w:sz="6" w:space="0"/>
                    <w:bottom w:val="single" w:color="auto" w:sz="4"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硫化氢</w:t>
                  </w:r>
                </w:p>
              </w:tc>
              <w:tc>
                <w:tcPr>
                  <w:tcW w:w="1281" w:type="dxa"/>
                  <w:tcBorders>
                    <w:top w:val="single" w:color="auto" w:sz="6" w:space="0"/>
                    <w:left w:val="single" w:color="auto" w:sz="6" w:space="0"/>
                    <w:bottom w:val="single" w:color="auto" w:sz="4"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μg/m</w:t>
                  </w:r>
                  <w:r>
                    <w:rPr>
                      <w:rFonts w:ascii="Times New Roman" w:hAnsi="Times New Roman"/>
                      <w:color w:val="auto"/>
                      <w:kern w:val="0"/>
                      <w:szCs w:val="21"/>
                      <w:vertAlign w:val="superscript"/>
                    </w:rPr>
                    <w:t>3</w:t>
                  </w:r>
                </w:p>
              </w:tc>
              <w:tc>
                <w:tcPr>
                  <w:tcW w:w="961" w:type="dxa"/>
                  <w:tcBorders>
                    <w:top w:val="single" w:color="auto" w:sz="6" w:space="0"/>
                    <w:left w:val="single" w:color="auto" w:sz="6" w:space="0"/>
                    <w:bottom w:val="single" w:color="auto" w:sz="4"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10</w:t>
                  </w:r>
                </w:p>
              </w:tc>
              <w:tc>
                <w:tcPr>
                  <w:tcW w:w="930" w:type="dxa"/>
                  <w:tcBorders>
                    <w:top w:val="single" w:color="auto" w:sz="6" w:space="0"/>
                    <w:left w:val="single" w:color="auto" w:sz="6" w:space="0"/>
                    <w:bottom w:val="single" w:color="auto" w:sz="4" w:space="0"/>
                    <w:right w:val="single" w:color="auto" w:sz="6"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w:t>
                  </w:r>
                </w:p>
              </w:tc>
              <w:tc>
                <w:tcPr>
                  <w:tcW w:w="992" w:type="dxa"/>
                  <w:tcBorders>
                    <w:top w:val="single" w:color="auto" w:sz="6" w:space="0"/>
                    <w:left w:val="single" w:color="auto" w:sz="6" w:space="0"/>
                    <w:bottom w:val="single" w:color="auto" w:sz="4" w:space="0"/>
                    <w:right w:val="single" w:color="auto" w:sz="4" w:space="0"/>
                  </w:tcBorders>
                  <w:vAlign w:val="center"/>
                </w:tcPr>
                <w:p>
                  <w:pPr>
                    <w:widowControl/>
                    <w:adjustRightInd w:val="0"/>
                    <w:snapToGrid w:val="0"/>
                    <w:jc w:val="center"/>
                    <w:rPr>
                      <w:rFonts w:ascii="Times New Roman" w:hAnsi="Times New Roman"/>
                      <w:color w:val="auto"/>
                      <w:kern w:val="0"/>
                      <w:szCs w:val="21"/>
                    </w:rPr>
                  </w:pPr>
                  <w:r>
                    <w:rPr>
                      <w:rFonts w:ascii="Times New Roman" w:hAnsi="Times New Roman"/>
                      <w:color w:val="auto"/>
                      <w:kern w:val="0"/>
                      <w:szCs w:val="21"/>
                    </w:rPr>
                    <w:t>/</w:t>
                  </w:r>
                </w:p>
              </w:tc>
            </w:tr>
          </w:tbl>
          <w:p>
            <w:pPr>
              <w:spacing w:line="360" w:lineRule="auto"/>
              <w:ind w:firstLine="480" w:firstLineChars="200"/>
              <w:textAlignment w:val="baseline"/>
              <w:rPr>
                <w:rFonts w:ascii="Times New Roman" w:hAnsi="Times New Roman"/>
                <w:color w:val="auto"/>
                <w:sz w:val="24"/>
              </w:rPr>
            </w:pPr>
            <w:r>
              <w:rPr>
                <w:rFonts w:ascii="Times New Roman" w:hAnsi="Times New Roman"/>
                <w:color w:val="auto"/>
                <w:sz w:val="24"/>
              </w:rPr>
              <w:t>2、项目所在区域声环境执行《声环境质量标准》（GB3096</w:t>
            </w:r>
            <w:r>
              <w:rPr>
                <w:rFonts w:ascii="Times New Roman" w:hAnsi="Times New Roman"/>
                <w:color w:val="auto"/>
                <w:kern w:val="0"/>
                <w:sz w:val="24"/>
              </w:rPr>
              <w:t>-</w:t>
            </w:r>
            <w:r>
              <w:rPr>
                <w:rFonts w:ascii="Times New Roman" w:hAnsi="Times New Roman"/>
                <w:color w:val="auto"/>
                <w:sz w:val="24"/>
              </w:rPr>
              <w:t>2008）表1中的1类功能区标准。</w:t>
            </w:r>
          </w:p>
          <w:p>
            <w:pPr>
              <w:pStyle w:val="58"/>
              <w:spacing w:before="24" w:after="24"/>
              <w:ind w:firstLine="240"/>
              <w:textAlignment w:val="baseline"/>
              <w:rPr>
                <w:rFonts w:ascii="Times New Roman" w:hAnsi="Times New Roman"/>
                <w:b/>
                <w:bCs/>
                <w:color w:val="auto"/>
                <w:kern w:val="0"/>
                <w:sz w:val="21"/>
                <w:szCs w:val="21"/>
              </w:rPr>
            </w:pPr>
            <w:r>
              <w:rPr>
                <w:rFonts w:ascii="Times New Roman" w:hAnsi="Times New Roman"/>
                <w:b/>
                <w:bCs/>
                <w:color w:val="auto"/>
                <w:kern w:val="0"/>
                <w:sz w:val="21"/>
                <w:szCs w:val="21"/>
              </w:rPr>
              <w:t>表4-2  《声环境质量标准》（GB3096-2008）标准</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3208"/>
              <w:gridCol w:w="3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81" w:type="dxa"/>
                  <w:vMerge w:val="restart"/>
                  <w:vAlign w:val="center"/>
                </w:tcPr>
                <w:p>
                  <w:pPr>
                    <w:jc w:val="center"/>
                    <w:textAlignment w:val="baseline"/>
                    <w:rPr>
                      <w:rFonts w:ascii="Times New Roman" w:hAnsi="Times New Roman"/>
                      <w:color w:val="auto"/>
                    </w:rPr>
                  </w:pPr>
                  <w:r>
                    <w:rPr>
                      <w:rFonts w:ascii="Times New Roman" w:hAnsi="Times New Roman"/>
                      <w:color w:val="auto"/>
                    </w:rPr>
                    <w:t>类别</w:t>
                  </w:r>
                </w:p>
              </w:tc>
              <w:tc>
                <w:tcPr>
                  <w:tcW w:w="6515" w:type="dxa"/>
                  <w:gridSpan w:val="2"/>
                  <w:vAlign w:val="center"/>
                </w:tcPr>
                <w:p>
                  <w:pPr>
                    <w:jc w:val="center"/>
                    <w:textAlignment w:val="baseline"/>
                    <w:rPr>
                      <w:rFonts w:ascii="Times New Roman" w:hAnsi="Times New Roman"/>
                      <w:color w:val="auto"/>
                    </w:rPr>
                  </w:pPr>
                  <w:r>
                    <w:rPr>
                      <w:rFonts w:ascii="Times New Roman" w:hAnsi="Times New Roman"/>
                      <w:color w:val="auto"/>
                    </w:rPr>
                    <w:t>等效声级dB(A)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81" w:type="dxa"/>
                  <w:vMerge w:val="continue"/>
                  <w:vAlign w:val="center"/>
                </w:tcPr>
                <w:p>
                  <w:pPr>
                    <w:jc w:val="center"/>
                    <w:textAlignment w:val="baseline"/>
                    <w:rPr>
                      <w:rFonts w:ascii="Times New Roman" w:hAnsi="Times New Roman"/>
                      <w:color w:val="auto"/>
                    </w:rPr>
                  </w:pPr>
                </w:p>
              </w:tc>
              <w:tc>
                <w:tcPr>
                  <w:tcW w:w="3208" w:type="dxa"/>
                  <w:vAlign w:val="center"/>
                </w:tcPr>
                <w:p>
                  <w:pPr>
                    <w:jc w:val="center"/>
                    <w:textAlignment w:val="baseline"/>
                    <w:rPr>
                      <w:rFonts w:ascii="Times New Roman" w:hAnsi="Times New Roman"/>
                      <w:color w:val="auto"/>
                    </w:rPr>
                  </w:pPr>
                  <w:r>
                    <w:rPr>
                      <w:rFonts w:ascii="Times New Roman" w:hAnsi="Times New Roman"/>
                      <w:color w:val="auto"/>
                    </w:rPr>
                    <w:t>昼间</w:t>
                  </w:r>
                </w:p>
              </w:tc>
              <w:tc>
                <w:tcPr>
                  <w:tcW w:w="3307" w:type="dxa"/>
                  <w:vAlign w:val="center"/>
                </w:tcPr>
                <w:p>
                  <w:pPr>
                    <w:jc w:val="center"/>
                    <w:textAlignment w:val="baseline"/>
                    <w:rPr>
                      <w:rFonts w:ascii="Times New Roman" w:hAnsi="Times New Roman"/>
                      <w:color w:val="auto"/>
                    </w:rPr>
                  </w:pPr>
                  <w:r>
                    <w:rPr>
                      <w:rFonts w:ascii="Times New Roman" w:hAnsi="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81" w:type="dxa"/>
                  <w:vAlign w:val="center"/>
                </w:tcPr>
                <w:p>
                  <w:pPr>
                    <w:jc w:val="center"/>
                    <w:textAlignment w:val="baseline"/>
                    <w:rPr>
                      <w:rFonts w:ascii="Times New Roman" w:hAnsi="Times New Roman"/>
                      <w:color w:val="auto"/>
                    </w:rPr>
                  </w:pPr>
                  <w:r>
                    <w:rPr>
                      <w:rFonts w:ascii="Times New Roman" w:hAnsi="Times New Roman"/>
                      <w:color w:val="auto"/>
                    </w:rPr>
                    <w:t>1类</w:t>
                  </w:r>
                </w:p>
              </w:tc>
              <w:tc>
                <w:tcPr>
                  <w:tcW w:w="3208" w:type="dxa"/>
                  <w:vAlign w:val="center"/>
                </w:tcPr>
                <w:p>
                  <w:pPr>
                    <w:jc w:val="center"/>
                    <w:textAlignment w:val="baseline"/>
                    <w:rPr>
                      <w:rFonts w:ascii="Times New Roman" w:hAnsi="Times New Roman"/>
                      <w:color w:val="auto"/>
                    </w:rPr>
                  </w:pPr>
                  <w:r>
                    <w:rPr>
                      <w:rFonts w:ascii="Times New Roman" w:hAnsi="Times New Roman"/>
                      <w:color w:val="auto"/>
                    </w:rPr>
                    <w:t>55</w:t>
                  </w:r>
                </w:p>
              </w:tc>
              <w:tc>
                <w:tcPr>
                  <w:tcW w:w="3307" w:type="dxa"/>
                  <w:vAlign w:val="center"/>
                </w:tcPr>
                <w:p>
                  <w:pPr>
                    <w:jc w:val="center"/>
                    <w:textAlignment w:val="baseline"/>
                    <w:rPr>
                      <w:rFonts w:ascii="Times New Roman" w:hAnsi="Times New Roman"/>
                      <w:color w:val="auto"/>
                    </w:rPr>
                  </w:pPr>
                  <w:r>
                    <w:rPr>
                      <w:rFonts w:ascii="Times New Roman" w:hAnsi="Times New Roman"/>
                      <w:color w:val="auto"/>
                    </w:rPr>
                    <w:t>45</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3、</w:t>
            </w:r>
            <w:r>
              <w:rPr>
                <w:rFonts w:ascii="Times New Roman" w:hAnsi="Times New Roman"/>
                <w:color w:val="auto"/>
                <w:spacing w:val="8"/>
                <w:sz w:val="24"/>
              </w:rPr>
              <w:t>根据《甘肃省水功能区划》（2012-2030）（甘政函[2013]4号）规定，本区域为</w:t>
            </w:r>
            <w:r>
              <w:rPr>
                <w:rFonts w:ascii="Times New Roman" w:hAnsi="Times New Roman"/>
                <w:color w:val="auto"/>
                <w:sz w:val="24"/>
              </w:rPr>
              <w:t>IV</w:t>
            </w:r>
            <w:r>
              <w:rPr>
                <w:rFonts w:ascii="Times New Roman" w:hAnsi="Times New Roman"/>
                <w:color w:val="auto"/>
                <w:spacing w:val="8"/>
                <w:sz w:val="24"/>
              </w:rPr>
              <w:t>类水体，执行《地表水环境质量标准》（GB3838-2002）</w:t>
            </w:r>
            <w:r>
              <w:rPr>
                <w:rFonts w:ascii="Times New Roman" w:hAnsi="Times New Roman"/>
                <w:color w:val="auto"/>
                <w:sz w:val="24"/>
              </w:rPr>
              <w:t>IV</w:t>
            </w:r>
            <w:r>
              <w:rPr>
                <w:rFonts w:ascii="Times New Roman" w:hAnsi="Times New Roman"/>
                <w:color w:val="auto"/>
                <w:spacing w:val="8"/>
                <w:sz w:val="24"/>
              </w:rPr>
              <w:t>类水域标准</w:t>
            </w:r>
            <w:r>
              <w:rPr>
                <w:rFonts w:ascii="Times New Roman" w:hAnsi="Times New Roman"/>
                <w:color w:val="auto"/>
                <w:sz w:val="24"/>
              </w:rPr>
              <w:t>。</w:t>
            </w:r>
          </w:p>
          <w:p>
            <w:pPr>
              <w:spacing w:line="360" w:lineRule="auto"/>
              <w:ind w:firstLine="422" w:firstLineChars="200"/>
              <w:jc w:val="center"/>
              <w:rPr>
                <w:rFonts w:ascii="Times New Roman" w:hAnsi="Times New Roman"/>
                <w:b/>
                <w:bCs/>
                <w:color w:val="auto"/>
                <w:kern w:val="24"/>
                <w:szCs w:val="21"/>
              </w:rPr>
            </w:pPr>
            <w:r>
              <w:rPr>
                <w:rFonts w:ascii="Times New Roman" w:hAnsi="Times New Roman"/>
                <w:b/>
                <w:bCs/>
                <w:color w:val="auto"/>
                <w:kern w:val="24"/>
                <w:szCs w:val="21"/>
              </w:rPr>
              <w:t>表4-3  地表水环境质量标准  单位：mg/L</w:t>
            </w:r>
          </w:p>
          <w:tbl>
            <w:tblPr>
              <w:tblStyle w:val="26"/>
              <w:tblW w:w="85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71"/>
              <w:gridCol w:w="3449"/>
              <w:gridCol w:w="3485"/>
            </w:tblGrid>
            <w:tr>
              <w:tblPrEx>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序号</w:t>
                  </w:r>
                </w:p>
              </w:tc>
              <w:tc>
                <w:tcPr>
                  <w:tcW w:w="3449"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污染物</w:t>
                  </w:r>
                </w:p>
              </w:tc>
              <w:tc>
                <w:tcPr>
                  <w:tcW w:w="3485"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标准值（mg/L）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1</w:t>
                  </w:r>
                </w:p>
              </w:tc>
              <w:tc>
                <w:tcPr>
                  <w:tcW w:w="3449"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pH值</w:t>
                  </w:r>
                </w:p>
              </w:tc>
              <w:tc>
                <w:tcPr>
                  <w:tcW w:w="3485"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2</w:t>
                  </w:r>
                </w:p>
              </w:tc>
              <w:tc>
                <w:tcPr>
                  <w:tcW w:w="3449"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SS</w:t>
                  </w:r>
                </w:p>
              </w:tc>
              <w:tc>
                <w:tcPr>
                  <w:tcW w:w="3485"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3</w:t>
                  </w:r>
                </w:p>
              </w:tc>
              <w:tc>
                <w:tcPr>
                  <w:tcW w:w="3449"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BOD</w:t>
                  </w:r>
                  <w:r>
                    <w:rPr>
                      <w:rFonts w:ascii="Times New Roman" w:hAnsi="Times New Roman"/>
                      <w:color w:val="auto"/>
                      <w:szCs w:val="21"/>
                      <w:vertAlign w:val="subscript"/>
                    </w:rPr>
                    <w:t>5</w:t>
                  </w:r>
                </w:p>
              </w:tc>
              <w:tc>
                <w:tcPr>
                  <w:tcW w:w="3485"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4</w:t>
                  </w:r>
                </w:p>
              </w:tc>
              <w:tc>
                <w:tcPr>
                  <w:tcW w:w="3449"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COD</w:t>
                  </w:r>
                </w:p>
              </w:tc>
              <w:tc>
                <w:tcPr>
                  <w:tcW w:w="3485"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5</w:t>
                  </w:r>
                </w:p>
              </w:tc>
              <w:tc>
                <w:tcPr>
                  <w:tcW w:w="3449"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氨氮</w:t>
                  </w:r>
                </w:p>
              </w:tc>
              <w:tc>
                <w:tcPr>
                  <w:tcW w:w="3485"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6</w:t>
                  </w:r>
                </w:p>
              </w:tc>
              <w:tc>
                <w:tcPr>
                  <w:tcW w:w="3449"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总磷</w:t>
                  </w:r>
                </w:p>
              </w:tc>
              <w:tc>
                <w:tcPr>
                  <w:tcW w:w="3485"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7</w:t>
                  </w:r>
                </w:p>
              </w:tc>
              <w:tc>
                <w:tcPr>
                  <w:tcW w:w="3449"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挥发酚</w:t>
                  </w:r>
                </w:p>
              </w:tc>
              <w:tc>
                <w:tcPr>
                  <w:tcW w:w="3485" w:type="dxa"/>
                  <w:vAlign w:val="center"/>
                </w:tcPr>
                <w:p>
                  <w:pPr>
                    <w:pStyle w:val="15"/>
                    <w:adjustRightInd w:val="0"/>
                    <w:snapToGrid w:val="0"/>
                    <w:spacing w:line="240" w:lineRule="auto"/>
                    <w:ind w:firstLine="0"/>
                    <w:jc w:val="center"/>
                    <w:rPr>
                      <w:rFonts w:ascii="Times New Roman" w:hAnsi="Times New Roman"/>
                      <w:color w:val="auto"/>
                    </w:rPr>
                  </w:pPr>
                  <w:r>
                    <w:rPr>
                      <w:rFonts w:ascii="Times New Roman" w:hAnsi="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8</w:t>
                  </w:r>
                </w:p>
              </w:tc>
              <w:tc>
                <w:tcPr>
                  <w:tcW w:w="3449"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氟化物</w:t>
                  </w:r>
                </w:p>
              </w:tc>
              <w:tc>
                <w:tcPr>
                  <w:tcW w:w="3485"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9</w:t>
                  </w:r>
                </w:p>
              </w:tc>
              <w:tc>
                <w:tcPr>
                  <w:tcW w:w="3449"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硫化物</w:t>
                  </w:r>
                </w:p>
              </w:tc>
              <w:tc>
                <w:tcPr>
                  <w:tcW w:w="3485"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10</w:t>
                  </w:r>
                </w:p>
              </w:tc>
              <w:tc>
                <w:tcPr>
                  <w:tcW w:w="3449"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总砷</w:t>
                  </w:r>
                </w:p>
              </w:tc>
              <w:tc>
                <w:tcPr>
                  <w:tcW w:w="3485"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11</w:t>
                  </w:r>
                </w:p>
              </w:tc>
              <w:tc>
                <w:tcPr>
                  <w:tcW w:w="3449"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汞</w:t>
                  </w:r>
                </w:p>
              </w:tc>
              <w:tc>
                <w:tcPr>
                  <w:tcW w:w="3485"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≤0.001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12</w:t>
                  </w:r>
                </w:p>
              </w:tc>
              <w:tc>
                <w:tcPr>
                  <w:tcW w:w="3449"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六价铬</w:t>
                  </w:r>
                </w:p>
              </w:tc>
              <w:tc>
                <w:tcPr>
                  <w:tcW w:w="3485"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13</w:t>
                  </w:r>
                </w:p>
              </w:tc>
              <w:tc>
                <w:tcPr>
                  <w:tcW w:w="3449"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石油类</w:t>
                  </w:r>
                </w:p>
              </w:tc>
              <w:tc>
                <w:tcPr>
                  <w:tcW w:w="3485"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571"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14</w:t>
                  </w:r>
                </w:p>
              </w:tc>
              <w:tc>
                <w:tcPr>
                  <w:tcW w:w="3449"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粪大肠杆菌</w:t>
                  </w:r>
                </w:p>
              </w:tc>
              <w:tc>
                <w:tcPr>
                  <w:tcW w:w="3485" w:type="dxa"/>
                  <w:vAlign w:val="center"/>
                </w:tcPr>
                <w:p>
                  <w:pPr>
                    <w:pStyle w:val="15"/>
                    <w:adjustRightInd w:val="0"/>
                    <w:snapToGrid w:val="0"/>
                    <w:spacing w:line="240" w:lineRule="auto"/>
                    <w:ind w:firstLine="0"/>
                    <w:jc w:val="center"/>
                    <w:rPr>
                      <w:rFonts w:ascii="Times New Roman" w:hAnsi="Times New Roman"/>
                      <w:color w:val="auto"/>
                      <w:szCs w:val="21"/>
                    </w:rPr>
                  </w:pPr>
                  <w:r>
                    <w:rPr>
                      <w:rFonts w:ascii="Times New Roman" w:hAnsi="Times New Roman"/>
                      <w:color w:val="auto"/>
                      <w:szCs w:val="21"/>
                    </w:rPr>
                    <w:t>≤20000(个/L)</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区域地下水环境《地下水质量标准》（GB/T14848-2017）</w:t>
            </w:r>
            <w:r>
              <w:rPr>
                <w:rFonts w:hint="eastAsia" w:ascii="宋体" w:hAnsi="宋体" w:cs="宋体"/>
                <w:color w:val="auto"/>
                <w:sz w:val="24"/>
              </w:rPr>
              <w:t>Ⅲ</w:t>
            </w:r>
            <w:r>
              <w:rPr>
                <w:rFonts w:ascii="Times New Roman" w:hAnsi="Times New Roman"/>
                <w:color w:val="auto"/>
                <w:sz w:val="24"/>
              </w:rPr>
              <w:t>类水域标准。</w:t>
            </w:r>
          </w:p>
          <w:p>
            <w:pPr>
              <w:spacing w:line="360" w:lineRule="auto"/>
              <w:ind w:firstLine="422" w:firstLineChars="200"/>
              <w:jc w:val="center"/>
              <w:rPr>
                <w:rFonts w:ascii="Times New Roman" w:hAnsi="Times New Roman"/>
                <w:b/>
                <w:bCs/>
                <w:color w:val="auto"/>
                <w:kern w:val="24"/>
                <w:szCs w:val="21"/>
              </w:rPr>
            </w:pPr>
            <w:r>
              <w:rPr>
                <w:rFonts w:ascii="Times New Roman" w:hAnsi="Times New Roman"/>
                <w:b/>
                <w:bCs/>
                <w:color w:val="auto"/>
                <w:kern w:val="24"/>
                <w:szCs w:val="21"/>
              </w:rPr>
              <w:t>表4-4  地下水质量标准限值  单位：mg/L（pH除外）</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5"/>
              <w:gridCol w:w="2197"/>
              <w:gridCol w:w="1259"/>
              <w:gridCol w:w="830"/>
              <w:gridCol w:w="1933"/>
              <w:gridCol w:w="13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序号</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项目</w:t>
                  </w:r>
                </w:p>
              </w:tc>
              <w:tc>
                <w:tcPr>
                  <w:tcW w:w="1259" w:type="dxa"/>
                  <w:vAlign w:val="center"/>
                </w:tcPr>
                <w:p>
                  <w:pPr>
                    <w:jc w:val="center"/>
                    <w:rPr>
                      <w:rFonts w:ascii="Times New Roman" w:hAnsi="Times New Roman"/>
                      <w:color w:val="auto"/>
                      <w:szCs w:val="21"/>
                    </w:rPr>
                  </w:pPr>
                  <w:r>
                    <w:rPr>
                      <w:rFonts w:hint="eastAsia" w:ascii="宋体" w:hAnsi="宋体" w:cs="宋体"/>
                      <w:color w:val="auto"/>
                      <w:szCs w:val="21"/>
                    </w:rPr>
                    <w:t>Ⅲ</w:t>
                  </w:r>
                  <w:r>
                    <w:rPr>
                      <w:rFonts w:ascii="Times New Roman" w:hAnsi="Times New Roman"/>
                      <w:color w:val="auto"/>
                      <w:szCs w:val="21"/>
                    </w:rPr>
                    <w:t>类</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序号</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项目</w:t>
                  </w:r>
                </w:p>
              </w:tc>
              <w:tc>
                <w:tcPr>
                  <w:tcW w:w="1322" w:type="dxa"/>
                  <w:vAlign w:val="center"/>
                </w:tcPr>
                <w:p>
                  <w:pPr>
                    <w:jc w:val="center"/>
                    <w:rPr>
                      <w:rFonts w:ascii="Times New Roman" w:hAnsi="Times New Roman"/>
                      <w:color w:val="auto"/>
                      <w:szCs w:val="21"/>
                    </w:rPr>
                  </w:pPr>
                  <w:r>
                    <w:rPr>
                      <w:rFonts w:hint="eastAsia" w:ascii="宋体" w:hAnsi="宋体" w:cs="宋体"/>
                      <w:color w:val="auto"/>
                      <w:szCs w:val="21"/>
                    </w:rPr>
                    <w:t>Ⅲ</w:t>
                  </w:r>
                  <w:r>
                    <w:rPr>
                      <w:rFonts w:ascii="Times New Roman" w:hAnsi="Times New Roman"/>
                      <w:color w:val="auto"/>
                      <w:szCs w:val="21"/>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色</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≤15</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19</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硫化物</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2</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臭和味</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无</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20</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钠</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3</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浑浊度</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≤3</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21</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总大肠菌群（CFU/100mL）</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4</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肉眼可见物</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无</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22</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菌落总数（CFU/mL）</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5</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pH</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6.5≤pH≤8.5</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23</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亚硝酸盐（以N计）</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6</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总硬度以（CaCO</w:t>
                  </w:r>
                  <w:r>
                    <w:rPr>
                      <w:rFonts w:ascii="Times New Roman" w:hAnsi="Times New Roman"/>
                      <w:color w:val="auto"/>
                      <w:szCs w:val="21"/>
                      <w:vertAlign w:val="subscript"/>
                    </w:rPr>
                    <w:t>3</w:t>
                  </w:r>
                  <w:r>
                    <w:rPr>
                      <w:rFonts w:ascii="Times New Roman" w:hAnsi="Times New Roman"/>
                      <w:color w:val="auto"/>
                      <w:szCs w:val="21"/>
                    </w:rPr>
                    <w:t>）计</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≤450</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24</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硝酸盐（以N计）</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7</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溶解性总固体</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≤1000</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25</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氰化物</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8</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硫酸盐</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≤250</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26</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氟化物</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9</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氯化物</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≤250</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27</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碘化物</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10</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铁（Fe）</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≤0.3</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28</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汞（Hg）</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11</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锰（Mn）</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≤0.1</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29</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砷（As）</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12</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铜（Cu）</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≤1.0</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30</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硒</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13</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锌（Zn）</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≤1.0</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31</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镉（Cd）</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14</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铝</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≤0.20</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32</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铬（六价）（Cr</w:t>
                  </w:r>
                  <w:r>
                    <w:rPr>
                      <w:rFonts w:ascii="Times New Roman" w:hAnsi="Times New Roman"/>
                      <w:color w:val="auto"/>
                      <w:szCs w:val="21"/>
                      <w:vertAlign w:val="superscript"/>
                    </w:rPr>
                    <w:t>6+</w:t>
                  </w:r>
                  <w:r>
                    <w:rPr>
                      <w:rFonts w:ascii="Times New Roman" w:hAnsi="Times New Roman"/>
                      <w:color w:val="auto"/>
                      <w:szCs w:val="21"/>
                    </w:rPr>
                    <w:t>）</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15</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挥发性酚类（以苯酚计）</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≤0.002</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33</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铅（Pb）</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16</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阴离子表面活性剂</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≤0.3</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34</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三氯甲烷</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17</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耗氧量（CODM</w:t>
                  </w:r>
                  <w:r>
                    <w:rPr>
                      <w:rFonts w:ascii="Times New Roman" w:hAnsi="Times New Roman"/>
                      <w:color w:val="auto"/>
                      <w:szCs w:val="21"/>
                      <w:vertAlign w:val="subscript"/>
                    </w:rPr>
                    <w:t>n</w:t>
                  </w:r>
                  <w:r>
                    <w:rPr>
                      <w:rFonts w:ascii="Times New Roman" w:hAnsi="Times New Roman"/>
                      <w:color w:val="auto"/>
                      <w:szCs w:val="21"/>
                    </w:rPr>
                    <w:t>，以O</w:t>
                  </w:r>
                  <w:r>
                    <w:rPr>
                      <w:rFonts w:ascii="Times New Roman" w:hAnsi="Times New Roman"/>
                      <w:color w:val="auto"/>
                      <w:szCs w:val="21"/>
                      <w:vertAlign w:val="subscript"/>
                    </w:rPr>
                    <w:t>2</w:t>
                  </w:r>
                  <w:r>
                    <w:rPr>
                      <w:rFonts w:ascii="Times New Roman" w:hAnsi="Times New Roman"/>
                      <w:color w:val="auto"/>
                      <w:szCs w:val="21"/>
                    </w:rPr>
                    <w:t>计）</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≤3.0</w:t>
                  </w:r>
                </w:p>
              </w:tc>
              <w:tc>
                <w:tcPr>
                  <w:tcW w:w="830" w:type="dxa"/>
                  <w:vAlign w:val="center"/>
                </w:tcPr>
                <w:p>
                  <w:pPr>
                    <w:jc w:val="center"/>
                    <w:rPr>
                      <w:rFonts w:ascii="Times New Roman" w:hAnsi="Times New Roman"/>
                      <w:color w:val="auto"/>
                      <w:szCs w:val="21"/>
                    </w:rPr>
                  </w:pPr>
                  <w:r>
                    <w:rPr>
                      <w:rFonts w:ascii="Times New Roman" w:hAnsi="Times New Roman"/>
                      <w:color w:val="auto"/>
                      <w:szCs w:val="21"/>
                    </w:rPr>
                    <w:t>35</w:t>
                  </w:r>
                </w:p>
              </w:tc>
              <w:tc>
                <w:tcPr>
                  <w:tcW w:w="1933" w:type="dxa"/>
                  <w:vAlign w:val="center"/>
                </w:tcPr>
                <w:p>
                  <w:pPr>
                    <w:jc w:val="center"/>
                    <w:rPr>
                      <w:rFonts w:ascii="Times New Roman" w:hAnsi="Times New Roman"/>
                      <w:color w:val="auto"/>
                      <w:szCs w:val="21"/>
                    </w:rPr>
                  </w:pPr>
                  <w:r>
                    <w:rPr>
                      <w:rFonts w:ascii="Times New Roman" w:hAnsi="Times New Roman"/>
                      <w:color w:val="auto"/>
                      <w:szCs w:val="21"/>
                    </w:rPr>
                    <w:t>四氯甲烷</w:t>
                  </w:r>
                </w:p>
              </w:tc>
              <w:tc>
                <w:tcPr>
                  <w:tcW w:w="1322" w:type="dxa"/>
                  <w:vAlign w:val="center"/>
                </w:tcPr>
                <w:p>
                  <w:pPr>
                    <w:jc w:val="center"/>
                    <w:rPr>
                      <w:rFonts w:ascii="Times New Roman" w:hAnsi="Times New Roman"/>
                      <w:color w:val="auto"/>
                      <w:szCs w:val="21"/>
                    </w:rPr>
                  </w:pPr>
                  <w:r>
                    <w:rPr>
                      <w:rFonts w:ascii="Times New Roman" w:hAnsi="Times New Roman"/>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55" w:type="dxa"/>
                  <w:vAlign w:val="center"/>
                </w:tcPr>
                <w:p>
                  <w:pPr>
                    <w:jc w:val="center"/>
                    <w:rPr>
                      <w:rFonts w:ascii="Times New Roman" w:hAnsi="Times New Roman"/>
                      <w:color w:val="auto"/>
                      <w:szCs w:val="21"/>
                    </w:rPr>
                  </w:pPr>
                  <w:r>
                    <w:rPr>
                      <w:rFonts w:ascii="Times New Roman" w:hAnsi="Times New Roman"/>
                      <w:color w:val="auto"/>
                      <w:szCs w:val="21"/>
                    </w:rPr>
                    <w:t>18</w:t>
                  </w:r>
                </w:p>
              </w:tc>
              <w:tc>
                <w:tcPr>
                  <w:tcW w:w="2197" w:type="dxa"/>
                  <w:vAlign w:val="center"/>
                </w:tcPr>
                <w:p>
                  <w:pPr>
                    <w:jc w:val="center"/>
                    <w:rPr>
                      <w:rFonts w:ascii="Times New Roman" w:hAnsi="Times New Roman"/>
                      <w:color w:val="auto"/>
                      <w:szCs w:val="21"/>
                    </w:rPr>
                  </w:pPr>
                  <w:r>
                    <w:rPr>
                      <w:rFonts w:ascii="Times New Roman" w:hAnsi="Times New Roman"/>
                      <w:color w:val="auto"/>
                      <w:szCs w:val="21"/>
                    </w:rPr>
                    <w:t>氨氮（以N计）</w:t>
                  </w:r>
                </w:p>
              </w:tc>
              <w:tc>
                <w:tcPr>
                  <w:tcW w:w="1259" w:type="dxa"/>
                  <w:vAlign w:val="center"/>
                </w:tcPr>
                <w:p>
                  <w:pPr>
                    <w:jc w:val="center"/>
                    <w:rPr>
                      <w:rFonts w:ascii="Times New Roman" w:hAnsi="Times New Roman"/>
                      <w:color w:val="auto"/>
                      <w:szCs w:val="21"/>
                    </w:rPr>
                  </w:pPr>
                  <w:r>
                    <w:rPr>
                      <w:rFonts w:ascii="Times New Roman" w:hAnsi="Times New Roman"/>
                      <w:color w:val="auto"/>
                      <w:szCs w:val="21"/>
                    </w:rPr>
                    <w:t>≤0.50</w:t>
                  </w:r>
                </w:p>
              </w:tc>
              <w:tc>
                <w:tcPr>
                  <w:tcW w:w="830" w:type="dxa"/>
                  <w:vAlign w:val="center"/>
                </w:tcPr>
                <w:p>
                  <w:pPr>
                    <w:jc w:val="center"/>
                    <w:rPr>
                      <w:rFonts w:ascii="Times New Roman" w:hAnsi="Times New Roman"/>
                      <w:color w:val="auto"/>
                      <w:szCs w:val="21"/>
                    </w:rPr>
                  </w:pPr>
                </w:p>
              </w:tc>
              <w:tc>
                <w:tcPr>
                  <w:tcW w:w="1933" w:type="dxa"/>
                  <w:vAlign w:val="center"/>
                </w:tcPr>
                <w:p>
                  <w:pPr>
                    <w:jc w:val="center"/>
                    <w:rPr>
                      <w:rFonts w:ascii="Times New Roman" w:hAnsi="Times New Roman"/>
                      <w:color w:val="auto"/>
                      <w:szCs w:val="21"/>
                    </w:rPr>
                  </w:pPr>
                </w:p>
              </w:tc>
              <w:tc>
                <w:tcPr>
                  <w:tcW w:w="1322" w:type="dxa"/>
                  <w:vAlign w:val="center"/>
                </w:tcPr>
                <w:p>
                  <w:pPr>
                    <w:jc w:val="center"/>
                    <w:rPr>
                      <w:rFonts w:ascii="Times New Roman" w:hAnsi="Times New Roman"/>
                      <w:color w:val="auto"/>
                      <w:szCs w:val="21"/>
                    </w:rPr>
                  </w:pPr>
                </w:p>
              </w:tc>
            </w:tr>
          </w:tbl>
          <w:p>
            <w:pPr>
              <w:pStyle w:val="2"/>
              <w:ind w:firstLine="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2" w:hRule="atLeast"/>
        </w:trPr>
        <w:tc>
          <w:tcPr>
            <w:tcW w:w="658" w:type="dxa"/>
            <w:vAlign w:val="center"/>
          </w:tcPr>
          <w:p>
            <w:pPr>
              <w:adjustRightInd w:val="0"/>
              <w:snapToGrid w:val="0"/>
              <w:spacing w:line="360" w:lineRule="auto"/>
              <w:jc w:val="center"/>
              <w:rPr>
                <w:rFonts w:ascii="Times New Roman" w:hAnsi="Times New Roman"/>
                <w:color w:val="auto"/>
                <w:sz w:val="24"/>
              </w:rPr>
            </w:pPr>
            <w:r>
              <w:rPr>
                <w:rFonts w:ascii="Times New Roman" w:hAnsi="Times New Roman"/>
                <w:color w:val="auto"/>
                <w:sz w:val="24"/>
              </w:rPr>
              <w:t>污染物排放标准</w:t>
            </w:r>
          </w:p>
        </w:tc>
        <w:tc>
          <w:tcPr>
            <w:tcW w:w="8731" w:type="dxa"/>
            <w:vAlign w:val="center"/>
          </w:tcPr>
          <w:p>
            <w:pPr>
              <w:spacing w:line="360" w:lineRule="auto"/>
              <w:rPr>
                <w:rFonts w:ascii="Times New Roman" w:hAnsi="Times New Roman"/>
                <w:b/>
                <w:color w:val="auto"/>
                <w:sz w:val="24"/>
              </w:rPr>
            </w:pPr>
            <w:r>
              <w:rPr>
                <w:rFonts w:ascii="Times New Roman" w:hAnsi="Times New Roman"/>
                <w:b/>
                <w:color w:val="auto"/>
                <w:sz w:val="24"/>
              </w:rPr>
              <w:t>一、施工期</w:t>
            </w:r>
          </w:p>
          <w:p>
            <w:pPr>
              <w:spacing w:line="360" w:lineRule="auto"/>
              <w:ind w:firstLine="480" w:firstLineChars="200"/>
              <w:rPr>
                <w:rFonts w:ascii="Times New Roman" w:hAnsi="Times New Roman"/>
                <w:color w:val="auto"/>
                <w:sz w:val="24"/>
              </w:rPr>
            </w:pPr>
            <w:r>
              <w:rPr>
                <w:rFonts w:ascii="Times New Roman" w:hAnsi="Times New Roman"/>
                <w:color w:val="auto"/>
                <w:sz w:val="24"/>
              </w:rPr>
              <w:t>（1）废气：无组织排放的扬尘执行《大气污染物综合排放标准》（GB16297-1996）中二级标准，即颗粒物周界外浓度最高点≤1.0mg/m</w:t>
            </w:r>
            <w:r>
              <w:rPr>
                <w:rFonts w:ascii="Times New Roman" w:hAnsi="Times New Roman"/>
                <w:color w:val="auto"/>
                <w:sz w:val="24"/>
                <w:vertAlign w:val="superscript"/>
              </w:rPr>
              <w:t>3</w:t>
            </w:r>
            <w:r>
              <w:rPr>
                <w:rFonts w:ascii="Times New Roman" w:hAnsi="Times New Roman"/>
                <w:color w:val="auto"/>
                <w:sz w:val="24"/>
              </w:rPr>
              <w:t>。</w:t>
            </w:r>
          </w:p>
          <w:p>
            <w:pPr>
              <w:spacing w:line="360" w:lineRule="auto"/>
              <w:ind w:firstLine="480" w:firstLineChars="200"/>
              <w:rPr>
                <w:rFonts w:ascii="Times New Roman" w:hAnsi="Times New Roman"/>
                <w:color w:val="auto"/>
                <w:sz w:val="24"/>
              </w:rPr>
            </w:pPr>
            <w:r>
              <w:rPr>
                <w:rFonts w:ascii="Times New Roman" w:hAnsi="Times New Roman"/>
                <w:color w:val="auto"/>
                <w:sz w:val="24"/>
              </w:rPr>
              <w:t>（2）噪声：执行《建筑施工场界环境噪声排放限值》（GB12523－2011）标准，即昼间70dB(A)，夜间55dB(A)。</w:t>
            </w:r>
          </w:p>
          <w:p>
            <w:pPr>
              <w:spacing w:line="360" w:lineRule="auto"/>
              <w:rPr>
                <w:rFonts w:ascii="Times New Roman" w:hAnsi="Times New Roman"/>
                <w:b/>
                <w:color w:val="auto"/>
                <w:sz w:val="24"/>
              </w:rPr>
            </w:pPr>
            <w:r>
              <w:rPr>
                <w:rFonts w:ascii="Times New Roman" w:hAnsi="Times New Roman"/>
                <w:b/>
                <w:color w:val="auto"/>
                <w:sz w:val="24"/>
              </w:rPr>
              <w:t>二、运营期</w:t>
            </w:r>
          </w:p>
          <w:p>
            <w:pPr>
              <w:spacing w:line="360" w:lineRule="auto"/>
              <w:ind w:firstLine="480" w:firstLineChars="200"/>
              <w:textAlignment w:val="baseline"/>
              <w:rPr>
                <w:rFonts w:ascii="Times New Roman" w:hAnsi="Times New Roman"/>
                <w:color w:val="auto"/>
                <w:sz w:val="24"/>
              </w:rPr>
            </w:pPr>
            <w:r>
              <w:rPr>
                <w:rFonts w:ascii="Times New Roman" w:hAnsi="Times New Roman"/>
                <w:color w:val="auto"/>
                <w:sz w:val="24"/>
              </w:rPr>
              <w:t>1、营运期厂界噪声排放执行《工业企业厂界环境噪声排放标准》（GB12348－2008）表1中1类标准。</w:t>
            </w:r>
          </w:p>
          <w:p>
            <w:pPr>
              <w:jc w:val="center"/>
              <w:rPr>
                <w:rFonts w:ascii="Times New Roman" w:hAnsi="Times New Roman"/>
                <w:b/>
                <w:color w:val="auto"/>
                <w:sz w:val="24"/>
              </w:rPr>
            </w:pPr>
            <w:r>
              <w:rPr>
                <w:rFonts w:ascii="Times New Roman" w:hAnsi="Times New Roman"/>
                <w:b/>
                <w:color w:val="auto"/>
                <w:sz w:val="24"/>
              </w:rPr>
              <w:t>表4-5  工业企业厂界环境噪声排放标准  单位：dB(A)</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30"/>
              <w:gridCol w:w="1850"/>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330" w:type="dxa"/>
                  <w:tcBorders>
                    <w:tl2br w:val="single" w:color="auto" w:sz="4" w:space="0"/>
                  </w:tcBorders>
                  <w:tcMar>
                    <w:top w:w="0" w:type="dxa"/>
                    <w:left w:w="108" w:type="dxa"/>
                    <w:bottom w:w="0" w:type="dxa"/>
                    <w:right w:w="108" w:type="dxa"/>
                  </w:tcMar>
                  <w:vAlign w:val="center"/>
                </w:tcPr>
                <w:p>
                  <w:pPr>
                    <w:widowControl/>
                    <w:snapToGrid w:val="0"/>
                    <w:spacing w:line="400" w:lineRule="exact"/>
                    <w:jc w:val="center"/>
                    <w:rPr>
                      <w:rFonts w:ascii="Times New Roman" w:hAnsi="Times New Roman"/>
                      <w:color w:val="auto"/>
                      <w:kern w:val="0"/>
                      <w:sz w:val="24"/>
                    </w:rPr>
                  </w:pPr>
                  <w:r>
                    <w:rPr>
                      <w:rFonts w:ascii="Times New Roman" w:hAnsi="Times New Roman"/>
                      <w:color w:val="auto"/>
                      <w:kern w:val="0"/>
                      <w:szCs w:val="21"/>
                    </w:rPr>
                    <w:t>时段</w:t>
                  </w:r>
                </w:p>
                <w:p>
                  <w:pPr>
                    <w:widowControl/>
                    <w:snapToGrid w:val="0"/>
                    <w:spacing w:line="400" w:lineRule="exact"/>
                    <w:jc w:val="left"/>
                    <w:rPr>
                      <w:rFonts w:ascii="Times New Roman" w:hAnsi="Times New Roman"/>
                      <w:color w:val="auto"/>
                      <w:kern w:val="0"/>
                      <w:szCs w:val="21"/>
                    </w:rPr>
                  </w:pPr>
                  <w:r>
                    <w:rPr>
                      <w:rFonts w:ascii="Times New Roman" w:hAnsi="Times New Roman"/>
                      <w:color w:val="auto"/>
                      <w:kern w:val="0"/>
                      <w:szCs w:val="21"/>
                    </w:rPr>
                    <w:t>厂界外声环境功能区类别</w:t>
                  </w:r>
                </w:p>
              </w:tc>
              <w:tc>
                <w:tcPr>
                  <w:tcW w:w="1850" w:type="dxa"/>
                  <w:tcMar>
                    <w:top w:w="0" w:type="dxa"/>
                    <w:left w:w="108" w:type="dxa"/>
                    <w:bottom w:w="0" w:type="dxa"/>
                    <w:right w:w="108" w:type="dxa"/>
                  </w:tcMar>
                  <w:vAlign w:val="center"/>
                </w:tcPr>
                <w:p>
                  <w:pPr>
                    <w:widowControl/>
                    <w:snapToGrid w:val="0"/>
                    <w:spacing w:line="400" w:lineRule="exact"/>
                    <w:jc w:val="center"/>
                    <w:rPr>
                      <w:rFonts w:ascii="Times New Roman" w:hAnsi="Times New Roman"/>
                      <w:color w:val="auto"/>
                      <w:kern w:val="0"/>
                      <w:sz w:val="24"/>
                    </w:rPr>
                  </w:pPr>
                  <w:r>
                    <w:rPr>
                      <w:rFonts w:ascii="Times New Roman" w:hAnsi="Times New Roman"/>
                      <w:color w:val="auto"/>
                      <w:kern w:val="0"/>
                      <w:szCs w:val="21"/>
                    </w:rPr>
                    <w:t>昼间</w:t>
                  </w:r>
                </w:p>
              </w:tc>
              <w:tc>
                <w:tcPr>
                  <w:tcW w:w="2116" w:type="dxa"/>
                  <w:tcMar>
                    <w:top w:w="0" w:type="dxa"/>
                    <w:left w:w="108" w:type="dxa"/>
                    <w:bottom w:w="0" w:type="dxa"/>
                    <w:right w:w="108" w:type="dxa"/>
                  </w:tcMar>
                  <w:vAlign w:val="center"/>
                </w:tcPr>
                <w:p>
                  <w:pPr>
                    <w:widowControl/>
                    <w:snapToGrid w:val="0"/>
                    <w:spacing w:line="400" w:lineRule="exact"/>
                    <w:jc w:val="center"/>
                    <w:rPr>
                      <w:rFonts w:ascii="Times New Roman" w:hAnsi="Times New Roman"/>
                      <w:color w:val="auto"/>
                      <w:kern w:val="0"/>
                      <w:sz w:val="24"/>
                    </w:rPr>
                  </w:pPr>
                  <w:r>
                    <w:rPr>
                      <w:rFonts w:ascii="Times New Roman" w:hAnsi="Times New Roman"/>
                      <w:color w:val="auto"/>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330" w:type="dxa"/>
                  <w:tcMar>
                    <w:top w:w="0" w:type="dxa"/>
                    <w:left w:w="108" w:type="dxa"/>
                    <w:bottom w:w="0" w:type="dxa"/>
                    <w:right w:w="108" w:type="dxa"/>
                  </w:tcMar>
                  <w:vAlign w:val="center"/>
                </w:tcPr>
                <w:p>
                  <w:pPr>
                    <w:widowControl/>
                    <w:snapToGrid w:val="0"/>
                    <w:spacing w:before="100" w:beforeAutospacing="1" w:after="100" w:afterAutospacing="1" w:line="400" w:lineRule="exact"/>
                    <w:jc w:val="center"/>
                    <w:rPr>
                      <w:rFonts w:ascii="Times New Roman" w:hAnsi="Times New Roman"/>
                      <w:color w:val="auto"/>
                      <w:kern w:val="0"/>
                      <w:sz w:val="24"/>
                    </w:rPr>
                  </w:pPr>
                  <w:r>
                    <w:rPr>
                      <w:rFonts w:ascii="Times New Roman" w:hAnsi="Times New Roman"/>
                      <w:color w:val="auto"/>
                      <w:kern w:val="0"/>
                      <w:szCs w:val="21"/>
                    </w:rPr>
                    <w:t>1类</w:t>
                  </w:r>
                </w:p>
              </w:tc>
              <w:tc>
                <w:tcPr>
                  <w:tcW w:w="1850" w:type="dxa"/>
                  <w:tcMar>
                    <w:top w:w="0" w:type="dxa"/>
                    <w:left w:w="108" w:type="dxa"/>
                    <w:bottom w:w="0" w:type="dxa"/>
                    <w:right w:w="108" w:type="dxa"/>
                  </w:tcMar>
                  <w:vAlign w:val="center"/>
                </w:tcPr>
                <w:p>
                  <w:pPr>
                    <w:widowControl/>
                    <w:snapToGrid w:val="0"/>
                    <w:spacing w:before="100" w:beforeAutospacing="1" w:after="100" w:afterAutospacing="1" w:line="400" w:lineRule="exact"/>
                    <w:jc w:val="center"/>
                    <w:rPr>
                      <w:rFonts w:ascii="Times New Roman" w:hAnsi="Times New Roman"/>
                      <w:color w:val="auto"/>
                      <w:kern w:val="0"/>
                      <w:szCs w:val="21"/>
                    </w:rPr>
                  </w:pPr>
                  <w:r>
                    <w:rPr>
                      <w:rFonts w:ascii="Times New Roman" w:hAnsi="Times New Roman"/>
                      <w:color w:val="auto"/>
                      <w:kern w:val="0"/>
                      <w:szCs w:val="21"/>
                    </w:rPr>
                    <w:t>55</w:t>
                  </w:r>
                </w:p>
              </w:tc>
              <w:tc>
                <w:tcPr>
                  <w:tcW w:w="2116" w:type="dxa"/>
                  <w:tcMar>
                    <w:top w:w="0" w:type="dxa"/>
                    <w:left w:w="108" w:type="dxa"/>
                    <w:bottom w:w="0" w:type="dxa"/>
                    <w:right w:w="108" w:type="dxa"/>
                  </w:tcMar>
                  <w:vAlign w:val="center"/>
                </w:tcPr>
                <w:p>
                  <w:pPr>
                    <w:widowControl/>
                    <w:snapToGrid w:val="0"/>
                    <w:spacing w:before="100" w:beforeAutospacing="1" w:after="100" w:afterAutospacing="1" w:line="400" w:lineRule="exact"/>
                    <w:jc w:val="center"/>
                    <w:rPr>
                      <w:rFonts w:ascii="Times New Roman" w:hAnsi="Times New Roman"/>
                      <w:color w:val="auto"/>
                      <w:kern w:val="0"/>
                      <w:szCs w:val="21"/>
                    </w:rPr>
                  </w:pPr>
                  <w:r>
                    <w:rPr>
                      <w:rFonts w:ascii="Times New Roman" w:hAnsi="Times New Roman"/>
                      <w:color w:val="auto"/>
                      <w:kern w:val="0"/>
                      <w:szCs w:val="21"/>
                    </w:rPr>
                    <w:t>45</w:t>
                  </w:r>
                </w:p>
              </w:tc>
            </w:tr>
          </w:tbl>
          <w:p>
            <w:pPr>
              <w:spacing w:line="360" w:lineRule="auto"/>
              <w:ind w:firstLine="480" w:firstLineChars="200"/>
              <w:textAlignment w:val="baseline"/>
              <w:rPr>
                <w:rFonts w:ascii="Times New Roman" w:hAnsi="Times New Roman"/>
                <w:color w:val="auto"/>
              </w:rPr>
            </w:pPr>
            <w:r>
              <w:rPr>
                <w:rFonts w:ascii="Times New Roman" w:hAnsi="Times New Roman"/>
                <w:color w:val="auto"/>
                <w:sz w:val="24"/>
              </w:rPr>
              <w:t>2、无组织氨、硫化氢、臭气浓度排放执行《恶臭污染物排放标准》(GB14554-1993) 表1二级新改扩建标准限值，具体见表4-6。</w:t>
            </w:r>
          </w:p>
          <w:p>
            <w:pPr>
              <w:jc w:val="center"/>
              <w:rPr>
                <w:rFonts w:ascii="Times New Roman" w:hAnsi="Times New Roman"/>
                <w:b/>
                <w:color w:val="auto"/>
                <w:sz w:val="24"/>
              </w:rPr>
            </w:pPr>
            <w:r>
              <w:rPr>
                <w:rFonts w:ascii="Times New Roman" w:hAnsi="Times New Roman"/>
                <w:b/>
                <w:color w:val="auto"/>
                <w:sz w:val="24"/>
              </w:rPr>
              <w:t>表4-6 大气污染物排放标准限值</w:t>
            </w:r>
          </w:p>
          <w:tbl>
            <w:tblPr>
              <w:tblStyle w:val="26"/>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838"/>
              <w:gridCol w:w="5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77" w:type="dxa"/>
                  <w:tcMar>
                    <w:left w:w="0" w:type="dxa"/>
                    <w:right w:w="0" w:type="dxa"/>
                  </w:tcMar>
                  <w:vAlign w:val="center"/>
                </w:tcPr>
                <w:p>
                  <w:pPr>
                    <w:pStyle w:val="2"/>
                    <w:spacing w:line="240" w:lineRule="auto"/>
                    <w:ind w:firstLine="0"/>
                    <w:contextualSpacing/>
                    <w:jc w:val="center"/>
                    <w:rPr>
                      <w:rFonts w:ascii="Times New Roman" w:hAnsi="Times New Roman" w:eastAsia="宋体"/>
                      <w:b/>
                      <w:color w:val="auto"/>
                      <w:spacing w:val="0"/>
                      <w:kern w:val="21"/>
                      <w:sz w:val="21"/>
                      <w:szCs w:val="21"/>
                    </w:rPr>
                  </w:pPr>
                  <w:r>
                    <w:rPr>
                      <w:rFonts w:ascii="Times New Roman" w:hAnsi="Times New Roman" w:eastAsia="宋体"/>
                      <w:b/>
                      <w:color w:val="auto"/>
                      <w:spacing w:val="0"/>
                      <w:kern w:val="21"/>
                      <w:sz w:val="21"/>
                      <w:szCs w:val="21"/>
                    </w:rPr>
                    <w:t>污染物</w:t>
                  </w:r>
                </w:p>
              </w:tc>
              <w:tc>
                <w:tcPr>
                  <w:tcW w:w="1838" w:type="dxa"/>
                  <w:tcMar>
                    <w:left w:w="0" w:type="dxa"/>
                    <w:right w:w="0" w:type="dxa"/>
                  </w:tcMar>
                  <w:vAlign w:val="center"/>
                </w:tcPr>
                <w:p>
                  <w:pPr>
                    <w:pStyle w:val="2"/>
                    <w:spacing w:line="240" w:lineRule="auto"/>
                    <w:ind w:firstLine="0"/>
                    <w:contextualSpacing/>
                    <w:jc w:val="center"/>
                    <w:rPr>
                      <w:rFonts w:ascii="Times New Roman" w:hAnsi="Times New Roman" w:eastAsia="宋体"/>
                      <w:b/>
                      <w:color w:val="auto"/>
                      <w:spacing w:val="0"/>
                      <w:kern w:val="21"/>
                      <w:sz w:val="21"/>
                      <w:szCs w:val="21"/>
                    </w:rPr>
                  </w:pPr>
                  <w:r>
                    <w:rPr>
                      <w:rFonts w:ascii="Times New Roman" w:hAnsi="Times New Roman" w:eastAsia="宋体"/>
                      <w:b/>
                      <w:color w:val="auto"/>
                      <w:spacing w:val="0"/>
                      <w:kern w:val="21"/>
                      <w:sz w:val="21"/>
                      <w:szCs w:val="21"/>
                    </w:rPr>
                    <w:t>无组织周界外浓度最高点（mg/m</w:t>
                  </w:r>
                  <w:r>
                    <w:rPr>
                      <w:rFonts w:ascii="Times New Roman" w:hAnsi="Times New Roman" w:eastAsia="宋体"/>
                      <w:b/>
                      <w:color w:val="auto"/>
                      <w:spacing w:val="0"/>
                      <w:kern w:val="21"/>
                      <w:sz w:val="21"/>
                      <w:szCs w:val="21"/>
                      <w:vertAlign w:val="superscript"/>
                    </w:rPr>
                    <w:t>3</w:t>
                  </w:r>
                  <w:r>
                    <w:rPr>
                      <w:rFonts w:ascii="Times New Roman" w:hAnsi="Times New Roman" w:eastAsia="宋体"/>
                      <w:b/>
                      <w:color w:val="auto"/>
                      <w:spacing w:val="0"/>
                      <w:kern w:val="21"/>
                      <w:sz w:val="21"/>
                      <w:szCs w:val="21"/>
                    </w:rPr>
                    <w:t>）</w:t>
                  </w:r>
                </w:p>
              </w:tc>
              <w:tc>
                <w:tcPr>
                  <w:tcW w:w="5079" w:type="dxa"/>
                  <w:vAlign w:val="center"/>
                </w:tcPr>
                <w:p>
                  <w:pPr>
                    <w:pStyle w:val="2"/>
                    <w:spacing w:line="240" w:lineRule="auto"/>
                    <w:ind w:firstLine="0"/>
                    <w:contextualSpacing/>
                    <w:jc w:val="center"/>
                    <w:rPr>
                      <w:rFonts w:ascii="Times New Roman" w:hAnsi="Times New Roman" w:eastAsia="宋体"/>
                      <w:b/>
                      <w:color w:val="auto"/>
                      <w:spacing w:val="0"/>
                      <w:kern w:val="21"/>
                      <w:sz w:val="21"/>
                      <w:szCs w:val="21"/>
                    </w:rPr>
                  </w:pPr>
                  <w:r>
                    <w:rPr>
                      <w:rFonts w:ascii="Times New Roman" w:hAnsi="Times New Roman" w:eastAsia="宋体"/>
                      <w:b/>
                      <w:color w:val="auto"/>
                      <w:spacing w:val="0"/>
                      <w:kern w:val="21"/>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77" w:type="dxa"/>
                  <w:tcMar>
                    <w:left w:w="0" w:type="dxa"/>
                    <w:right w:w="0" w:type="dxa"/>
                  </w:tcMar>
                  <w:vAlign w:val="center"/>
                </w:tcPr>
                <w:p>
                  <w:pPr>
                    <w:pStyle w:val="58"/>
                    <w:textAlignment w:val="baseline"/>
                    <w:rPr>
                      <w:rFonts w:ascii="Times New Roman" w:hAnsi="Times New Roman"/>
                      <w:color w:val="auto"/>
                      <w:kern w:val="21"/>
                      <w:sz w:val="21"/>
                      <w:szCs w:val="21"/>
                    </w:rPr>
                  </w:pPr>
                  <w:r>
                    <w:rPr>
                      <w:rFonts w:ascii="Times New Roman" w:hAnsi="Times New Roman"/>
                      <w:color w:val="auto"/>
                      <w:kern w:val="0"/>
                      <w:sz w:val="21"/>
                      <w:szCs w:val="21"/>
                    </w:rPr>
                    <w:t>氨</w:t>
                  </w:r>
                </w:p>
              </w:tc>
              <w:tc>
                <w:tcPr>
                  <w:tcW w:w="1838" w:type="dxa"/>
                  <w:tcMar>
                    <w:left w:w="0" w:type="dxa"/>
                    <w:right w:w="0" w:type="dxa"/>
                  </w:tcMar>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1.5</w:t>
                  </w:r>
                </w:p>
              </w:tc>
              <w:tc>
                <w:tcPr>
                  <w:tcW w:w="5079" w:type="dxa"/>
                  <w:vMerge w:val="restart"/>
                  <w:vAlign w:val="center"/>
                </w:tcPr>
                <w:p>
                  <w:pPr>
                    <w:pStyle w:val="2"/>
                    <w:spacing w:line="240" w:lineRule="auto"/>
                    <w:ind w:firstLine="0"/>
                    <w:contextualSpacing/>
                    <w:jc w:val="center"/>
                    <w:rPr>
                      <w:rFonts w:ascii="Times New Roman" w:hAnsi="Times New Roman" w:eastAsia="宋体"/>
                      <w:color w:val="auto"/>
                      <w:kern w:val="21"/>
                      <w:sz w:val="21"/>
                      <w:szCs w:val="21"/>
                    </w:rPr>
                  </w:pPr>
                  <w:r>
                    <w:rPr>
                      <w:rFonts w:ascii="Times New Roman" w:hAnsi="Times New Roman" w:eastAsia="宋体"/>
                      <w:color w:val="auto"/>
                      <w:kern w:val="21"/>
                      <w:sz w:val="21"/>
                      <w:szCs w:val="21"/>
                    </w:rPr>
                    <w:t>(GB14554-1993) 表1二级新改扩建标准限值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77" w:type="dxa"/>
                  <w:tcMar>
                    <w:left w:w="0" w:type="dxa"/>
                    <w:right w:w="0" w:type="dxa"/>
                  </w:tcMar>
                  <w:vAlign w:val="center"/>
                </w:tcPr>
                <w:p>
                  <w:pPr>
                    <w:pStyle w:val="58"/>
                    <w:textAlignment w:val="baseline"/>
                    <w:rPr>
                      <w:rFonts w:ascii="Times New Roman" w:hAnsi="Times New Roman"/>
                      <w:color w:val="auto"/>
                      <w:kern w:val="21"/>
                      <w:sz w:val="21"/>
                      <w:szCs w:val="21"/>
                    </w:rPr>
                  </w:pPr>
                  <w:r>
                    <w:rPr>
                      <w:rFonts w:ascii="Times New Roman" w:hAnsi="Times New Roman"/>
                      <w:color w:val="auto"/>
                      <w:sz w:val="21"/>
                      <w:szCs w:val="21"/>
                    </w:rPr>
                    <w:t>硫化氢</w:t>
                  </w:r>
                </w:p>
              </w:tc>
              <w:tc>
                <w:tcPr>
                  <w:tcW w:w="1838" w:type="dxa"/>
                  <w:tcMar>
                    <w:left w:w="0" w:type="dxa"/>
                    <w:right w:w="0" w:type="dxa"/>
                  </w:tcMar>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0.06</w:t>
                  </w:r>
                </w:p>
              </w:tc>
              <w:tc>
                <w:tcPr>
                  <w:tcW w:w="5079" w:type="dxa"/>
                  <w:vMerge w:val="continue"/>
                  <w:vAlign w:val="center"/>
                </w:tcPr>
                <w:p>
                  <w:pPr>
                    <w:pStyle w:val="2"/>
                    <w:spacing w:line="240" w:lineRule="auto"/>
                    <w:ind w:firstLine="0"/>
                    <w:contextualSpacing/>
                    <w:jc w:val="center"/>
                    <w:rPr>
                      <w:rFonts w:ascii="Times New Roman" w:hAnsi="Times New Roman" w:eastAsia="宋体"/>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77" w:type="dxa"/>
                  <w:tcMar>
                    <w:left w:w="0" w:type="dxa"/>
                    <w:right w:w="0" w:type="dxa"/>
                  </w:tcMar>
                  <w:vAlign w:val="center"/>
                </w:tcPr>
                <w:p>
                  <w:pPr>
                    <w:pStyle w:val="2"/>
                    <w:spacing w:line="240" w:lineRule="auto"/>
                    <w:ind w:firstLine="0"/>
                    <w:contextualSpacing/>
                    <w:jc w:val="center"/>
                    <w:rPr>
                      <w:rFonts w:ascii="Times New Roman" w:hAnsi="Times New Roman" w:eastAsia="宋体"/>
                      <w:color w:val="auto"/>
                      <w:spacing w:val="0"/>
                      <w:kern w:val="21"/>
                      <w:sz w:val="21"/>
                      <w:szCs w:val="21"/>
                    </w:rPr>
                  </w:pPr>
                  <w:r>
                    <w:rPr>
                      <w:rFonts w:ascii="Times New Roman" w:hAnsi="Times New Roman" w:eastAsia="宋体"/>
                      <w:color w:val="auto"/>
                      <w:spacing w:val="0"/>
                      <w:kern w:val="21"/>
                      <w:sz w:val="21"/>
                      <w:szCs w:val="21"/>
                    </w:rPr>
                    <w:t>臭气浓度</w:t>
                  </w:r>
                </w:p>
              </w:tc>
              <w:tc>
                <w:tcPr>
                  <w:tcW w:w="1838" w:type="dxa"/>
                  <w:tcMar>
                    <w:left w:w="0" w:type="dxa"/>
                    <w:right w:w="0" w:type="dxa"/>
                  </w:tcMar>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20（无量纲）</w:t>
                  </w:r>
                </w:p>
              </w:tc>
              <w:tc>
                <w:tcPr>
                  <w:tcW w:w="5079" w:type="dxa"/>
                  <w:vMerge w:val="continue"/>
                  <w:vAlign w:val="center"/>
                </w:tcPr>
                <w:p>
                  <w:pPr>
                    <w:pStyle w:val="2"/>
                    <w:spacing w:line="240" w:lineRule="auto"/>
                    <w:ind w:firstLine="0"/>
                    <w:contextualSpacing/>
                    <w:jc w:val="center"/>
                    <w:rPr>
                      <w:rFonts w:ascii="Times New Roman" w:hAnsi="Times New Roman" w:eastAsia="宋体"/>
                      <w:color w:val="auto"/>
                      <w:kern w:val="21"/>
                      <w:sz w:val="21"/>
                      <w:szCs w:val="21"/>
                    </w:rPr>
                  </w:pPr>
                </w:p>
              </w:tc>
            </w:tr>
          </w:tbl>
          <w:p>
            <w:pPr>
              <w:spacing w:line="360" w:lineRule="auto"/>
              <w:ind w:firstLine="482"/>
              <w:rPr>
                <w:rFonts w:ascii="Times New Roman" w:hAnsi="Times New Roman"/>
                <w:color w:val="auto"/>
                <w:sz w:val="24"/>
              </w:rPr>
            </w:pPr>
            <w:r>
              <w:rPr>
                <w:rFonts w:ascii="Times New Roman" w:hAnsi="Times New Roman"/>
                <w:color w:val="auto"/>
                <w:sz w:val="24"/>
                <w:highlight w:val="yellow"/>
              </w:rPr>
              <w:t>3、生活污水</w:t>
            </w:r>
            <w:r>
              <w:rPr>
                <w:rFonts w:hint="eastAsia" w:ascii="Times New Roman" w:hAnsi="Times New Roman"/>
                <w:color w:val="auto"/>
                <w:sz w:val="24"/>
                <w:highlight w:val="yellow"/>
              </w:rPr>
              <w:t>经沉淀用于</w:t>
            </w:r>
            <w:r>
              <w:rPr>
                <w:rFonts w:ascii="Times New Roman" w:hAnsi="Times New Roman"/>
                <w:color w:val="auto"/>
                <w:sz w:val="24"/>
                <w:highlight w:val="yellow"/>
              </w:rPr>
              <w:t>厂区泼洒抑尘；地面冲洗废水、设备清洗废水、渗滤液经渗滤液暂存池暂存后运至宁县污水处理厂</w:t>
            </w:r>
            <w:r>
              <w:rPr>
                <w:rFonts w:hint="eastAsia" w:ascii="Times New Roman" w:hAnsi="Times New Roman"/>
                <w:color w:val="auto"/>
                <w:sz w:val="24"/>
              </w:rPr>
              <w:t>。</w:t>
            </w:r>
          </w:p>
          <w:p>
            <w:pPr>
              <w:spacing w:line="360" w:lineRule="auto"/>
              <w:ind w:firstLine="482"/>
              <w:rPr>
                <w:rFonts w:ascii="Times New Roman" w:hAnsi="Times New Roman"/>
                <w:color w:val="auto"/>
                <w:sz w:val="24"/>
              </w:rPr>
            </w:pPr>
            <w:r>
              <w:rPr>
                <w:rFonts w:ascii="Times New Roman" w:hAnsi="Times New Roman"/>
                <w:color w:val="auto"/>
                <w:sz w:val="24"/>
              </w:rPr>
              <w:t>4、一般固体废物排放执行《一般工业固体废物贮存、处置场污染控制标准》（GB18599-2001）及其修改单中的规定</w:t>
            </w:r>
            <w:r>
              <w:rPr>
                <w:rFonts w:ascii="Times New Roman" w:hAnsi="Times New Roman"/>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658" w:type="dxa"/>
            <w:vAlign w:val="center"/>
          </w:tcPr>
          <w:p>
            <w:pPr>
              <w:spacing w:line="280" w:lineRule="exact"/>
              <w:jc w:val="center"/>
              <w:rPr>
                <w:rFonts w:ascii="Times New Roman" w:hAnsi="Times New Roman"/>
                <w:color w:val="auto"/>
                <w:sz w:val="24"/>
              </w:rPr>
            </w:pPr>
            <w:r>
              <w:rPr>
                <w:rFonts w:ascii="Times New Roman" w:hAnsi="Times New Roman"/>
                <w:color w:val="auto"/>
                <w:sz w:val="24"/>
              </w:rPr>
              <w:t>总量控制指标</w:t>
            </w:r>
          </w:p>
        </w:tc>
        <w:tc>
          <w:tcPr>
            <w:tcW w:w="8731" w:type="dxa"/>
            <w:vAlign w:val="center"/>
          </w:tcPr>
          <w:p>
            <w:pPr>
              <w:spacing w:line="360" w:lineRule="auto"/>
              <w:ind w:firstLine="480" w:firstLineChars="200"/>
              <w:jc w:val="center"/>
              <w:rPr>
                <w:rFonts w:ascii="Times New Roman" w:hAnsi="Times New Roman"/>
                <w:color w:val="auto"/>
                <w:sz w:val="24"/>
              </w:rPr>
            </w:pPr>
            <w:r>
              <w:rPr>
                <w:rFonts w:ascii="Times New Roman" w:hAnsi="Times New Roman"/>
                <w:color w:val="auto"/>
                <w:sz w:val="24"/>
              </w:rPr>
              <w:t>按照国家“十三五”环境保护规划提出的总量控制指标，</w:t>
            </w:r>
            <w:r>
              <w:rPr>
                <w:rFonts w:hint="eastAsia" w:ascii="Times New Roman" w:hAnsi="Times New Roman"/>
                <w:color w:val="auto"/>
                <w:sz w:val="24"/>
              </w:rPr>
              <w:t>本项目建议设置总量：</w:t>
            </w:r>
            <w:r>
              <w:rPr>
                <w:rFonts w:ascii="Times New Roman" w:hAnsi="Times New Roman"/>
                <w:color w:val="auto"/>
                <w:sz w:val="24"/>
              </w:rPr>
              <w:t>废水为COD、NH</w:t>
            </w:r>
            <w:r>
              <w:rPr>
                <w:rFonts w:ascii="Times New Roman" w:hAnsi="Times New Roman"/>
                <w:color w:val="auto"/>
                <w:sz w:val="24"/>
                <w:vertAlign w:val="subscript"/>
              </w:rPr>
              <w:t>3</w:t>
            </w:r>
            <w:r>
              <w:rPr>
                <w:rFonts w:ascii="Times New Roman" w:hAnsi="Times New Roman"/>
                <w:color w:val="auto"/>
                <w:sz w:val="24"/>
              </w:rPr>
              <w:t>-N。COD：0.417t/a，NH</w:t>
            </w:r>
            <w:r>
              <w:rPr>
                <w:rFonts w:ascii="Times New Roman" w:hAnsi="Times New Roman"/>
                <w:color w:val="auto"/>
                <w:sz w:val="24"/>
                <w:vertAlign w:val="subscript"/>
              </w:rPr>
              <w:t>3</w:t>
            </w:r>
            <w:r>
              <w:rPr>
                <w:rFonts w:ascii="Times New Roman" w:hAnsi="Times New Roman"/>
                <w:color w:val="auto"/>
                <w:sz w:val="24"/>
              </w:rPr>
              <w:t>-N：0.023t/a</w:t>
            </w:r>
          </w:p>
        </w:tc>
      </w:tr>
    </w:tbl>
    <w:p>
      <w:pPr>
        <w:pStyle w:val="5"/>
        <w:rPr>
          <w:rFonts w:ascii="Times New Roman" w:hAnsi="Times New Roman"/>
          <w:color w:val="auto"/>
        </w:rPr>
      </w:pPr>
      <w:r>
        <w:rPr>
          <w:rFonts w:ascii="Times New Roman" w:hAnsi="Times New Roman"/>
          <w:color w:val="auto"/>
        </w:rPr>
        <w:br w:type="page"/>
      </w:r>
      <w:r>
        <w:rPr>
          <w:rFonts w:ascii="Times New Roman" w:hAnsi="Times New Roman"/>
          <w:color w:val="auto"/>
        </w:rPr>
        <w:t>建设项目工程分析</w:t>
      </w:r>
    </w:p>
    <w:tbl>
      <w:tblPr>
        <w:tblStyle w:val="26"/>
        <w:tblW w:w="94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trPr>
        <w:tc>
          <w:tcPr>
            <w:tcW w:w="9463"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Times New Roman" w:hAnsi="Times New Roman"/>
                <w:b/>
                <w:color w:val="auto"/>
                <w:sz w:val="24"/>
              </w:rPr>
            </w:pPr>
            <w:r>
              <w:rPr>
                <w:rFonts w:ascii="Times New Roman" w:hAnsi="Times New Roman"/>
                <w:b/>
                <w:color w:val="auto"/>
                <w:sz w:val="24"/>
              </w:rPr>
              <w:t>生产工艺流程简要说明或简图：</w:t>
            </w:r>
          </w:p>
          <w:p>
            <w:pPr>
              <w:adjustRightInd w:val="0"/>
              <w:snapToGrid w:val="0"/>
              <w:spacing w:line="360" w:lineRule="auto"/>
              <w:ind w:firstLine="482" w:firstLineChars="200"/>
              <w:rPr>
                <w:rFonts w:ascii="Times New Roman" w:hAnsi="Times New Roman"/>
                <w:b/>
                <w:color w:val="auto"/>
                <w:sz w:val="24"/>
              </w:rPr>
            </w:pPr>
            <w:r>
              <w:rPr>
                <w:rFonts w:ascii="Times New Roman" w:hAnsi="Times New Roman"/>
                <w:b/>
                <w:color w:val="auto"/>
                <w:sz w:val="24"/>
              </w:rPr>
              <w:t>施工期：</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（1）废气</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本工程施工期大气污染物主要为施工现场扬尘、道路运输扬尘、运输及动力设备运行产生的燃油废气。</w:t>
            </w:r>
          </w:p>
          <w:p>
            <w:pPr>
              <w:pStyle w:val="3"/>
              <w:spacing w:line="360" w:lineRule="auto"/>
              <w:ind w:firstLine="480" w:firstLineChars="200"/>
              <w:rPr>
                <w:rFonts w:ascii="Times New Roman" w:hAnsi="Times New Roman" w:eastAsia="宋体"/>
                <w:color w:val="auto"/>
                <w:sz w:val="24"/>
                <w:szCs w:val="24"/>
              </w:rPr>
            </w:pPr>
            <w:r>
              <w:rPr>
                <w:rFonts w:hint="eastAsia" w:ascii="宋体" w:hAnsi="宋体" w:eastAsia="宋体" w:cs="宋体"/>
                <w:color w:val="auto"/>
                <w:sz w:val="24"/>
                <w:szCs w:val="24"/>
              </w:rPr>
              <w:t>①</w:t>
            </w:r>
            <w:r>
              <w:rPr>
                <w:rFonts w:ascii="Times New Roman" w:hAnsi="Times New Roman" w:eastAsia="宋体"/>
                <w:color w:val="auto"/>
                <w:sz w:val="24"/>
                <w:szCs w:val="24"/>
              </w:rPr>
              <w:t>地面开挖、建筑材料堆放及运输车辆进出施工场地产生的扬尘。</w:t>
            </w:r>
          </w:p>
          <w:p>
            <w:pPr>
              <w:pStyle w:val="3"/>
              <w:spacing w:line="360" w:lineRule="auto"/>
              <w:ind w:firstLine="480" w:firstLineChars="200"/>
              <w:rPr>
                <w:rFonts w:ascii="Times New Roman" w:hAnsi="Times New Roman" w:eastAsia="宋体"/>
                <w:color w:val="auto"/>
                <w:sz w:val="24"/>
                <w:szCs w:val="24"/>
              </w:rPr>
            </w:pPr>
            <w:r>
              <w:rPr>
                <w:rFonts w:hint="eastAsia" w:ascii="宋体" w:hAnsi="宋体" w:eastAsia="宋体" w:cs="宋体"/>
                <w:color w:val="auto"/>
                <w:sz w:val="24"/>
                <w:szCs w:val="24"/>
              </w:rPr>
              <w:t>②</w:t>
            </w:r>
            <w:r>
              <w:rPr>
                <w:rFonts w:ascii="Times New Roman" w:hAnsi="Times New Roman" w:eastAsia="宋体"/>
                <w:color w:val="auto"/>
                <w:sz w:val="24"/>
                <w:szCs w:val="24"/>
              </w:rPr>
              <w:t>工程施工过程中各类燃油动力机械在挖方、填筑、清理、平整、运输等过程排放燃油废气，其主要污染物为CO、NO</w:t>
            </w:r>
            <w:r>
              <w:rPr>
                <w:rFonts w:ascii="Times New Roman" w:hAnsi="Times New Roman" w:eastAsia="宋体"/>
                <w:color w:val="auto"/>
                <w:sz w:val="24"/>
                <w:szCs w:val="24"/>
                <w:vertAlign w:val="subscript"/>
              </w:rPr>
              <w:t>X</w:t>
            </w:r>
            <w:r>
              <w:rPr>
                <w:rFonts w:ascii="Times New Roman" w:hAnsi="Times New Roman" w:eastAsia="宋体"/>
                <w:color w:val="auto"/>
                <w:sz w:val="24"/>
                <w:szCs w:val="24"/>
              </w:rPr>
              <w:t>和THC，其排放量较少有限，排放方式为间断散排。机动车辆污染物排放系数见表</w:t>
            </w:r>
          </w:p>
          <w:p>
            <w:pPr>
              <w:pStyle w:val="3"/>
              <w:spacing w:line="360" w:lineRule="auto"/>
              <w:ind w:firstLine="480" w:firstLineChars="200"/>
              <w:jc w:val="center"/>
              <w:rPr>
                <w:rFonts w:ascii="Times New Roman" w:hAnsi="Times New Roman" w:eastAsia="宋体"/>
                <w:color w:val="auto"/>
                <w:sz w:val="24"/>
                <w:szCs w:val="24"/>
              </w:rPr>
            </w:pPr>
            <w:r>
              <w:rPr>
                <w:rFonts w:ascii="Times New Roman" w:hAnsi="Times New Roman" w:eastAsia="宋体"/>
                <w:color w:val="auto"/>
                <w:sz w:val="24"/>
                <w:szCs w:val="24"/>
              </w:rPr>
              <w:t>表5-1  机动车辆污染物排放系数</w:t>
            </w:r>
          </w:p>
          <w:tbl>
            <w:tblPr>
              <w:tblStyle w:val="26"/>
              <w:tblW w:w="9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3"/>
              <w:gridCol w:w="2274"/>
              <w:gridCol w:w="2274"/>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vMerge w:val="restart"/>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污染物</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以汽油为燃料（g/L）</w:t>
                  </w:r>
                </w:p>
              </w:tc>
              <w:tc>
                <w:tcPr>
                  <w:tcW w:w="4548" w:type="dxa"/>
                  <w:gridSpan w:val="2"/>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以柴油为燃料（g/L）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vMerge w:val="continue"/>
                  <w:vAlign w:val="center"/>
                </w:tcPr>
                <w:p>
                  <w:pPr>
                    <w:pStyle w:val="3"/>
                    <w:jc w:val="center"/>
                    <w:rPr>
                      <w:rFonts w:ascii="Times New Roman" w:hAnsi="Times New Roman" w:eastAsia="宋体"/>
                      <w:color w:val="auto"/>
                      <w:sz w:val="21"/>
                      <w:szCs w:val="21"/>
                    </w:rPr>
                  </w:pP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小汽车</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载重车</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机车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CO</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169.0</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27.0</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NOx</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21.1</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44.4</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烃类</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33.3</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4.44</w:t>
                  </w:r>
                </w:p>
              </w:tc>
              <w:tc>
                <w:tcPr>
                  <w:tcW w:w="2274"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6.0</w:t>
                  </w:r>
                </w:p>
              </w:tc>
            </w:tr>
          </w:tbl>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以重型车为例，其额定燃油率为 30.19L/100km，按表上表机动车辆污染物排放系数测算，单车污染物平均排放量分别为：CO815.13g/100km，NOx1340.44g/100km，烃类物质134.0g/100km。施工人员拟租用附近民房和在其家中食宿，工地内不设施工人员食宿工棚，无油烟废气产生。</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（2）废水</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项目施工期产生的废水主要为施工过程施工废水、雨天地表径流和施工人员的生活污水。</w:t>
            </w:r>
          </w:p>
          <w:p>
            <w:pPr>
              <w:pStyle w:val="3"/>
              <w:spacing w:line="360" w:lineRule="auto"/>
              <w:ind w:firstLine="480" w:firstLineChars="200"/>
              <w:rPr>
                <w:rFonts w:ascii="Times New Roman" w:hAnsi="Times New Roman" w:eastAsia="宋体"/>
                <w:color w:val="auto"/>
                <w:sz w:val="24"/>
                <w:szCs w:val="24"/>
              </w:rPr>
            </w:pPr>
            <w:r>
              <w:rPr>
                <w:rFonts w:hint="eastAsia" w:ascii="宋体" w:hAnsi="宋体" w:eastAsia="宋体" w:cs="宋体"/>
                <w:color w:val="auto"/>
                <w:sz w:val="24"/>
                <w:szCs w:val="24"/>
              </w:rPr>
              <w:t>①</w:t>
            </w:r>
            <w:r>
              <w:rPr>
                <w:rFonts w:ascii="Times New Roman" w:hAnsi="Times New Roman" w:eastAsia="宋体"/>
                <w:color w:val="auto"/>
                <w:sz w:val="24"/>
                <w:szCs w:val="24"/>
              </w:rPr>
              <w:t>施工废水</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由于施工场内不设混凝土拌和站，使用商品混凝土，施工废水主要为混凝土养护废水、工具清洗废水等。项目施工废水不含有毒物质，主要是泥沙悬浮物含量较大。根据国内同类工程施工废水监测资料：混凝土养护废水悬浮物浓度约为 500mg/L-2000mg/L，pH 值9-12。施工过程中设备、工具清洗等产生的废水量小，主要污染物为悬浮物和石油类。在施工区分区设置临时沉淀池，处理后的废水可用于工具清洗和混凝土养护，沉淀废水全部回用施工过程和场地洒水抑尘，不外排。</w:t>
            </w:r>
          </w:p>
          <w:p>
            <w:pPr>
              <w:pStyle w:val="3"/>
              <w:spacing w:line="360" w:lineRule="auto"/>
              <w:ind w:firstLine="480" w:firstLineChars="200"/>
              <w:rPr>
                <w:rFonts w:ascii="Times New Roman" w:hAnsi="Times New Roman" w:eastAsia="宋体"/>
                <w:color w:val="auto"/>
                <w:sz w:val="24"/>
                <w:szCs w:val="24"/>
              </w:rPr>
            </w:pPr>
            <w:r>
              <w:rPr>
                <w:rFonts w:hint="eastAsia" w:ascii="宋体" w:hAnsi="宋体" w:eastAsia="宋体" w:cs="宋体"/>
                <w:color w:val="auto"/>
                <w:sz w:val="24"/>
                <w:szCs w:val="24"/>
              </w:rPr>
              <w:t>②</w:t>
            </w:r>
            <w:r>
              <w:rPr>
                <w:rFonts w:ascii="Times New Roman" w:hAnsi="Times New Roman" w:eastAsia="宋体"/>
                <w:color w:val="auto"/>
                <w:sz w:val="24"/>
                <w:szCs w:val="24"/>
              </w:rPr>
              <w:t>雨天地表径流</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 xml:space="preserve">项目施工过程中会遇见雨天，雨水形成地表径流冲刷浮土、建筑砂石等形成的泥浆水，会携带大量泥沙、水泥、少量油类及其它地表固体污染物，其中 SS 浓度为 200～500mg/L左右。施工期间根据实际情况修筑沉淀池，区域内由自然降雨产生的地表径流经区域内临时排水沟渠或管引入临时沉淀池，经沉淀处理后回用于施工过程。 </w:t>
            </w:r>
          </w:p>
          <w:p>
            <w:pPr>
              <w:pStyle w:val="3"/>
              <w:spacing w:line="360" w:lineRule="auto"/>
              <w:ind w:firstLine="480" w:firstLineChars="200"/>
              <w:rPr>
                <w:rFonts w:ascii="Times New Roman" w:hAnsi="Times New Roman" w:eastAsia="宋体"/>
                <w:color w:val="auto"/>
                <w:sz w:val="24"/>
                <w:szCs w:val="24"/>
              </w:rPr>
            </w:pPr>
            <w:r>
              <w:rPr>
                <w:rFonts w:hint="eastAsia" w:ascii="宋体" w:hAnsi="宋体" w:eastAsia="宋体" w:cs="宋体"/>
                <w:color w:val="auto"/>
                <w:sz w:val="24"/>
                <w:szCs w:val="24"/>
              </w:rPr>
              <w:t>③</w:t>
            </w:r>
            <w:r>
              <w:rPr>
                <w:rFonts w:ascii="Times New Roman" w:hAnsi="Times New Roman" w:eastAsia="宋体"/>
                <w:color w:val="auto"/>
                <w:sz w:val="24"/>
                <w:szCs w:val="24"/>
              </w:rPr>
              <w:t>施工生活污水</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施工人员的生活污水主要污染物为CODCr、BOD</w:t>
            </w:r>
            <w:r>
              <w:rPr>
                <w:rFonts w:ascii="Times New Roman" w:hAnsi="Times New Roman" w:eastAsia="宋体"/>
                <w:color w:val="auto"/>
                <w:sz w:val="24"/>
                <w:szCs w:val="24"/>
                <w:vertAlign w:val="subscript"/>
              </w:rPr>
              <w:t>5</w:t>
            </w:r>
            <w:r>
              <w:rPr>
                <w:rFonts w:ascii="Times New Roman" w:hAnsi="Times New Roman" w:eastAsia="宋体"/>
                <w:color w:val="auto"/>
                <w:sz w:val="24"/>
                <w:szCs w:val="24"/>
              </w:rPr>
              <w:t>、SS、NH</w:t>
            </w:r>
            <w:r>
              <w:rPr>
                <w:rFonts w:ascii="Times New Roman" w:hAnsi="Times New Roman" w:eastAsia="宋体"/>
                <w:color w:val="auto"/>
                <w:sz w:val="24"/>
                <w:szCs w:val="24"/>
                <w:vertAlign w:val="subscript"/>
              </w:rPr>
              <w:t>3</w:t>
            </w:r>
            <w:r>
              <w:rPr>
                <w:rFonts w:ascii="Times New Roman" w:hAnsi="Times New Roman" w:eastAsia="宋体"/>
                <w:color w:val="auto"/>
                <w:sz w:val="24"/>
                <w:szCs w:val="24"/>
              </w:rPr>
              <w:t>-N等；施工人数按5人计，用水量按每人每天20L计，施工期30天，施工人员用水量为3t；排水按用水量80%计，则生活污水产生总量为2.4t，各污染物浓度为CODCr450mg/L、BOD</w:t>
            </w:r>
            <w:r>
              <w:rPr>
                <w:rFonts w:ascii="Times New Roman" w:hAnsi="Times New Roman" w:eastAsia="宋体"/>
                <w:color w:val="auto"/>
                <w:sz w:val="24"/>
                <w:szCs w:val="24"/>
                <w:vertAlign w:val="subscript"/>
              </w:rPr>
              <w:t>5</w:t>
            </w:r>
            <w:r>
              <w:rPr>
                <w:rFonts w:ascii="Times New Roman" w:hAnsi="Times New Roman" w:eastAsia="宋体"/>
                <w:color w:val="auto"/>
                <w:sz w:val="24"/>
                <w:szCs w:val="24"/>
              </w:rPr>
              <w:t>250mg/L、SS200mg/L、氨氮30mg/L，各污染物的产生量分别为0.001t、0.0006t、0.0005t、0.00006t</w:t>
            </w:r>
            <w:r>
              <w:rPr>
                <w:rFonts w:hint="eastAsia" w:ascii="Times New Roman" w:hAnsi="Times New Roman" w:eastAsia="宋体"/>
                <w:color w:val="auto"/>
                <w:sz w:val="24"/>
                <w:szCs w:val="24"/>
              </w:rPr>
              <w:t>，厂区设置一座旱厕（运营期沿用）</w:t>
            </w:r>
            <w:r>
              <w:rPr>
                <w:rFonts w:ascii="Times New Roman" w:hAnsi="Times New Roman" w:eastAsia="宋体"/>
                <w:color w:val="auto"/>
                <w:sz w:val="24"/>
                <w:szCs w:val="24"/>
              </w:rPr>
              <w:t>。</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（3）噪声</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施工期噪声主要为各类机械设备噪声及物料运输产生的交通噪声。机械设备噪声：推土机、挖掘机、装载机、压路机等高噪声设备，机械运行时噪声级在80～90dB（A）。</w:t>
            </w:r>
          </w:p>
          <w:p>
            <w:pPr>
              <w:pStyle w:val="3"/>
              <w:spacing w:line="360" w:lineRule="auto"/>
              <w:ind w:left="420" w:leftChars="200"/>
              <w:rPr>
                <w:rFonts w:ascii="Times New Roman" w:hAnsi="Times New Roman" w:eastAsia="宋体"/>
                <w:color w:val="auto"/>
                <w:sz w:val="24"/>
                <w:szCs w:val="24"/>
              </w:rPr>
            </w:pPr>
            <w:r>
              <w:rPr>
                <w:rFonts w:ascii="Times New Roman" w:hAnsi="Times New Roman" w:eastAsia="宋体"/>
                <w:color w:val="auto"/>
                <w:sz w:val="24"/>
                <w:szCs w:val="24"/>
              </w:rPr>
              <w:t>（4）固体废物</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项目施工期主要固体废弃物为项目工程建设产生的建筑垃圾、施工人员产生的生活垃圾和废弃土石方。</w:t>
            </w:r>
          </w:p>
          <w:p>
            <w:pPr>
              <w:pStyle w:val="3"/>
              <w:spacing w:line="360" w:lineRule="auto"/>
              <w:ind w:firstLine="480" w:firstLineChars="200"/>
              <w:rPr>
                <w:rFonts w:ascii="Times New Roman" w:hAnsi="Times New Roman" w:eastAsia="宋体"/>
                <w:color w:val="auto"/>
                <w:sz w:val="24"/>
                <w:szCs w:val="24"/>
              </w:rPr>
            </w:pPr>
            <w:r>
              <w:rPr>
                <w:rFonts w:hint="eastAsia" w:ascii="宋体" w:hAnsi="宋体" w:eastAsia="宋体" w:cs="宋体"/>
                <w:color w:val="auto"/>
                <w:sz w:val="24"/>
                <w:szCs w:val="24"/>
              </w:rPr>
              <w:t>①</w:t>
            </w:r>
            <w:r>
              <w:rPr>
                <w:rFonts w:ascii="Times New Roman" w:hAnsi="Times New Roman" w:eastAsia="宋体"/>
                <w:color w:val="auto"/>
                <w:sz w:val="24"/>
                <w:szCs w:val="24"/>
              </w:rPr>
              <w:t>建筑垃圾</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项目各建设所产生的建筑垃圾，采用如下模型进行预测：</w:t>
            </w:r>
          </w:p>
          <w:p>
            <w:pPr>
              <w:pStyle w:val="3"/>
              <w:spacing w:line="360" w:lineRule="auto"/>
              <w:ind w:firstLine="480" w:firstLineChars="200"/>
              <w:jc w:val="center"/>
              <w:rPr>
                <w:rFonts w:ascii="Times New Roman" w:hAnsi="Times New Roman" w:eastAsia="宋体"/>
                <w:color w:val="auto"/>
                <w:sz w:val="24"/>
                <w:szCs w:val="24"/>
              </w:rPr>
            </w:pPr>
            <w:r>
              <w:rPr>
                <w:rFonts w:ascii="Times New Roman" w:hAnsi="Times New Roman" w:eastAsia="宋体"/>
                <w:color w:val="auto"/>
                <w:sz w:val="24"/>
                <w:szCs w:val="24"/>
              </w:rPr>
              <w:t>Js=Qs×Cs</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式中：Js—建筑垃圾产生量（吨/年），</w:t>
            </w:r>
          </w:p>
          <w:p>
            <w:pPr>
              <w:pStyle w:val="3"/>
              <w:spacing w:line="360" w:lineRule="auto"/>
              <w:ind w:firstLine="1200" w:firstLineChars="500"/>
              <w:rPr>
                <w:rFonts w:ascii="Times New Roman" w:hAnsi="Times New Roman" w:eastAsia="宋体"/>
                <w:color w:val="auto"/>
                <w:sz w:val="24"/>
                <w:szCs w:val="24"/>
              </w:rPr>
            </w:pPr>
            <w:r>
              <w:rPr>
                <w:rFonts w:ascii="Times New Roman" w:hAnsi="Times New Roman" w:eastAsia="宋体"/>
                <w:color w:val="auto"/>
                <w:sz w:val="24"/>
                <w:szCs w:val="24"/>
              </w:rPr>
              <w:t>Qs—建筑面积（m</w:t>
            </w:r>
            <w:r>
              <w:rPr>
                <w:rFonts w:ascii="Times New Roman" w:hAnsi="Times New Roman" w:eastAsia="宋体"/>
                <w:color w:val="auto"/>
                <w:sz w:val="24"/>
                <w:szCs w:val="24"/>
                <w:vertAlign w:val="superscript"/>
              </w:rPr>
              <w:t>2</w:t>
            </w:r>
            <w:r>
              <w:rPr>
                <w:rFonts w:ascii="Times New Roman" w:hAnsi="Times New Roman" w:eastAsia="宋体"/>
                <w:color w:val="auto"/>
                <w:sz w:val="24"/>
                <w:szCs w:val="24"/>
              </w:rPr>
              <w:t>），</w:t>
            </w:r>
          </w:p>
          <w:p>
            <w:pPr>
              <w:pStyle w:val="3"/>
              <w:spacing w:line="360" w:lineRule="auto"/>
              <w:ind w:firstLine="1200" w:firstLineChars="500"/>
              <w:rPr>
                <w:rFonts w:ascii="Times New Roman" w:hAnsi="Times New Roman" w:eastAsia="宋体"/>
                <w:color w:val="auto"/>
                <w:sz w:val="24"/>
                <w:szCs w:val="24"/>
              </w:rPr>
            </w:pPr>
            <w:r>
              <w:rPr>
                <w:rFonts w:ascii="Times New Roman" w:hAnsi="Times New Roman" w:eastAsia="宋体"/>
                <w:color w:val="auto"/>
                <w:sz w:val="24"/>
                <w:szCs w:val="24"/>
              </w:rPr>
              <w:t>Cs—平均每平方米建筑面积垃圾产生量（吨/年·m</w:t>
            </w:r>
            <w:r>
              <w:rPr>
                <w:rFonts w:ascii="Times New Roman" w:hAnsi="Times New Roman" w:eastAsia="宋体"/>
                <w:color w:val="auto"/>
                <w:sz w:val="24"/>
                <w:szCs w:val="24"/>
                <w:vertAlign w:val="superscript"/>
              </w:rPr>
              <w:t>2</w:t>
            </w:r>
            <w:r>
              <w:rPr>
                <w:rFonts w:ascii="Times New Roman" w:hAnsi="Times New Roman" w:eastAsia="宋体"/>
                <w:color w:val="auto"/>
                <w:sz w:val="24"/>
                <w:szCs w:val="24"/>
              </w:rPr>
              <w:t>）。</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由于建筑过程中固体废弃物的产生量与施工水平、建筑类型等多种因素有关，该系数取值在 0.5～1.0t/（m</w:t>
            </w:r>
            <w:r>
              <w:rPr>
                <w:rFonts w:ascii="Times New Roman" w:hAnsi="Times New Roman" w:eastAsia="宋体"/>
                <w:color w:val="auto"/>
                <w:sz w:val="24"/>
                <w:szCs w:val="24"/>
                <w:vertAlign w:val="superscript"/>
              </w:rPr>
              <w:t>2</w:t>
            </w:r>
            <w:r>
              <w:rPr>
                <w:rFonts w:ascii="Times New Roman" w:hAnsi="Times New Roman" w:eastAsia="宋体"/>
                <w:color w:val="auto"/>
                <w:sz w:val="24"/>
                <w:szCs w:val="24"/>
              </w:rPr>
              <w:t>·a）之间，本评价按 0.75t（m</w:t>
            </w:r>
            <w:r>
              <w:rPr>
                <w:rFonts w:ascii="Times New Roman" w:hAnsi="Times New Roman" w:eastAsia="宋体"/>
                <w:color w:val="auto"/>
                <w:sz w:val="24"/>
                <w:szCs w:val="24"/>
                <w:vertAlign w:val="superscript"/>
              </w:rPr>
              <w:t>2</w:t>
            </w:r>
            <w:r>
              <w:rPr>
                <w:rFonts w:ascii="Times New Roman" w:hAnsi="Times New Roman" w:eastAsia="宋体"/>
                <w:color w:val="auto"/>
                <w:sz w:val="24"/>
                <w:szCs w:val="24"/>
              </w:rPr>
              <w:t>·a）的建筑垃圾进行估算，项目工程总建筑面积为 113m</w:t>
            </w:r>
            <w:r>
              <w:rPr>
                <w:rFonts w:ascii="Times New Roman" w:hAnsi="Times New Roman" w:eastAsia="宋体"/>
                <w:color w:val="auto"/>
                <w:sz w:val="24"/>
                <w:szCs w:val="24"/>
                <w:vertAlign w:val="superscript"/>
              </w:rPr>
              <w:t>2</w:t>
            </w:r>
            <w:r>
              <w:rPr>
                <w:rFonts w:ascii="Times New Roman" w:hAnsi="Times New Roman" w:eastAsia="宋体"/>
                <w:color w:val="auto"/>
                <w:sz w:val="24"/>
                <w:szCs w:val="24"/>
              </w:rPr>
              <w:t>，工程产生的建筑垃圾为 84.75t。</w:t>
            </w:r>
          </w:p>
          <w:p>
            <w:pPr>
              <w:pStyle w:val="3"/>
              <w:spacing w:line="360" w:lineRule="auto"/>
              <w:ind w:firstLine="480" w:firstLineChars="200"/>
              <w:rPr>
                <w:rFonts w:ascii="Times New Roman" w:hAnsi="Times New Roman" w:eastAsia="宋体"/>
                <w:color w:val="auto"/>
                <w:sz w:val="24"/>
                <w:szCs w:val="24"/>
              </w:rPr>
            </w:pPr>
            <w:r>
              <w:rPr>
                <w:rFonts w:hint="eastAsia" w:ascii="宋体" w:hAnsi="宋体" w:eastAsia="宋体" w:cs="宋体"/>
                <w:color w:val="auto"/>
                <w:sz w:val="24"/>
                <w:szCs w:val="24"/>
              </w:rPr>
              <w:t>②</w:t>
            </w:r>
            <w:r>
              <w:rPr>
                <w:rFonts w:ascii="Times New Roman" w:hAnsi="Times New Roman" w:eastAsia="宋体"/>
                <w:color w:val="auto"/>
                <w:sz w:val="24"/>
                <w:szCs w:val="24"/>
              </w:rPr>
              <w:t>生活垃圾</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施工人员产生的生活垃圾按0.5kg/人.d计算，施工人数按5人计，生活垃圾产生量共计约2.5kg。</w:t>
            </w:r>
          </w:p>
          <w:p>
            <w:pPr>
              <w:pStyle w:val="3"/>
              <w:spacing w:line="360" w:lineRule="auto"/>
              <w:ind w:firstLine="480" w:firstLineChars="200"/>
              <w:rPr>
                <w:rFonts w:ascii="Times New Roman" w:hAnsi="Times New Roman" w:eastAsia="宋体"/>
                <w:color w:val="auto"/>
                <w:sz w:val="24"/>
                <w:szCs w:val="24"/>
                <w:highlight w:val="yellow"/>
              </w:rPr>
            </w:pPr>
            <w:r>
              <w:rPr>
                <w:rFonts w:hint="eastAsia" w:ascii="宋体" w:hAnsi="宋体" w:eastAsia="宋体" w:cs="宋体"/>
                <w:color w:val="auto"/>
                <w:sz w:val="24"/>
                <w:szCs w:val="24"/>
                <w:highlight w:val="yellow"/>
              </w:rPr>
              <w:t>③</w:t>
            </w:r>
            <w:r>
              <w:rPr>
                <w:rFonts w:ascii="Times New Roman" w:hAnsi="Times New Roman" w:eastAsia="宋体"/>
                <w:color w:val="auto"/>
                <w:sz w:val="24"/>
                <w:szCs w:val="24"/>
                <w:highlight w:val="yellow"/>
              </w:rPr>
              <w:t>废弃土石方</w:t>
            </w:r>
          </w:p>
          <w:p>
            <w:pPr>
              <w:pStyle w:val="37"/>
              <w:spacing w:line="360" w:lineRule="auto"/>
              <w:ind w:firstLine="480" w:firstLineChars="200"/>
              <w:rPr>
                <w:rFonts w:ascii="Times New Roman"/>
                <w:color w:val="auto"/>
              </w:rPr>
            </w:pPr>
            <w:r>
              <w:rPr>
                <w:rFonts w:ascii="Times New Roman"/>
                <w:color w:val="auto"/>
                <w:highlight w:val="yellow"/>
              </w:rPr>
              <w:t>根据生产工艺及现场情况，本项目不</w:t>
            </w:r>
            <w:r>
              <w:rPr>
                <w:rFonts w:ascii="Times New Roman"/>
                <w:color w:val="auto"/>
              </w:rPr>
              <w:t>进行挖填作业，仅为场地平整，产生的废弃土石方量很小。新建项目建筑面积为113平方米，东西长15米，南北宽19.66米。基坑上口四周向外扩展0.5m，挖深为0.5m，则挖方基坑开挖量：</w:t>
            </w:r>
          </w:p>
          <w:p>
            <w:pPr>
              <w:pStyle w:val="37"/>
              <w:spacing w:line="360" w:lineRule="auto"/>
              <w:ind w:firstLine="480" w:firstLineChars="200"/>
              <w:rPr>
                <w:rFonts w:ascii="Times New Roman"/>
                <w:color w:val="auto"/>
              </w:rPr>
            </w:pPr>
            <w:r>
              <w:rPr>
                <w:rFonts w:ascii="Times New Roman"/>
                <w:color w:val="auto"/>
                <w:position w:val="-24"/>
              </w:rPr>
              <w:object>
                <v:shape id="_x0000_i1033" o:spt="75" type="#_x0000_t75" style="height:30.75pt;width:195pt;" o:ole="t" filled="f" o:preferrelative="t" stroked="f" coordsize="21600,21600">
                  <v:path/>
                  <v:fill on="f" focussize="0,0"/>
                  <v:stroke on="f" joinstyle="miter"/>
                  <v:imagedata r:id="rId16" o:title=""/>
                  <o:lock v:ext="edit" aspectratio="t"/>
                  <w10:wrap type="none"/>
                  <w10:anchorlock/>
                </v:shape>
                <o:OLEObject Type="Embed" ProgID="Equation.3" ShapeID="_x0000_i1033" DrawAspect="Content" ObjectID="_1468075726" r:id="rId15">
                  <o:LockedField>false</o:LockedField>
                </o:OLEObject>
              </w:object>
            </w:r>
          </w:p>
          <w:p>
            <w:pPr>
              <w:pStyle w:val="37"/>
              <w:spacing w:line="360" w:lineRule="auto"/>
              <w:ind w:firstLine="480" w:firstLineChars="200"/>
              <w:rPr>
                <w:rFonts w:ascii="Times New Roman"/>
                <w:color w:val="auto"/>
              </w:rPr>
            </w:pPr>
            <w:r>
              <w:rPr>
                <w:rFonts w:ascii="Times New Roman"/>
                <w:color w:val="auto"/>
              </w:rPr>
              <w:t>式中：V——基坑体积；</w:t>
            </w:r>
          </w:p>
          <w:p>
            <w:pPr>
              <w:pStyle w:val="37"/>
              <w:spacing w:line="360" w:lineRule="auto"/>
              <w:ind w:firstLine="480" w:firstLineChars="200"/>
              <w:rPr>
                <w:rFonts w:ascii="Times New Roman"/>
                <w:color w:val="auto"/>
              </w:rPr>
            </w:pPr>
            <w:r>
              <w:rPr>
                <w:rFonts w:ascii="Times New Roman"/>
                <w:color w:val="auto"/>
              </w:rPr>
              <w:t>A——基坑上口长度；</w:t>
            </w:r>
          </w:p>
          <w:p>
            <w:pPr>
              <w:pStyle w:val="37"/>
              <w:spacing w:line="360" w:lineRule="auto"/>
              <w:ind w:firstLine="480" w:firstLineChars="200"/>
              <w:rPr>
                <w:rFonts w:ascii="Times New Roman"/>
                <w:color w:val="auto"/>
              </w:rPr>
            </w:pPr>
            <w:r>
              <w:rPr>
                <w:rFonts w:ascii="Times New Roman"/>
                <w:color w:val="auto"/>
              </w:rPr>
              <w:t>a——基坑底面长度；</w:t>
            </w:r>
          </w:p>
          <w:p>
            <w:pPr>
              <w:pStyle w:val="37"/>
              <w:spacing w:line="360" w:lineRule="auto"/>
              <w:ind w:firstLine="480" w:firstLineChars="200"/>
              <w:rPr>
                <w:rFonts w:ascii="Times New Roman"/>
                <w:color w:val="auto"/>
              </w:rPr>
            </w:pPr>
            <w:r>
              <w:rPr>
                <w:rFonts w:ascii="Times New Roman"/>
                <w:color w:val="auto"/>
              </w:rPr>
              <w:t>B——基坑上口宽度；</w:t>
            </w:r>
          </w:p>
          <w:p>
            <w:pPr>
              <w:pStyle w:val="37"/>
              <w:spacing w:line="360" w:lineRule="auto"/>
              <w:ind w:firstLine="480" w:firstLineChars="200"/>
              <w:rPr>
                <w:rFonts w:ascii="Times New Roman"/>
                <w:color w:val="auto"/>
              </w:rPr>
            </w:pPr>
            <w:r>
              <w:rPr>
                <w:rFonts w:ascii="Times New Roman"/>
                <w:color w:val="auto"/>
              </w:rPr>
              <w:t>H——基坑深度；</w:t>
            </w:r>
          </w:p>
          <w:p>
            <w:pPr>
              <w:pStyle w:val="37"/>
              <w:spacing w:line="360" w:lineRule="auto"/>
              <w:ind w:firstLine="480" w:firstLineChars="200"/>
              <w:rPr>
                <w:rFonts w:ascii="Times New Roman"/>
                <w:color w:val="auto"/>
              </w:rPr>
            </w:pPr>
            <w:r>
              <w:rPr>
                <w:rFonts w:ascii="Times New Roman"/>
                <w:color w:val="auto"/>
              </w:rPr>
              <w:t>b——基坑底面宽度。</w:t>
            </w:r>
          </w:p>
          <w:p>
            <w:pPr>
              <w:pStyle w:val="37"/>
              <w:spacing w:line="360" w:lineRule="auto"/>
              <w:ind w:firstLine="480" w:firstLineChars="200"/>
              <w:rPr>
                <w:rFonts w:ascii="Times New Roman"/>
                <w:b/>
                <w:bCs/>
                <w:color w:val="auto"/>
                <w:kern w:val="24"/>
                <w:sz w:val="21"/>
                <w:szCs w:val="21"/>
              </w:rPr>
            </w:pPr>
            <w:r>
              <w:rPr>
                <w:rFonts w:ascii="Times New Roman"/>
                <w:color w:val="auto"/>
              </w:rPr>
              <w:t>根据上述公式，开挖量为151.8m</w:t>
            </w:r>
            <w:r>
              <w:rPr>
                <w:rFonts w:ascii="Times New Roman"/>
                <w:color w:val="auto"/>
                <w:vertAlign w:val="superscript"/>
              </w:rPr>
              <w:t>3</w:t>
            </w:r>
            <w:r>
              <w:rPr>
                <w:rFonts w:ascii="Times New Roman"/>
                <w:color w:val="auto"/>
              </w:rPr>
              <w:t>，挖地槽原土回填的工程量，可按地槽挖土工程量乘以系数0.6计算，则回填量为91.08m</w:t>
            </w:r>
            <w:r>
              <w:rPr>
                <w:rFonts w:ascii="Times New Roman"/>
                <w:color w:val="auto"/>
                <w:vertAlign w:val="superscript"/>
              </w:rPr>
              <w:t>3</w:t>
            </w:r>
            <w:r>
              <w:rPr>
                <w:rFonts w:ascii="Times New Roman"/>
                <w:color w:val="auto"/>
              </w:rPr>
              <w:t>，剩余为弃方量为60.72m</w:t>
            </w:r>
            <w:r>
              <w:rPr>
                <w:rFonts w:ascii="Times New Roman"/>
                <w:color w:val="auto"/>
                <w:vertAlign w:val="superscript"/>
              </w:rPr>
              <w:t>3</w:t>
            </w:r>
            <w:r>
              <w:rPr>
                <w:rFonts w:ascii="Times New Roman"/>
                <w:color w:val="auto"/>
              </w:rPr>
              <w:t>。</w:t>
            </w:r>
          </w:p>
          <w:p>
            <w:pPr>
              <w:pStyle w:val="3"/>
              <w:spacing w:line="360" w:lineRule="auto"/>
              <w:ind w:firstLine="480" w:firstLineChars="200"/>
              <w:jc w:val="center"/>
              <w:rPr>
                <w:rFonts w:ascii="Times New Roman" w:hAnsi="Times New Roman" w:eastAsia="宋体"/>
                <w:color w:val="auto"/>
                <w:sz w:val="24"/>
                <w:szCs w:val="24"/>
              </w:rPr>
            </w:pPr>
            <w:r>
              <w:rPr>
                <w:rFonts w:ascii="Times New Roman" w:hAnsi="Times New Roman" w:eastAsia="宋体"/>
                <w:color w:val="auto"/>
                <w:sz w:val="24"/>
                <w:szCs w:val="24"/>
              </w:rPr>
              <w:t>表5-2  土石方平衡一览表  单位：m</w:t>
            </w:r>
            <w:r>
              <w:rPr>
                <w:rFonts w:ascii="Times New Roman" w:hAnsi="Times New Roman" w:eastAsia="宋体"/>
                <w:color w:val="auto"/>
                <w:sz w:val="24"/>
                <w:szCs w:val="24"/>
                <w:vertAlign w:val="superscript"/>
              </w:rPr>
              <w:t>3</w:t>
            </w:r>
          </w:p>
          <w:tbl>
            <w:tblPr>
              <w:tblStyle w:val="26"/>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3080"/>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7"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挖方</w:t>
                  </w:r>
                </w:p>
              </w:tc>
              <w:tc>
                <w:tcPr>
                  <w:tcW w:w="3080"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填方</w:t>
                  </w:r>
                </w:p>
              </w:tc>
              <w:tc>
                <w:tcPr>
                  <w:tcW w:w="3080"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7"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151.8</w:t>
                  </w:r>
                </w:p>
              </w:tc>
              <w:tc>
                <w:tcPr>
                  <w:tcW w:w="3080"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91.08</w:t>
                  </w:r>
                </w:p>
              </w:tc>
              <w:tc>
                <w:tcPr>
                  <w:tcW w:w="3080" w:type="dxa"/>
                  <w:vAlign w:val="center"/>
                </w:tcPr>
                <w:p>
                  <w:pPr>
                    <w:pStyle w:val="3"/>
                    <w:jc w:val="center"/>
                    <w:rPr>
                      <w:rFonts w:ascii="Times New Roman" w:hAnsi="Times New Roman" w:eastAsia="宋体"/>
                      <w:color w:val="auto"/>
                      <w:sz w:val="21"/>
                      <w:szCs w:val="21"/>
                    </w:rPr>
                  </w:pPr>
                  <w:r>
                    <w:rPr>
                      <w:rFonts w:ascii="Times New Roman" w:hAnsi="Times New Roman" w:eastAsia="宋体"/>
                      <w:color w:val="auto"/>
                      <w:sz w:val="21"/>
                      <w:szCs w:val="21"/>
                    </w:rPr>
                    <w:t>60.72</w:t>
                  </w:r>
                </w:p>
              </w:tc>
            </w:tr>
          </w:tbl>
          <w:p>
            <w:pPr>
              <w:pStyle w:val="3"/>
              <w:spacing w:line="360" w:lineRule="auto"/>
              <w:jc w:val="center"/>
              <w:rPr>
                <w:rFonts w:ascii="Times New Roman" w:hAnsi="Times New Roman"/>
                <w:color w:val="auto"/>
              </w:rPr>
            </w:pPr>
            <w:r>
              <w:rPr>
                <w:rFonts w:ascii="Times New Roman" w:hAnsi="Times New Roman"/>
                <w:color w:val="auto"/>
              </w:rPr>
              <w:object>
                <v:shape id="_x0000_i1034" o:spt="75" type="#_x0000_t75" style="height:90pt;width:199.5pt;" o:ole="t" filled="f" o:preferrelative="t" stroked="f" coordsize="21600,21600">
                  <v:path/>
                  <v:fill on="f" focussize="0,0"/>
                  <v:stroke on="f" joinstyle="miter"/>
                  <v:imagedata r:id="rId18" o:title=""/>
                  <o:lock v:ext="edit" aspectratio="t"/>
                  <w10:wrap type="none"/>
                  <w10:anchorlock/>
                </v:shape>
                <o:OLEObject Type="Embed" ProgID="Visio.Drawing.11" ShapeID="_x0000_i1034" DrawAspect="Content" ObjectID="_1468075727" r:id="rId17">
                  <o:LockedField>false</o:LockedField>
                </o:OLEObject>
              </w:object>
            </w:r>
          </w:p>
          <w:p>
            <w:pPr>
              <w:pStyle w:val="37"/>
              <w:spacing w:line="360" w:lineRule="auto"/>
              <w:ind w:firstLine="480" w:firstLineChars="200"/>
              <w:jc w:val="center"/>
              <w:rPr>
                <w:rFonts w:ascii="Times New Roman"/>
                <w:color w:val="auto"/>
              </w:rPr>
            </w:pPr>
            <w:r>
              <w:rPr>
                <w:rFonts w:ascii="Times New Roman"/>
                <w:color w:val="auto"/>
              </w:rPr>
              <w:t>图5-1 土石方平衡图  单位：m3</w:t>
            </w:r>
          </w:p>
          <w:p>
            <w:pPr>
              <w:pStyle w:val="37"/>
              <w:spacing w:line="360" w:lineRule="auto"/>
              <w:ind w:firstLine="480" w:firstLineChars="200"/>
              <w:rPr>
                <w:rFonts w:ascii="Times New Roman"/>
                <w:color w:val="auto"/>
              </w:rPr>
            </w:pPr>
            <w:r>
              <w:rPr>
                <w:rFonts w:ascii="Times New Roman"/>
                <w:color w:val="auto"/>
              </w:rPr>
              <w:t>（5）生态环境</w:t>
            </w:r>
          </w:p>
          <w:p>
            <w:pPr>
              <w:pStyle w:val="3"/>
              <w:spacing w:line="360" w:lineRule="auto"/>
              <w:ind w:firstLine="480" w:firstLineChars="200"/>
              <w:rPr>
                <w:rFonts w:ascii="Times New Roman" w:hAnsi="Times New Roman"/>
                <w:color w:val="auto"/>
              </w:rPr>
            </w:pPr>
            <w:r>
              <w:rPr>
                <w:rFonts w:ascii="Times New Roman" w:hAnsi="Times New Roman" w:eastAsia="宋体"/>
                <w:color w:val="auto"/>
                <w:sz w:val="24"/>
                <w:szCs w:val="24"/>
              </w:rPr>
              <w:t>本项目工程主要在现有空地建设中转站压缩车间及附属用房，对沿线植被破坏较小，对生态环境影响较小。施工过程中沟槽开挖、土方堆放以及建筑材料堆放，在降雨时可能会产生一定量的水土流失。但这种影响是暂时的，工程竣工后，水土流失得以消除。</w:t>
            </w:r>
          </w:p>
          <w:p>
            <w:pPr>
              <w:adjustRightInd w:val="0"/>
              <w:snapToGrid w:val="0"/>
              <w:spacing w:line="360" w:lineRule="auto"/>
              <w:ind w:firstLine="482" w:firstLineChars="200"/>
              <w:rPr>
                <w:rFonts w:ascii="Times New Roman" w:hAnsi="Times New Roman"/>
                <w:b/>
                <w:color w:val="auto"/>
                <w:sz w:val="24"/>
              </w:rPr>
            </w:pPr>
            <w:r>
              <w:rPr>
                <w:rFonts w:ascii="Times New Roman" w:hAnsi="Times New Roman"/>
                <w:b/>
                <w:color w:val="auto"/>
                <w:sz w:val="24"/>
              </w:rPr>
              <w:t>营运期：</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根据《生活垃圾转运站技术规范》（CJJ-T-47-2016），本项目垃圾转运站属小型</w:t>
            </w:r>
            <w:r>
              <w:rPr>
                <w:rFonts w:hint="eastAsia" w:ascii="宋体" w:hAnsi="宋体" w:cs="宋体"/>
                <w:color w:val="auto"/>
                <w:sz w:val="24"/>
              </w:rPr>
              <w:t>Ⅴ</w:t>
            </w:r>
            <w:r>
              <w:rPr>
                <w:rFonts w:ascii="Times New Roman" w:hAnsi="Times New Roman"/>
                <w:color w:val="auto"/>
                <w:sz w:val="24"/>
              </w:rPr>
              <w:t>类生活垃圾转运设施，设计规模 4t/d，服务范围为九岘乡用于鲁甲村、北庄村、九岘村、马洼村及九岘乡镇街道生活垃圾的集中与周转，项目收运的生活垃圾不得混入工业固废、医疗废物和国家规定的其它危险废物。</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1、工艺流程图</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项目生产工艺流程及污染环节见下图。</w:t>
            </w:r>
          </w:p>
          <w:p>
            <w:pPr>
              <w:jc w:val="center"/>
              <w:rPr>
                <w:rFonts w:ascii="Times New Roman" w:hAnsi="Times New Roman"/>
                <w:color w:val="auto"/>
              </w:rPr>
            </w:pPr>
            <w:r>
              <w:rPr>
                <w:rFonts w:ascii="Times New Roman" w:hAnsi="Times New Roman"/>
                <w:color w:val="auto"/>
              </w:rPr>
              <w:object>
                <v:shape id="_x0000_i1035" o:spt="75" type="#_x0000_t75" style="height:317.25pt;width:337.5pt;" o:ole="t" filled="f" o:preferrelative="t" stroked="f" coordsize="21600,21600">
                  <v:path/>
                  <v:fill on="f" focussize="0,0"/>
                  <v:stroke on="f" joinstyle="miter"/>
                  <v:imagedata r:id="rId20" o:title=""/>
                  <o:lock v:ext="edit" aspectratio="t"/>
                  <w10:wrap type="none"/>
                  <w10:anchorlock/>
                </v:shape>
                <o:OLEObject Type="Embed" ProgID="Visio.Drawing.11" ShapeID="_x0000_i1035" DrawAspect="Content" ObjectID="_1468075728" r:id="rId19">
                  <o:LockedField>false</o:LockedField>
                </o:OLEObject>
              </w:object>
            </w:r>
          </w:p>
          <w:p>
            <w:pPr>
              <w:pStyle w:val="2"/>
              <w:jc w:val="center"/>
              <w:rPr>
                <w:rFonts w:ascii="Times New Roman" w:hAnsi="Times New Roman" w:eastAsia="宋体"/>
                <w:color w:val="auto"/>
                <w:spacing w:val="0"/>
                <w:kern w:val="2"/>
                <w:szCs w:val="24"/>
              </w:rPr>
            </w:pPr>
            <w:r>
              <w:rPr>
                <w:rFonts w:ascii="Times New Roman" w:hAnsi="Times New Roman" w:eastAsia="宋体"/>
                <w:color w:val="auto"/>
                <w:spacing w:val="0"/>
                <w:kern w:val="2"/>
                <w:szCs w:val="24"/>
              </w:rPr>
              <w:t>图5-2  生产工艺流程图</w:t>
            </w:r>
          </w:p>
          <w:p>
            <w:pPr>
              <w:pStyle w:val="2"/>
              <w:spacing w:line="360" w:lineRule="auto"/>
              <w:ind w:firstLine="0"/>
              <w:jc w:val="center"/>
              <w:rPr>
                <w:rFonts w:ascii="Times New Roman" w:hAnsi="Times New Roman"/>
                <w:color w:val="auto"/>
              </w:rPr>
            </w:pPr>
            <w:r>
              <w:rPr>
                <w:rFonts w:ascii="Times New Roman" w:hAnsi="Times New Roman"/>
                <w:color w:val="auto"/>
              </w:rPr>
              <w:pict>
                <v:shape id="_x0000_i1036" o:spt="75" type="#_x0000_t75" style="height:210pt;width:467.25pt;" filled="f" o:preferrelative="t" stroked="f" coordsize="21600,21600">
                  <v:path/>
                  <v:fill on="f" focussize="0,0"/>
                  <v:stroke on="f" joinstyle="miter"/>
                  <v:imagedata r:id="rId21" o:title=""/>
                  <o:lock v:ext="edit" aspectratio="t"/>
                  <w10:wrap type="none"/>
                  <w10:anchorlock/>
                </v:shape>
              </w:pict>
            </w:r>
          </w:p>
          <w:p>
            <w:pPr>
              <w:pStyle w:val="2"/>
              <w:jc w:val="center"/>
              <w:rPr>
                <w:rFonts w:ascii="Times New Roman" w:hAnsi="Times New Roman" w:eastAsia="宋体"/>
                <w:color w:val="auto"/>
                <w:spacing w:val="0"/>
                <w:kern w:val="2"/>
                <w:szCs w:val="24"/>
              </w:rPr>
            </w:pPr>
            <w:r>
              <w:rPr>
                <w:rFonts w:ascii="Times New Roman" w:hAnsi="Times New Roman" w:eastAsia="宋体"/>
                <w:color w:val="auto"/>
                <w:spacing w:val="0"/>
                <w:kern w:val="2"/>
                <w:szCs w:val="24"/>
              </w:rPr>
              <w:t>图5-3 垃圾中转示意图</w:t>
            </w:r>
          </w:p>
          <w:p>
            <w:pPr>
              <w:tabs>
                <w:tab w:val="center" w:pos="4057"/>
              </w:tabs>
              <w:spacing w:line="360" w:lineRule="auto"/>
              <w:ind w:firstLine="482" w:firstLineChars="200"/>
              <w:jc w:val="left"/>
              <w:textAlignment w:val="baseline"/>
              <w:rPr>
                <w:rFonts w:ascii="Times New Roman" w:hAnsi="Times New Roman"/>
                <w:color w:val="auto"/>
                <w:sz w:val="24"/>
              </w:rPr>
            </w:pPr>
            <w:r>
              <w:rPr>
                <w:rFonts w:ascii="Times New Roman" w:hAnsi="Times New Roman"/>
                <w:b/>
                <w:bCs/>
                <w:color w:val="auto"/>
                <w:sz w:val="24"/>
              </w:rPr>
              <w:t>2、工艺简述</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拟采用一体式垃圾转运压缩装置，一体式垃圾转运站压缩装置（又叫做：移动式水平压缩垃圾中转设备），将垃圾的卸（出）料、压缩、储存结合为一起，采用压缩和存储一体的结构：一体式垃圾转运站压缩装置压缩垃圾时，所产生的污水经排污管道直接流入渗滤液暂存池。</w:t>
            </w:r>
          </w:p>
          <w:p>
            <w:pPr>
              <w:widowControl/>
              <w:shd w:val="clear" w:color="auto" w:fill="FFFFFF"/>
              <w:spacing w:line="360" w:lineRule="auto"/>
              <w:ind w:firstLine="480" w:firstLineChars="200"/>
              <w:jc w:val="left"/>
              <w:rPr>
                <w:rFonts w:ascii="Times New Roman" w:hAnsi="Times New Roman"/>
                <w:color w:val="auto"/>
                <w:sz w:val="24"/>
              </w:rPr>
            </w:pPr>
            <w:r>
              <w:rPr>
                <w:rFonts w:ascii="Times New Roman" w:hAnsi="Times New Roman"/>
                <w:color w:val="auto"/>
                <w:sz w:val="24"/>
              </w:rPr>
              <w:t>工作步骤：</w:t>
            </w:r>
          </w:p>
          <w:p>
            <w:pPr>
              <w:widowControl/>
              <w:shd w:val="clear" w:color="auto" w:fill="FFFFFF"/>
              <w:spacing w:line="360" w:lineRule="auto"/>
              <w:ind w:firstLine="480" w:firstLineChars="200"/>
              <w:jc w:val="left"/>
              <w:rPr>
                <w:rFonts w:ascii="Times New Roman" w:hAnsi="Times New Roman"/>
                <w:color w:val="auto"/>
                <w:sz w:val="24"/>
              </w:rPr>
            </w:pPr>
            <w:r>
              <w:rPr>
                <w:rFonts w:ascii="Times New Roman" w:hAnsi="Times New Roman"/>
                <w:color w:val="auto"/>
                <w:sz w:val="24"/>
              </w:rPr>
              <w:t>（1）车厢可卸式垃圾车倒进车位，卸下空的移动式垃圾压缩箱；</w:t>
            </w:r>
          </w:p>
          <w:p>
            <w:pPr>
              <w:widowControl/>
              <w:shd w:val="clear" w:color="auto" w:fill="FFFFFF"/>
              <w:spacing w:line="360" w:lineRule="auto"/>
              <w:ind w:firstLine="480" w:firstLineChars="200"/>
              <w:jc w:val="left"/>
              <w:rPr>
                <w:rFonts w:ascii="Times New Roman" w:hAnsi="Times New Roman"/>
                <w:color w:val="auto"/>
                <w:sz w:val="24"/>
              </w:rPr>
            </w:pPr>
            <w:r>
              <w:rPr>
                <w:rFonts w:ascii="Times New Roman" w:hAnsi="Times New Roman"/>
                <w:color w:val="auto"/>
                <w:sz w:val="24"/>
              </w:rPr>
              <w:t>（2）当从各处收集装满垃圾的三轮车、手推车进入中转站时，直接将垃圾倾倒进压缩机料斗；</w:t>
            </w:r>
          </w:p>
          <w:p>
            <w:pPr>
              <w:widowControl/>
              <w:shd w:val="clear" w:color="auto" w:fill="FFFFFF"/>
              <w:spacing w:line="360" w:lineRule="auto"/>
              <w:ind w:firstLine="480" w:firstLineChars="200"/>
              <w:jc w:val="left"/>
              <w:rPr>
                <w:rFonts w:ascii="Times New Roman" w:hAnsi="Times New Roman"/>
                <w:color w:val="auto"/>
                <w:sz w:val="24"/>
              </w:rPr>
            </w:pPr>
            <w:r>
              <w:rPr>
                <w:rFonts w:ascii="Times New Roman" w:hAnsi="Times New Roman"/>
                <w:color w:val="auto"/>
                <w:sz w:val="24"/>
              </w:rPr>
              <w:t>（3）压缩机将垃圾压缩后，压入车箱，直至将车箱装满，污水在压缩过程中流出，经专门的收集装置收集流向暂存池，定期运至宁县污水处理厂；</w:t>
            </w:r>
          </w:p>
          <w:p>
            <w:pPr>
              <w:widowControl/>
              <w:shd w:val="clear" w:color="auto" w:fill="FFFFFF"/>
              <w:spacing w:line="360" w:lineRule="auto"/>
              <w:ind w:firstLine="480" w:firstLineChars="200"/>
              <w:jc w:val="left"/>
              <w:rPr>
                <w:rFonts w:ascii="Times New Roman" w:hAnsi="Times New Roman"/>
                <w:color w:val="auto"/>
                <w:sz w:val="24"/>
              </w:rPr>
            </w:pPr>
            <w:r>
              <w:rPr>
                <w:rFonts w:ascii="Times New Roman" w:hAnsi="Times New Roman"/>
                <w:color w:val="auto"/>
                <w:sz w:val="24"/>
              </w:rPr>
              <w:t>（4）车箱装满时会发出满箱信号，压缩机自动停止压缩垃圾；</w:t>
            </w:r>
          </w:p>
          <w:p>
            <w:pPr>
              <w:widowControl/>
              <w:shd w:val="clear" w:color="auto" w:fill="FFFFFF"/>
              <w:spacing w:line="360" w:lineRule="auto"/>
              <w:ind w:firstLine="480" w:firstLineChars="200"/>
              <w:jc w:val="left"/>
              <w:rPr>
                <w:rFonts w:ascii="Times New Roman" w:hAnsi="Times New Roman"/>
                <w:color w:val="auto"/>
                <w:sz w:val="24"/>
              </w:rPr>
            </w:pPr>
            <w:r>
              <w:rPr>
                <w:rFonts w:ascii="Times New Roman" w:hAnsi="Times New Roman"/>
                <w:color w:val="auto"/>
                <w:sz w:val="24"/>
              </w:rPr>
              <w:t>（5）将汽车底盘倒进车位，钩起机箱，将垃圾运往垃圾处理场。</w:t>
            </w:r>
          </w:p>
          <w:p>
            <w:pPr>
              <w:widowControl/>
              <w:shd w:val="clear" w:color="auto" w:fill="FFFFFF"/>
              <w:spacing w:line="360" w:lineRule="auto"/>
              <w:ind w:firstLine="480" w:firstLineChars="200"/>
              <w:jc w:val="left"/>
              <w:rPr>
                <w:rFonts w:ascii="Times New Roman" w:hAnsi="Times New Roman"/>
                <w:color w:val="auto"/>
                <w:sz w:val="24"/>
              </w:rPr>
            </w:pPr>
            <w:r>
              <w:rPr>
                <w:rFonts w:ascii="Times New Roman" w:hAnsi="Times New Roman"/>
                <w:color w:val="auto"/>
                <w:sz w:val="24"/>
              </w:rPr>
              <w:t>地面设备冲洗废水、垃圾渗滤液经暂存池收集后由罐车运至宁县污水处理厂，经沉淀池沉淀后用于厂区抑尘。</w:t>
            </w:r>
          </w:p>
          <w:p>
            <w:pPr>
              <w:jc w:val="center"/>
              <w:rPr>
                <w:rFonts w:ascii="Times New Roman" w:hAnsi="Times New Roman"/>
                <w:color w:val="auto"/>
                <w:sz w:val="24"/>
              </w:rPr>
            </w:pPr>
            <w:r>
              <w:rPr>
                <w:rFonts w:ascii="Times New Roman" w:hAnsi="Times New Roman"/>
                <w:color w:val="auto"/>
                <w:sz w:val="24"/>
              </w:rPr>
              <w:t>表5-3  产物环节及污染因素一览表</w:t>
            </w:r>
          </w:p>
          <w:tbl>
            <w:tblPr>
              <w:tblStyle w:val="26"/>
              <w:tblW w:w="88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1505"/>
              <w:gridCol w:w="2268"/>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Align w:val="center"/>
                </w:tcPr>
                <w:p>
                  <w:pPr>
                    <w:jc w:val="center"/>
                    <w:rPr>
                      <w:rFonts w:ascii="Times New Roman" w:hAnsi="Times New Roman"/>
                      <w:color w:val="auto"/>
                      <w:szCs w:val="21"/>
                    </w:rPr>
                  </w:pPr>
                  <w:r>
                    <w:rPr>
                      <w:rFonts w:ascii="Times New Roman" w:hAnsi="Times New Roman"/>
                      <w:color w:val="auto"/>
                      <w:szCs w:val="21"/>
                    </w:rPr>
                    <w:t>项目</w:t>
                  </w: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编号</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产污节点</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restart"/>
                  <w:vAlign w:val="center"/>
                </w:tcPr>
                <w:p>
                  <w:pPr>
                    <w:jc w:val="center"/>
                    <w:rPr>
                      <w:rFonts w:ascii="Times New Roman" w:hAnsi="Times New Roman"/>
                      <w:color w:val="auto"/>
                      <w:szCs w:val="21"/>
                    </w:rPr>
                  </w:pPr>
                  <w:r>
                    <w:rPr>
                      <w:rFonts w:ascii="Times New Roman" w:hAnsi="Times New Roman"/>
                      <w:color w:val="auto"/>
                      <w:szCs w:val="21"/>
                    </w:rPr>
                    <w:t>废气</w:t>
                  </w: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G1</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垃圾卸料</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continue"/>
                  <w:vAlign w:val="center"/>
                </w:tcPr>
                <w:p>
                  <w:pPr>
                    <w:jc w:val="center"/>
                    <w:rPr>
                      <w:rFonts w:ascii="Times New Roman" w:hAnsi="Times New Roman"/>
                      <w:color w:val="auto"/>
                      <w:szCs w:val="21"/>
                    </w:rPr>
                  </w:pPr>
                </w:p>
              </w:tc>
              <w:tc>
                <w:tcPr>
                  <w:tcW w:w="1505" w:type="dxa"/>
                </w:tcPr>
                <w:p>
                  <w:pPr>
                    <w:jc w:val="center"/>
                    <w:rPr>
                      <w:rFonts w:ascii="Times New Roman" w:hAnsi="Times New Roman"/>
                      <w:color w:val="auto"/>
                      <w:szCs w:val="21"/>
                    </w:rPr>
                  </w:pPr>
                  <w:r>
                    <w:rPr>
                      <w:rFonts w:ascii="Times New Roman" w:hAnsi="Times New Roman"/>
                      <w:color w:val="auto"/>
                      <w:szCs w:val="21"/>
                    </w:rPr>
                    <w:t>G2</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垃圾压缩</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continue"/>
                  <w:vAlign w:val="center"/>
                </w:tcPr>
                <w:p>
                  <w:pPr>
                    <w:jc w:val="center"/>
                    <w:rPr>
                      <w:rFonts w:ascii="Times New Roman" w:hAnsi="Times New Roman"/>
                      <w:color w:val="auto"/>
                      <w:szCs w:val="21"/>
                    </w:rPr>
                  </w:pP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W1</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垃圾压缩渗滤液</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COD、BOD、SS等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continue"/>
                  <w:vAlign w:val="center"/>
                </w:tcPr>
                <w:p>
                  <w:pPr>
                    <w:jc w:val="center"/>
                    <w:rPr>
                      <w:rFonts w:ascii="Times New Roman" w:hAnsi="Times New Roman"/>
                      <w:color w:val="auto"/>
                      <w:szCs w:val="21"/>
                    </w:rPr>
                  </w:pP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W2</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地面冲洗废水</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COD、BOD、SS等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continue"/>
                  <w:vAlign w:val="center"/>
                </w:tcPr>
                <w:p>
                  <w:pPr>
                    <w:jc w:val="center"/>
                    <w:rPr>
                      <w:rFonts w:ascii="Times New Roman" w:hAnsi="Times New Roman"/>
                      <w:color w:val="auto"/>
                      <w:szCs w:val="21"/>
                    </w:rPr>
                  </w:pP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W3</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设备清洗废水</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COD、BOD、SS等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continue"/>
                  <w:vAlign w:val="center"/>
                </w:tcPr>
                <w:p>
                  <w:pPr>
                    <w:jc w:val="center"/>
                    <w:rPr>
                      <w:rFonts w:ascii="Times New Roman" w:hAnsi="Times New Roman"/>
                      <w:color w:val="auto"/>
                      <w:szCs w:val="21"/>
                    </w:rPr>
                  </w:pP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W4</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职工生活污水</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COD、BOD、SS、氨氮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restart"/>
                  <w:vAlign w:val="center"/>
                </w:tcPr>
                <w:p>
                  <w:pPr>
                    <w:jc w:val="center"/>
                    <w:rPr>
                      <w:rFonts w:ascii="Times New Roman" w:hAnsi="Times New Roman"/>
                      <w:color w:val="auto"/>
                      <w:szCs w:val="21"/>
                    </w:rPr>
                  </w:pPr>
                  <w:r>
                    <w:rPr>
                      <w:rFonts w:ascii="Times New Roman" w:hAnsi="Times New Roman"/>
                      <w:color w:val="auto"/>
                      <w:szCs w:val="21"/>
                    </w:rPr>
                    <w:t>噪声</w:t>
                  </w: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N1</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垃圾卸料</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continue"/>
                  <w:vAlign w:val="center"/>
                </w:tcPr>
                <w:p>
                  <w:pPr>
                    <w:jc w:val="center"/>
                    <w:rPr>
                      <w:rFonts w:ascii="Times New Roman" w:hAnsi="Times New Roman"/>
                      <w:color w:val="auto"/>
                      <w:szCs w:val="21"/>
                    </w:rPr>
                  </w:pP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N2</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垃圾压缩</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restart"/>
                  <w:vAlign w:val="center"/>
                </w:tcPr>
                <w:p>
                  <w:pPr>
                    <w:jc w:val="center"/>
                    <w:rPr>
                      <w:rFonts w:ascii="Times New Roman" w:hAnsi="Times New Roman"/>
                      <w:color w:val="auto"/>
                      <w:szCs w:val="21"/>
                    </w:rPr>
                  </w:pPr>
                  <w:r>
                    <w:rPr>
                      <w:rFonts w:ascii="Times New Roman" w:hAnsi="Times New Roman"/>
                      <w:color w:val="auto"/>
                      <w:szCs w:val="21"/>
                    </w:rPr>
                    <w:t>固体废物</w:t>
                  </w: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S1</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压缩垃圾</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压缩垃圾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vMerge w:val="continue"/>
                  <w:vAlign w:val="center"/>
                </w:tcPr>
                <w:p>
                  <w:pPr>
                    <w:jc w:val="center"/>
                    <w:rPr>
                      <w:rFonts w:ascii="Times New Roman" w:hAnsi="Times New Roman"/>
                      <w:color w:val="auto"/>
                      <w:szCs w:val="21"/>
                    </w:rPr>
                  </w:pPr>
                </w:p>
              </w:tc>
              <w:tc>
                <w:tcPr>
                  <w:tcW w:w="1505" w:type="dxa"/>
                  <w:vAlign w:val="center"/>
                </w:tcPr>
                <w:p>
                  <w:pPr>
                    <w:jc w:val="center"/>
                    <w:rPr>
                      <w:rFonts w:ascii="Times New Roman" w:hAnsi="Times New Roman"/>
                      <w:color w:val="auto"/>
                      <w:szCs w:val="21"/>
                    </w:rPr>
                  </w:pPr>
                  <w:r>
                    <w:rPr>
                      <w:rFonts w:ascii="Times New Roman" w:hAnsi="Times New Roman"/>
                      <w:color w:val="auto"/>
                      <w:szCs w:val="21"/>
                    </w:rPr>
                    <w:t>S2</w:t>
                  </w:r>
                </w:p>
              </w:tc>
              <w:tc>
                <w:tcPr>
                  <w:tcW w:w="2268" w:type="dxa"/>
                  <w:vAlign w:val="center"/>
                </w:tcPr>
                <w:p>
                  <w:pPr>
                    <w:jc w:val="center"/>
                    <w:rPr>
                      <w:rFonts w:ascii="Times New Roman" w:hAnsi="Times New Roman"/>
                      <w:color w:val="auto"/>
                      <w:szCs w:val="21"/>
                    </w:rPr>
                  </w:pPr>
                  <w:r>
                    <w:rPr>
                      <w:rFonts w:ascii="Times New Roman" w:hAnsi="Times New Roman"/>
                      <w:color w:val="auto"/>
                      <w:szCs w:val="21"/>
                    </w:rPr>
                    <w:t>职工生活垃圾</w:t>
                  </w:r>
                </w:p>
              </w:tc>
              <w:tc>
                <w:tcPr>
                  <w:tcW w:w="2858" w:type="dxa"/>
                  <w:vAlign w:val="center"/>
                </w:tcPr>
                <w:p>
                  <w:pPr>
                    <w:jc w:val="center"/>
                    <w:rPr>
                      <w:rFonts w:ascii="Times New Roman" w:hAnsi="Times New Roman"/>
                      <w:color w:val="auto"/>
                      <w:szCs w:val="21"/>
                    </w:rPr>
                  </w:pPr>
                  <w:r>
                    <w:rPr>
                      <w:rFonts w:ascii="Times New Roman" w:hAnsi="Times New Roman"/>
                      <w:color w:val="auto"/>
                      <w:szCs w:val="21"/>
                    </w:rPr>
                    <w:t>生活垃圾</w:t>
                  </w:r>
                </w:p>
              </w:tc>
            </w:tr>
          </w:tbl>
          <w:p>
            <w:pPr>
              <w:spacing w:line="360" w:lineRule="auto"/>
              <w:ind w:firstLine="482" w:firstLineChars="200"/>
              <w:rPr>
                <w:rFonts w:ascii="Times New Roman" w:hAnsi="Times New Roman"/>
                <w:b/>
                <w:color w:val="auto"/>
                <w:sz w:val="24"/>
              </w:rPr>
            </w:pPr>
            <w:r>
              <w:rPr>
                <w:rFonts w:ascii="Times New Roman" w:hAnsi="Times New Roman"/>
                <w:b/>
                <w:color w:val="auto"/>
                <w:sz w:val="24"/>
              </w:rPr>
              <w:t>3、主要污染工序：</w:t>
            </w:r>
          </w:p>
          <w:p>
            <w:pPr>
              <w:spacing w:line="360" w:lineRule="auto"/>
              <w:ind w:firstLine="470" w:firstLineChars="196"/>
              <w:textAlignment w:val="baseline"/>
              <w:rPr>
                <w:rFonts w:ascii="Times New Roman" w:hAnsi="Times New Roman"/>
                <w:color w:val="auto"/>
                <w:sz w:val="24"/>
              </w:rPr>
            </w:pPr>
            <w:r>
              <w:rPr>
                <w:rFonts w:ascii="Times New Roman" w:hAnsi="Times New Roman"/>
                <w:color w:val="auto"/>
                <w:sz w:val="24"/>
              </w:rPr>
              <w:t>（1）废气</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根据对国内现有垃圾转运站污染物排放情况调查，转运站的废气主要来自转运站垃圾倾倒和压缩过程，废气中主要污染物为H</w:t>
            </w:r>
            <w:r>
              <w:rPr>
                <w:rFonts w:ascii="Times New Roman" w:hAnsi="Times New Roman"/>
                <w:color w:val="auto"/>
                <w:sz w:val="24"/>
                <w:vertAlign w:val="subscript"/>
              </w:rPr>
              <w:t>2</w:t>
            </w:r>
            <w:r>
              <w:rPr>
                <w:rFonts w:ascii="Times New Roman" w:hAnsi="Times New Roman"/>
                <w:color w:val="auto"/>
                <w:sz w:val="24"/>
              </w:rPr>
              <w:t>S和NH</w:t>
            </w:r>
            <w:r>
              <w:rPr>
                <w:rFonts w:ascii="Times New Roman" w:hAnsi="Times New Roman"/>
                <w:color w:val="auto"/>
                <w:sz w:val="24"/>
                <w:vertAlign w:val="subscript"/>
              </w:rPr>
              <w:t>3</w:t>
            </w:r>
            <w:r>
              <w:rPr>
                <w:rFonts w:ascii="Times New Roman" w:hAnsi="Times New Roman"/>
                <w:color w:val="auto"/>
                <w:sz w:val="24"/>
              </w:rPr>
              <w:t>。在运输过程中，运输车辆亦会产生少量扬尘，H</w:t>
            </w:r>
            <w:r>
              <w:rPr>
                <w:rFonts w:ascii="Times New Roman" w:hAnsi="Times New Roman"/>
                <w:color w:val="auto"/>
                <w:sz w:val="24"/>
                <w:vertAlign w:val="subscript"/>
              </w:rPr>
              <w:t>2</w:t>
            </w:r>
            <w:r>
              <w:rPr>
                <w:rFonts w:ascii="Times New Roman" w:hAnsi="Times New Roman"/>
                <w:color w:val="auto"/>
                <w:sz w:val="24"/>
              </w:rPr>
              <w:t>S和NH</w:t>
            </w:r>
            <w:r>
              <w:rPr>
                <w:rFonts w:ascii="Times New Roman" w:hAnsi="Times New Roman"/>
                <w:color w:val="auto"/>
                <w:sz w:val="24"/>
                <w:vertAlign w:val="subscript"/>
              </w:rPr>
              <w:t>3</w:t>
            </w:r>
            <w:r>
              <w:rPr>
                <w:rFonts w:ascii="Times New Roman" w:hAnsi="Times New Roman"/>
                <w:color w:val="auto"/>
                <w:sz w:val="24"/>
              </w:rPr>
              <w:t>。</w:t>
            </w:r>
          </w:p>
          <w:p>
            <w:pPr>
              <w:spacing w:line="360" w:lineRule="auto"/>
              <w:ind w:firstLine="480" w:firstLineChars="200"/>
              <w:rPr>
                <w:rFonts w:ascii="Times New Roman" w:hAnsi="Times New Roman"/>
                <w:color w:val="auto"/>
                <w:sz w:val="24"/>
              </w:rPr>
            </w:pPr>
            <w:r>
              <w:rPr>
                <w:rFonts w:ascii="Times New Roman" w:hAnsi="Times New Roman"/>
                <w:color w:val="auto"/>
                <w:sz w:val="24"/>
              </w:rPr>
              <w:t>G1、G2垃圾转运压缩、恶臭</w:t>
            </w:r>
          </w:p>
          <w:p>
            <w:pPr>
              <w:spacing w:line="360" w:lineRule="auto"/>
              <w:ind w:firstLine="480" w:firstLineChars="200"/>
              <w:rPr>
                <w:rFonts w:ascii="Times New Roman" w:hAnsi="Times New Roman"/>
                <w:color w:val="auto"/>
                <w:sz w:val="24"/>
              </w:rPr>
            </w:pPr>
            <w:r>
              <w:rPr>
                <w:rFonts w:ascii="Times New Roman" w:hAnsi="Times New Roman"/>
                <w:color w:val="auto"/>
                <w:sz w:val="24"/>
              </w:rPr>
              <w:t>由于生活垃圾中含有各类易发酵的有机物，尤其是在气温较高时，生活垃圾在堆存、压装、运输过程中会散发出较难闻的恶臭气体，这些恶臭物质主要包括氨、硫化氢、硫醇类、酮类、胺类、吲哚类和醛类。恶臭污染主要通过人的嗅觉来影响环境。</w:t>
            </w:r>
          </w:p>
          <w:p>
            <w:pPr>
              <w:spacing w:line="360" w:lineRule="auto"/>
              <w:ind w:firstLine="480" w:firstLineChars="200"/>
              <w:rPr>
                <w:rFonts w:ascii="Times New Roman" w:hAnsi="Times New Roman"/>
                <w:color w:val="auto"/>
                <w:sz w:val="24"/>
              </w:rPr>
            </w:pPr>
            <w:r>
              <w:rPr>
                <w:rFonts w:ascii="Times New Roman" w:hAnsi="Times New Roman"/>
                <w:color w:val="auto"/>
                <w:sz w:val="24"/>
              </w:rPr>
              <w:t>经查阅《环境卫生工程》2009年第S1期《垃圾转运站恶臭物质氨和硫化氢的含量测定》，社会区域类环境影响评价培训教材及第一次污染源普查等有关资料，得知常温下每吨垃圾的废气排污参数为NH</w:t>
            </w:r>
            <w:r>
              <w:rPr>
                <w:rFonts w:ascii="Times New Roman" w:hAnsi="Times New Roman"/>
                <w:color w:val="auto"/>
                <w:sz w:val="24"/>
                <w:vertAlign w:val="subscript"/>
              </w:rPr>
              <w:t>3</w:t>
            </w:r>
            <w:r>
              <w:rPr>
                <w:rFonts w:ascii="Times New Roman" w:hAnsi="Times New Roman"/>
                <w:color w:val="auto"/>
                <w:sz w:val="24"/>
              </w:rPr>
              <w:t>为2.019g，H2S为0.207g，项目垃圾转运量为4t/d，则废气产生量为NH</w:t>
            </w:r>
            <w:r>
              <w:rPr>
                <w:rFonts w:ascii="Times New Roman" w:hAnsi="Times New Roman"/>
                <w:color w:val="auto"/>
                <w:sz w:val="24"/>
                <w:vertAlign w:val="subscript"/>
              </w:rPr>
              <w:t>3</w:t>
            </w:r>
            <w:r>
              <w:rPr>
                <w:rFonts w:ascii="Times New Roman" w:hAnsi="Times New Roman"/>
                <w:color w:val="auto"/>
                <w:sz w:val="24"/>
              </w:rPr>
              <w:t>为（8.076g/d）0.003t/a，H2S为（0.828g/d）0.0003t/a。</w:t>
            </w:r>
          </w:p>
          <w:p>
            <w:pPr>
              <w:spacing w:line="360" w:lineRule="auto"/>
              <w:ind w:firstLine="480" w:firstLineChars="200"/>
              <w:rPr>
                <w:rFonts w:ascii="Times New Roman" w:hAnsi="Times New Roman"/>
                <w:color w:val="auto"/>
                <w:sz w:val="24"/>
              </w:rPr>
            </w:pPr>
            <w:r>
              <w:rPr>
                <w:rFonts w:ascii="Times New Roman" w:hAnsi="Times New Roman"/>
                <w:color w:val="auto"/>
                <w:sz w:val="24"/>
              </w:rPr>
              <w:t>通过定期喷洒</w:t>
            </w:r>
            <w:r>
              <w:rPr>
                <w:rFonts w:hint="eastAsia" w:ascii="Times New Roman" w:hAnsi="Times New Roman"/>
                <w:color w:val="auto"/>
                <w:sz w:val="24"/>
              </w:rPr>
              <w:t>雾化</w:t>
            </w:r>
            <w:r>
              <w:rPr>
                <w:rFonts w:ascii="Times New Roman" w:hAnsi="Times New Roman"/>
                <w:color w:val="auto"/>
                <w:sz w:val="24"/>
              </w:rPr>
              <w:t>生物除臭剂</w:t>
            </w:r>
            <w:r>
              <w:rPr>
                <w:rFonts w:hint="eastAsia" w:ascii="Times New Roman" w:hAnsi="Times New Roman"/>
                <w:color w:val="auto"/>
                <w:sz w:val="24"/>
              </w:rPr>
              <w:t>（即为将除臭液(按要求稀释配比好的除臭液，加压至所需压力(一般为 4-8mpa)，经耐高压管道系统通达特制的喷嘴雾化高速喷出，形成 1~10um的微细除臭粒子处理除臭设备，充分与异味、臭味气体分子接触，再将其中的恶臭粒子加以捕捉，然后通过脱臭液的本身的功能促进有益菌生长，将污染物质分解、乳化，并促进氧化而达到长期稳定脱臭的目的）</w:t>
            </w:r>
            <w:r>
              <w:rPr>
                <w:rFonts w:ascii="Times New Roman" w:hAnsi="Times New Roman"/>
                <w:color w:val="auto"/>
                <w:sz w:val="24"/>
              </w:rPr>
              <w:t>，对恶臭气体的抑制率以50%计，则无组织NH</w:t>
            </w:r>
            <w:r>
              <w:rPr>
                <w:rFonts w:ascii="Times New Roman" w:hAnsi="Times New Roman"/>
                <w:color w:val="auto"/>
                <w:sz w:val="24"/>
                <w:vertAlign w:val="subscript"/>
              </w:rPr>
              <w:t>3</w:t>
            </w:r>
            <w:r>
              <w:rPr>
                <w:rFonts w:ascii="Times New Roman" w:hAnsi="Times New Roman"/>
                <w:color w:val="auto"/>
                <w:sz w:val="24"/>
              </w:rPr>
              <w:t>排放量为0.0015t/a、H</w:t>
            </w:r>
            <w:r>
              <w:rPr>
                <w:rFonts w:ascii="Times New Roman" w:hAnsi="Times New Roman"/>
                <w:color w:val="auto"/>
                <w:sz w:val="24"/>
                <w:vertAlign w:val="subscript"/>
              </w:rPr>
              <w:t>2</w:t>
            </w:r>
            <w:r>
              <w:rPr>
                <w:rFonts w:ascii="Times New Roman" w:hAnsi="Times New Roman"/>
                <w:color w:val="auto"/>
                <w:sz w:val="24"/>
              </w:rPr>
              <w:t>S排放量为0.0015t/a。臭气浓度为＜20（无量纲，厂界）。</w:t>
            </w:r>
          </w:p>
          <w:p>
            <w:pPr>
              <w:ind w:firstLine="482" w:firstLineChars="200"/>
              <w:jc w:val="center"/>
              <w:rPr>
                <w:rFonts w:ascii="Times New Roman" w:hAnsi="Times New Roman"/>
                <w:b/>
                <w:bCs/>
                <w:color w:val="auto"/>
                <w:sz w:val="24"/>
              </w:rPr>
            </w:pPr>
            <w:r>
              <w:rPr>
                <w:rFonts w:ascii="Times New Roman" w:hAnsi="Times New Roman"/>
                <w:b/>
                <w:bCs/>
                <w:color w:val="auto"/>
                <w:sz w:val="24"/>
              </w:rPr>
              <w:t>表5-4 无组织污染物源强核算表</w:t>
            </w:r>
          </w:p>
          <w:tbl>
            <w:tblPr>
              <w:tblStyle w:val="26"/>
              <w:tblW w:w="907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20"/>
              <w:gridCol w:w="658"/>
              <w:gridCol w:w="1248"/>
              <w:gridCol w:w="1251"/>
              <w:gridCol w:w="1044"/>
              <w:gridCol w:w="834"/>
              <w:gridCol w:w="1012"/>
              <w:gridCol w:w="1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20" w:type="dxa"/>
                  <w:vAlign w:val="center"/>
                </w:tcPr>
                <w:p>
                  <w:pPr>
                    <w:jc w:val="center"/>
                    <w:rPr>
                      <w:rFonts w:ascii="Times New Roman" w:hAnsi="Times New Roman"/>
                      <w:color w:val="auto"/>
                      <w:szCs w:val="21"/>
                    </w:rPr>
                  </w:pPr>
                  <w:r>
                    <w:rPr>
                      <w:rFonts w:ascii="Times New Roman" w:hAnsi="Times New Roman"/>
                      <w:color w:val="auto"/>
                    </w:rPr>
                    <w:t>污染源</w:t>
                  </w:r>
                </w:p>
              </w:tc>
              <w:tc>
                <w:tcPr>
                  <w:tcW w:w="658" w:type="dxa"/>
                  <w:vAlign w:val="center"/>
                </w:tcPr>
                <w:p>
                  <w:pPr>
                    <w:jc w:val="center"/>
                    <w:rPr>
                      <w:rFonts w:ascii="Times New Roman" w:hAnsi="Times New Roman"/>
                      <w:color w:val="auto"/>
                      <w:szCs w:val="21"/>
                    </w:rPr>
                  </w:pPr>
                  <w:r>
                    <w:rPr>
                      <w:rFonts w:ascii="Times New Roman" w:hAnsi="Times New Roman"/>
                      <w:color w:val="auto"/>
                    </w:rPr>
                    <w:t>编号</w:t>
                  </w:r>
                </w:p>
              </w:tc>
              <w:tc>
                <w:tcPr>
                  <w:tcW w:w="1248" w:type="dxa"/>
                  <w:vAlign w:val="center"/>
                </w:tcPr>
                <w:p>
                  <w:pPr>
                    <w:jc w:val="center"/>
                    <w:rPr>
                      <w:rFonts w:ascii="Times New Roman" w:hAnsi="Times New Roman"/>
                      <w:color w:val="auto"/>
                      <w:szCs w:val="21"/>
                    </w:rPr>
                  </w:pPr>
                  <w:r>
                    <w:rPr>
                      <w:rFonts w:ascii="Times New Roman" w:hAnsi="Times New Roman"/>
                      <w:color w:val="auto"/>
                    </w:rPr>
                    <w:t>污染物</w:t>
                  </w:r>
                </w:p>
              </w:tc>
              <w:tc>
                <w:tcPr>
                  <w:tcW w:w="1251" w:type="dxa"/>
                  <w:vAlign w:val="center"/>
                </w:tcPr>
                <w:p>
                  <w:pPr>
                    <w:jc w:val="center"/>
                    <w:rPr>
                      <w:rFonts w:ascii="Times New Roman" w:hAnsi="Times New Roman"/>
                      <w:color w:val="auto"/>
                      <w:szCs w:val="21"/>
                    </w:rPr>
                  </w:pPr>
                  <w:r>
                    <w:rPr>
                      <w:rFonts w:ascii="Times New Roman" w:hAnsi="Times New Roman"/>
                      <w:color w:val="auto"/>
                    </w:rPr>
                    <w:t>核算方法</w:t>
                  </w:r>
                </w:p>
              </w:tc>
              <w:tc>
                <w:tcPr>
                  <w:tcW w:w="1044" w:type="dxa"/>
                  <w:vAlign w:val="center"/>
                </w:tcPr>
                <w:p>
                  <w:pPr>
                    <w:jc w:val="center"/>
                    <w:rPr>
                      <w:rFonts w:ascii="Times New Roman" w:hAnsi="Times New Roman"/>
                      <w:color w:val="auto"/>
                      <w:szCs w:val="21"/>
                    </w:rPr>
                  </w:pPr>
                  <w:r>
                    <w:rPr>
                      <w:rFonts w:ascii="Times New Roman" w:hAnsi="Times New Roman"/>
                      <w:color w:val="auto"/>
                    </w:rPr>
                    <w:t>产生量（t/a）</w:t>
                  </w:r>
                </w:p>
              </w:tc>
              <w:tc>
                <w:tcPr>
                  <w:tcW w:w="834" w:type="dxa"/>
                  <w:vAlign w:val="center"/>
                </w:tcPr>
                <w:p>
                  <w:pPr>
                    <w:jc w:val="center"/>
                    <w:rPr>
                      <w:rFonts w:ascii="Times New Roman" w:hAnsi="Times New Roman"/>
                      <w:color w:val="auto"/>
                      <w:szCs w:val="21"/>
                    </w:rPr>
                  </w:pPr>
                  <w:r>
                    <w:rPr>
                      <w:rFonts w:ascii="Times New Roman" w:hAnsi="Times New Roman"/>
                      <w:color w:val="auto"/>
                    </w:rPr>
                    <w:t>收集率</w:t>
                  </w:r>
                </w:p>
              </w:tc>
              <w:tc>
                <w:tcPr>
                  <w:tcW w:w="1012" w:type="dxa"/>
                  <w:vAlign w:val="center"/>
                </w:tcPr>
                <w:p>
                  <w:pPr>
                    <w:jc w:val="center"/>
                    <w:rPr>
                      <w:rFonts w:ascii="Times New Roman" w:hAnsi="Times New Roman"/>
                      <w:color w:val="auto"/>
                      <w:szCs w:val="21"/>
                    </w:rPr>
                  </w:pPr>
                  <w:r>
                    <w:rPr>
                      <w:rFonts w:ascii="Times New Roman" w:hAnsi="Times New Roman"/>
                      <w:color w:val="auto"/>
                    </w:rPr>
                    <w:t>排放形式</w:t>
                  </w:r>
                </w:p>
              </w:tc>
              <w:tc>
                <w:tcPr>
                  <w:tcW w:w="1111" w:type="dxa"/>
                  <w:vAlign w:val="center"/>
                </w:tcPr>
                <w:p>
                  <w:pPr>
                    <w:jc w:val="center"/>
                    <w:rPr>
                      <w:rFonts w:ascii="Times New Roman" w:hAnsi="Times New Roman"/>
                      <w:color w:val="auto"/>
                      <w:szCs w:val="21"/>
                    </w:rPr>
                  </w:pPr>
                  <w:r>
                    <w:rPr>
                      <w:rFonts w:ascii="Times New Roman" w:hAnsi="Times New Roman"/>
                      <w:color w:val="auto"/>
                    </w:rPr>
                    <w:t>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1920" w:type="dxa"/>
                  <w:vMerge w:val="restart"/>
                  <w:vAlign w:val="center"/>
                </w:tcPr>
                <w:p>
                  <w:pPr>
                    <w:jc w:val="center"/>
                    <w:rPr>
                      <w:rFonts w:ascii="Times New Roman" w:hAnsi="Times New Roman"/>
                      <w:color w:val="auto"/>
                      <w:szCs w:val="21"/>
                    </w:rPr>
                  </w:pPr>
                  <w:r>
                    <w:rPr>
                      <w:rFonts w:ascii="Times New Roman" w:hAnsi="Times New Roman"/>
                      <w:color w:val="auto"/>
                      <w:szCs w:val="21"/>
                    </w:rPr>
                    <w:t>垃圾卸料</w:t>
                  </w:r>
                </w:p>
              </w:tc>
              <w:tc>
                <w:tcPr>
                  <w:tcW w:w="658" w:type="dxa"/>
                  <w:vMerge w:val="restart"/>
                  <w:vAlign w:val="center"/>
                </w:tcPr>
                <w:p>
                  <w:pPr>
                    <w:jc w:val="center"/>
                    <w:rPr>
                      <w:rFonts w:ascii="Times New Roman" w:hAnsi="Times New Roman"/>
                      <w:color w:val="auto"/>
                      <w:szCs w:val="21"/>
                    </w:rPr>
                  </w:pPr>
                  <w:r>
                    <w:rPr>
                      <w:rFonts w:ascii="Times New Roman" w:hAnsi="Times New Roman"/>
                      <w:color w:val="auto"/>
                    </w:rPr>
                    <w:t>G1</w:t>
                  </w:r>
                </w:p>
              </w:tc>
              <w:tc>
                <w:tcPr>
                  <w:tcW w:w="1248" w:type="dxa"/>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1251" w:type="dxa"/>
                  <w:vMerge w:val="restart"/>
                  <w:vAlign w:val="center"/>
                </w:tcPr>
                <w:p>
                  <w:pPr>
                    <w:jc w:val="center"/>
                    <w:rPr>
                      <w:rFonts w:ascii="Times New Roman" w:hAnsi="Times New Roman"/>
                      <w:color w:val="auto"/>
                      <w:szCs w:val="21"/>
                    </w:rPr>
                  </w:pPr>
                  <w:r>
                    <w:rPr>
                      <w:rFonts w:ascii="Times New Roman" w:hAnsi="Times New Roman"/>
                      <w:color w:val="auto"/>
                      <w:szCs w:val="21"/>
                    </w:rPr>
                    <w:t>类比</w:t>
                  </w:r>
                </w:p>
              </w:tc>
              <w:tc>
                <w:tcPr>
                  <w:tcW w:w="1044" w:type="dxa"/>
                  <w:vAlign w:val="center"/>
                </w:tcPr>
                <w:p>
                  <w:pPr>
                    <w:jc w:val="center"/>
                    <w:rPr>
                      <w:rFonts w:ascii="Times New Roman" w:hAnsi="Times New Roman"/>
                      <w:color w:val="auto"/>
                      <w:szCs w:val="21"/>
                    </w:rPr>
                  </w:pPr>
                  <w:r>
                    <w:rPr>
                      <w:rFonts w:ascii="Times New Roman" w:hAnsi="Times New Roman"/>
                      <w:color w:val="auto"/>
                      <w:szCs w:val="21"/>
                    </w:rPr>
                    <w:t>0.0015</w:t>
                  </w:r>
                </w:p>
              </w:tc>
              <w:tc>
                <w:tcPr>
                  <w:tcW w:w="834" w:type="dxa"/>
                  <w:vMerge w:val="restart"/>
                  <w:vAlign w:val="center"/>
                </w:tcPr>
                <w:p>
                  <w:pPr>
                    <w:jc w:val="center"/>
                    <w:rPr>
                      <w:rFonts w:ascii="Times New Roman" w:hAnsi="Times New Roman"/>
                      <w:color w:val="auto"/>
                      <w:szCs w:val="21"/>
                    </w:rPr>
                  </w:pPr>
                  <w:r>
                    <w:rPr>
                      <w:rFonts w:ascii="Times New Roman" w:hAnsi="Times New Roman"/>
                      <w:color w:val="auto"/>
                      <w:szCs w:val="21"/>
                    </w:rPr>
                    <w:t>50%</w:t>
                  </w:r>
                </w:p>
              </w:tc>
              <w:tc>
                <w:tcPr>
                  <w:tcW w:w="1012" w:type="dxa"/>
                  <w:vMerge w:val="restart"/>
                  <w:vAlign w:val="center"/>
                </w:tcPr>
                <w:p>
                  <w:pPr>
                    <w:jc w:val="center"/>
                    <w:rPr>
                      <w:rFonts w:ascii="Times New Roman" w:hAnsi="Times New Roman"/>
                      <w:color w:val="auto"/>
                      <w:szCs w:val="21"/>
                    </w:rPr>
                  </w:pPr>
                  <w:r>
                    <w:rPr>
                      <w:rFonts w:ascii="Times New Roman" w:hAnsi="Times New Roman"/>
                      <w:color w:val="auto"/>
                      <w:szCs w:val="21"/>
                    </w:rPr>
                    <w:t>无组织扩散</w:t>
                  </w:r>
                </w:p>
              </w:tc>
              <w:tc>
                <w:tcPr>
                  <w:tcW w:w="1111" w:type="dxa"/>
                  <w:vAlign w:val="center"/>
                </w:tcPr>
                <w:p>
                  <w:pPr>
                    <w:jc w:val="center"/>
                    <w:rPr>
                      <w:rFonts w:ascii="Times New Roman" w:hAnsi="Times New Roman"/>
                      <w:color w:val="auto"/>
                      <w:szCs w:val="21"/>
                    </w:rPr>
                  </w:pPr>
                  <w:r>
                    <w:rPr>
                      <w:rFonts w:ascii="Times New Roman" w:hAnsi="Times New Roman"/>
                      <w:color w:val="auto"/>
                      <w:szCs w:val="21"/>
                    </w:rPr>
                    <w:t>0.0008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1920" w:type="dxa"/>
                  <w:vMerge w:val="continue"/>
                  <w:vAlign w:val="center"/>
                </w:tcPr>
                <w:p>
                  <w:pPr>
                    <w:jc w:val="center"/>
                    <w:rPr>
                      <w:rFonts w:ascii="Times New Roman" w:hAnsi="Times New Roman"/>
                      <w:color w:val="auto"/>
                      <w:szCs w:val="21"/>
                    </w:rPr>
                  </w:pPr>
                </w:p>
              </w:tc>
              <w:tc>
                <w:tcPr>
                  <w:tcW w:w="658" w:type="dxa"/>
                  <w:vMerge w:val="continue"/>
                  <w:vAlign w:val="center"/>
                </w:tcPr>
                <w:p>
                  <w:pPr>
                    <w:jc w:val="center"/>
                    <w:rPr>
                      <w:rFonts w:ascii="Times New Roman" w:hAnsi="Times New Roman"/>
                      <w:color w:val="auto"/>
                    </w:rPr>
                  </w:pPr>
                </w:p>
              </w:tc>
              <w:tc>
                <w:tcPr>
                  <w:tcW w:w="1248" w:type="dxa"/>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1251" w:type="dxa"/>
                  <w:vMerge w:val="continue"/>
                  <w:vAlign w:val="center"/>
                </w:tcPr>
                <w:p>
                  <w:pPr>
                    <w:jc w:val="center"/>
                    <w:rPr>
                      <w:rFonts w:ascii="Times New Roman" w:hAnsi="Times New Roman"/>
                      <w:color w:val="auto"/>
                      <w:szCs w:val="21"/>
                    </w:rPr>
                  </w:pPr>
                </w:p>
              </w:tc>
              <w:tc>
                <w:tcPr>
                  <w:tcW w:w="1044" w:type="dxa"/>
                  <w:vAlign w:val="center"/>
                </w:tcPr>
                <w:p>
                  <w:pPr>
                    <w:jc w:val="center"/>
                    <w:rPr>
                      <w:rFonts w:ascii="Times New Roman" w:hAnsi="Times New Roman"/>
                      <w:color w:val="auto"/>
                      <w:szCs w:val="21"/>
                    </w:rPr>
                  </w:pPr>
                  <w:r>
                    <w:rPr>
                      <w:rFonts w:ascii="Times New Roman" w:hAnsi="Times New Roman"/>
                      <w:color w:val="auto"/>
                      <w:szCs w:val="21"/>
                    </w:rPr>
                    <w:t>0.00015</w:t>
                  </w:r>
                </w:p>
              </w:tc>
              <w:tc>
                <w:tcPr>
                  <w:tcW w:w="834" w:type="dxa"/>
                  <w:vMerge w:val="continue"/>
                  <w:vAlign w:val="center"/>
                </w:tcPr>
                <w:p>
                  <w:pPr>
                    <w:jc w:val="center"/>
                    <w:rPr>
                      <w:rFonts w:ascii="Times New Roman" w:hAnsi="Times New Roman"/>
                      <w:color w:val="auto"/>
                      <w:szCs w:val="21"/>
                    </w:rPr>
                  </w:pPr>
                </w:p>
              </w:tc>
              <w:tc>
                <w:tcPr>
                  <w:tcW w:w="1012" w:type="dxa"/>
                  <w:vMerge w:val="continue"/>
                  <w:vAlign w:val="center"/>
                </w:tcPr>
                <w:p>
                  <w:pPr>
                    <w:jc w:val="center"/>
                    <w:rPr>
                      <w:rFonts w:ascii="Times New Roman" w:hAnsi="Times New Roman"/>
                      <w:color w:val="auto"/>
                      <w:szCs w:val="21"/>
                    </w:rPr>
                  </w:pPr>
                </w:p>
              </w:tc>
              <w:tc>
                <w:tcPr>
                  <w:tcW w:w="1111" w:type="dxa"/>
                  <w:vAlign w:val="center"/>
                </w:tcPr>
                <w:p>
                  <w:pPr>
                    <w:jc w:val="center"/>
                    <w:rPr>
                      <w:rFonts w:ascii="Times New Roman" w:hAnsi="Times New Roman"/>
                      <w:color w:val="auto"/>
                      <w:szCs w:val="21"/>
                    </w:rPr>
                  </w:pPr>
                  <w:r>
                    <w:rPr>
                      <w:rFonts w:ascii="Times New Roman" w:hAnsi="Times New Roman"/>
                      <w:color w:val="auto"/>
                      <w:szCs w:val="21"/>
                    </w:rPr>
                    <w:t>0.00008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1920" w:type="dxa"/>
                  <w:vMerge w:val="restart"/>
                  <w:vAlign w:val="center"/>
                </w:tcPr>
                <w:p>
                  <w:pPr>
                    <w:jc w:val="center"/>
                    <w:rPr>
                      <w:rFonts w:ascii="Times New Roman" w:hAnsi="Times New Roman"/>
                      <w:color w:val="auto"/>
                      <w:szCs w:val="21"/>
                    </w:rPr>
                  </w:pPr>
                  <w:r>
                    <w:rPr>
                      <w:rFonts w:ascii="Times New Roman" w:hAnsi="Times New Roman"/>
                      <w:color w:val="auto"/>
                      <w:szCs w:val="21"/>
                    </w:rPr>
                    <w:t>垃圾压缩</w:t>
                  </w:r>
                </w:p>
              </w:tc>
              <w:tc>
                <w:tcPr>
                  <w:tcW w:w="658" w:type="dxa"/>
                  <w:vMerge w:val="restart"/>
                  <w:vAlign w:val="center"/>
                </w:tcPr>
                <w:p>
                  <w:pPr>
                    <w:jc w:val="center"/>
                    <w:rPr>
                      <w:rFonts w:ascii="Times New Roman" w:hAnsi="Times New Roman"/>
                      <w:color w:val="auto"/>
                    </w:rPr>
                  </w:pPr>
                  <w:r>
                    <w:rPr>
                      <w:rFonts w:ascii="Times New Roman" w:hAnsi="Times New Roman"/>
                      <w:color w:val="auto"/>
                    </w:rPr>
                    <w:t>G2</w:t>
                  </w:r>
                </w:p>
              </w:tc>
              <w:tc>
                <w:tcPr>
                  <w:tcW w:w="1248" w:type="dxa"/>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1251" w:type="dxa"/>
                  <w:vMerge w:val="continue"/>
                  <w:vAlign w:val="center"/>
                </w:tcPr>
                <w:p>
                  <w:pPr>
                    <w:jc w:val="center"/>
                    <w:rPr>
                      <w:rFonts w:ascii="Times New Roman" w:hAnsi="Times New Roman"/>
                      <w:color w:val="auto"/>
                      <w:szCs w:val="21"/>
                    </w:rPr>
                  </w:pPr>
                </w:p>
              </w:tc>
              <w:tc>
                <w:tcPr>
                  <w:tcW w:w="1044" w:type="dxa"/>
                  <w:vAlign w:val="center"/>
                </w:tcPr>
                <w:p>
                  <w:pPr>
                    <w:jc w:val="center"/>
                    <w:rPr>
                      <w:rFonts w:ascii="Times New Roman" w:hAnsi="Times New Roman"/>
                      <w:color w:val="auto"/>
                      <w:szCs w:val="21"/>
                    </w:rPr>
                  </w:pPr>
                  <w:r>
                    <w:rPr>
                      <w:rFonts w:ascii="Times New Roman" w:hAnsi="Times New Roman"/>
                      <w:color w:val="auto"/>
                      <w:szCs w:val="21"/>
                    </w:rPr>
                    <w:t>0.0015</w:t>
                  </w:r>
                </w:p>
              </w:tc>
              <w:tc>
                <w:tcPr>
                  <w:tcW w:w="834" w:type="dxa"/>
                  <w:vMerge w:val="continue"/>
                  <w:vAlign w:val="center"/>
                </w:tcPr>
                <w:p>
                  <w:pPr>
                    <w:jc w:val="center"/>
                    <w:rPr>
                      <w:rFonts w:ascii="Times New Roman" w:hAnsi="Times New Roman"/>
                      <w:color w:val="auto"/>
                      <w:szCs w:val="21"/>
                    </w:rPr>
                  </w:pPr>
                </w:p>
              </w:tc>
              <w:tc>
                <w:tcPr>
                  <w:tcW w:w="1012" w:type="dxa"/>
                  <w:vMerge w:val="continue"/>
                  <w:vAlign w:val="center"/>
                </w:tcPr>
                <w:p>
                  <w:pPr>
                    <w:jc w:val="center"/>
                    <w:rPr>
                      <w:rFonts w:ascii="Times New Roman" w:hAnsi="Times New Roman"/>
                      <w:color w:val="auto"/>
                      <w:szCs w:val="21"/>
                    </w:rPr>
                  </w:pPr>
                </w:p>
              </w:tc>
              <w:tc>
                <w:tcPr>
                  <w:tcW w:w="1111" w:type="dxa"/>
                  <w:vAlign w:val="center"/>
                </w:tcPr>
                <w:p>
                  <w:pPr>
                    <w:jc w:val="center"/>
                    <w:rPr>
                      <w:rFonts w:ascii="Times New Roman" w:hAnsi="Times New Roman"/>
                      <w:color w:val="auto"/>
                      <w:szCs w:val="21"/>
                    </w:rPr>
                  </w:pPr>
                  <w:r>
                    <w:rPr>
                      <w:rFonts w:ascii="Times New Roman" w:hAnsi="Times New Roman"/>
                      <w:color w:val="auto"/>
                      <w:szCs w:val="21"/>
                    </w:rPr>
                    <w:t>0.0008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20" w:type="dxa"/>
                  <w:vMerge w:val="continue"/>
                  <w:vAlign w:val="center"/>
                </w:tcPr>
                <w:p>
                  <w:pPr>
                    <w:jc w:val="center"/>
                    <w:rPr>
                      <w:rFonts w:ascii="Times New Roman" w:hAnsi="Times New Roman"/>
                      <w:color w:val="auto"/>
                      <w:szCs w:val="21"/>
                    </w:rPr>
                  </w:pPr>
                </w:p>
              </w:tc>
              <w:tc>
                <w:tcPr>
                  <w:tcW w:w="658" w:type="dxa"/>
                  <w:vMerge w:val="continue"/>
                  <w:vAlign w:val="center"/>
                </w:tcPr>
                <w:p>
                  <w:pPr>
                    <w:jc w:val="center"/>
                    <w:rPr>
                      <w:rFonts w:ascii="Times New Roman" w:hAnsi="Times New Roman"/>
                      <w:color w:val="auto"/>
                      <w:szCs w:val="21"/>
                    </w:rPr>
                  </w:pPr>
                </w:p>
              </w:tc>
              <w:tc>
                <w:tcPr>
                  <w:tcW w:w="1248" w:type="dxa"/>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1251" w:type="dxa"/>
                  <w:vMerge w:val="continue"/>
                  <w:vAlign w:val="center"/>
                </w:tcPr>
                <w:p>
                  <w:pPr>
                    <w:jc w:val="center"/>
                    <w:rPr>
                      <w:rFonts w:ascii="Times New Roman" w:hAnsi="Times New Roman"/>
                      <w:color w:val="auto"/>
                      <w:szCs w:val="21"/>
                    </w:rPr>
                  </w:pPr>
                </w:p>
              </w:tc>
              <w:tc>
                <w:tcPr>
                  <w:tcW w:w="1044" w:type="dxa"/>
                  <w:vAlign w:val="center"/>
                </w:tcPr>
                <w:p>
                  <w:pPr>
                    <w:jc w:val="center"/>
                    <w:rPr>
                      <w:rFonts w:ascii="Times New Roman" w:hAnsi="Times New Roman"/>
                      <w:color w:val="auto"/>
                      <w:szCs w:val="21"/>
                    </w:rPr>
                  </w:pPr>
                  <w:r>
                    <w:rPr>
                      <w:rFonts w:ascii="Times New Roman" w:hAnsi="Times New Roman"/>
                      <w:color w:val="auto"/>
                      <w:szCs w:val="21"/>
                    </w:rPr>
                    <w:t>0.00015</w:t>
                  </w:r>
                </w:p>
              </w:tc>
              <w:tc>
                <w:tcPr>
                  <w:tcW w:w="834" w:type="dxa"/>
                  <w:vMerge w:val="continue"/>
                  <w:vAlign w:val="center"/>
                </w:tcPr>
                <w:p>
                  <w:pPr>
                    <w:jc w:val="center"/>
                    <w:rPr>
                      <w:rFonts w:ascii="Times New Roman" w:hAnsi="Times New Roman"/>
                      <w:color w:val="auto"/>
                      <w:szCs w:val="21"/>
                    </w:rPr>
                  </w:pPr>
                </w:p>
              </w:tc>
              <w:tc>
                <w:tcPr>
                  <w:tcW w:w="1012" w:type="dxa"/>
                  <w:vMerge w:val="continue"/>
                  <w:vAlign w:val="center"/>
                </w:tcPr>
                <w:p>
                  <w:pPr>
                    <w:jc w:val="center"/>
                    <w:rPr>
                      <w:rFonts w:ascii="Times New Roman" w:hAnsi="Times New Roman"/>
                      <w:color w:val="auto"/>
                      <w:szCs w:val="21"/>
                    </w:rPr>
                  </w:pPr>
                </w:p>
              </w:tc>
              <w:tc>
                <w:tcPr>
                  <w:tcW w:w="1111" w:type="dxa"/>
                  <w:vAlign w:val="center"/>
                </w:tcPr>
                <w:p>
                  <w:pPr>
                    <w:jc w:val="center"/>
                    <w:rPr>
                      <w:rFonts w:ascii="Times New Roman" w:hAnsi="Times New Roman"/>
                      <w:color w:val="auto"/>
                      <w:szCs w:val="21"/>
                    </w:rPr>
                  </w:pPr>
                  <w:r>
                    <w:rPr>
                      <w:rFonts w:ascii="Times New Roman" w:hAnsi="Times New Roman"/>
                      <w:color w:val="auto"/>
                      <w:szCs w:val="21"/>
                    </w:rPr>
                    <w:t>0.00008</w:t>
                  </w:r>
                </w:p>
              </w:tc>
            </w:tr>
          </w:tbl>
          <w:p>
            <w:pPr>
              <w:ind w:firstLine="482" w:firstLineChars="200"/>
              <w:jc w:val="center"/>
              <w:rPr>
                <w:rFonts w:ascii="Times New Roman" w:hAnsi="Times New Roman"/>
                <w:b/>
                <w:bCs/>
                <w:color w:val="auto"/>
                <w:sz w:val="24"/>
              </w:rPr>
            </w:pPr>
            <w:r>
              <w:rPr>
                <w:rFonts w:ascii="Times New Roman" w:hAnsi="Times New Roman"/>
                <w:b/>
                <w:bCs/>
                <w:color w:val="auto"/>
                <w:sz w:val="24"/>
              </w:rPr>
              <w:t>表5-5   大气污染物无组织排放量核算表</w:t>
            </w:r>
          </w:p>
          <w:tbl>
            <w:tblPr>
              <w:tblStyle w:val="26"/>
              <w:tblW w:w="909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159"/>
              <w:gridCol w:w="1134"/>
              <w:gridCol w:w="743"/>
              <w:gridCol w:w="533"/>
              <w:gridCol w:w="2399"/>
              <w:gridCol w:w="294"/>
              <w:gridCol w:w="1418"/>
              <w:gridCol w:w="9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2" w:hRule="atLeast"/>
              </w:trPr>
              <w:tc>
                <w:tcPr>
                  <w:tcW w:w="426" w:type="dxa"/>
                  <w:vAlign w:val="center"/>
                </w:tcPr>
                <w:p>
                  <w:pPr>
                    <w:jc w:val="center"/>
                    <w:rPr>
                      <w:rFonts w:ascii="Times New Roman" w:hAnsi="Times New Roman"/>
                      <w:color w:val="auto"/>
                      <w:szCs w:val="21"/>
                    </w:rPr>
                  </w:pPr>
                  <w:r>
                    <w:rPr>
                      <w:rFonts w:ascii="Times New Roman" w:hAnsi="Times New Roman"/>
                      <w:color w:val="auto"/>
                      <w:szCs w:val="21"/>
                    </w:rPr>
                    <w:t>序号</w:t>
                  </w:r>
                </w:p>
              </w:tc>
              <w:tc>
                <w:tcPr>
                  <w:tcW w:w="1159" w:type="dxa"/>
                  <w:vAlign w:val="center"/>
                </w:tcPr>
                <w:p>
                  <w:pPr>
                    <w:jc w:val="center"/>
                    <w:rPr>
                      <w:rFonts w:ascii="Times New Roman" w:hAnsi="Times New Roman"/>
                      <w:color w:val="auto"/>
                      <w:szCs w:val="21"/>
                    </w:rPr>
                  </w:pPr>
                  <w:r>
                    <w:rPr>
                      <w:rFonts w:ascii="Times New Roman" w:hAnsi="Times New Roman"/>
                      <w:color w:val="auto"/>
                      <w:szCs w:val="21"/>
                    </w:rPr>
                    <w:t>污染源</w:t>
                  </w:r>
                </w:p>
              </w:tc>
              <w:tc>
                <w:tcPr>
                  <w:tcW w:w="1134" w:type="dxa"/>
                  <w:vAlign w:val="center"/>
                </w:tcPr>
                <w:p>
                  <w:pPr>
                    <w:jc w:val="center"/>
                    <w:rPr>
                      <w:rFonts w:ascii="Times New Roman" w:hAnsi="Times New Roman"/>
                      <w:color w:val="auto"/>
                      <w:szCs w:val="21"/>
                    </w:rPr>
                  </w:pPr>
                  <w:r>
                    <w:rPr>
                      <w:rFonts w:ascii="Times New Roman" w:hAnsi="Times New Roman"/>
                      <w:color w:val="auto"/>
                      <w:szCs w:val="21"/>
                    </w:rPr>
                    <w:t>污染物</w:t>
                  </w:r>
                </w:p>
              </w:tc>
              <w:tc>
                <w:tcPr>
                  <w:tcW w:w="1276" w:type="dxa"/>
                  <w:gridSpan w:val="2"/>
                  <w:vAlign w:val="center"/>
                </w:tcPr>
                <w:p>
                  <w:pPr>
                    <w:jc w:val="center"/>
                    <w:rPr>
                      <w:rFonts w:ascii="Times New Roman" w:hAnsi="Times New Roman"/>
                      <w:color w:val="auto"/>
                      <w:szCs w:val="21"/>
                    </w:rPr>
                  </w:pPr>
                  <w:r>
                    <w:rPr>
                      <w:rFonts w:ascii="Times New Roman" w:hAnsi="Times New Roman"/>
                      <w:color w:val="auto"/>
                      <w:szCs w:val="21"/>
                    </w:rPr>
                    <w:t>主要污染物防治措施</w:t>
                  </w:r>
                </w:p>
              </w:tc>
              <w:tc>
                <w:tcPr>
                  <w:tcW w:w="2693" w:type="dxa"/>
                  <w:gridSpan w:val="2"/>
                  <w:vAlign w:val="center"/>
                </w:tcPr>
                <w:p>
                  <w:pPr>
                    <w:jc w:val="center"/>
                    <w:rPr>
                      <w:rFonts w:ascii="Times New Roman" w:hAnsi="Times New Roman"/>
                      <w:color w:val="auto"/>
                      <w:szCs w:val="21"/>
                    </w:rPr>
                  </w:pPr>
                  <w:r>
                    <w:rPr>
                      <w:rFonts w:ascii="Times New Roman" w:hAnsi="Times New Roman"/>
                      <w:color w:val="auto"/>
                      <w:szCs w:val="21"/>
                    </w:rPr>
                    <w:t>国家或地方污染物排放标准</w:t>
                  </w:r>
                </w:p>
              </w:tc>
              <w:tc>
                <w:tcPr>
                  <w:tcW w:w="1418" w:type="dxa"/>
                  <w:vAlign w:val="center"/>
                </w:tcPr>
                <w:p>
                  <w:pPr>
                    <w:jc w:val="center"/>
                    <w:rPr>
                      <w:rFonts w:ascii="Times New Roman" w:hAnsi="Times New Roman"/>
                      <w:color w:val="auto"/>
                      <w:szCs w:val="21"/>
                    </w:rPr>
                  </w:pPr>
                  <w:r>
                    <w:rPr>
                      <w:rFonts w:ascii="Times New Roman" w:hAnsi="Times New Roman"/>
                      <w:color w:val="auto"/>
                      <w:szCs w:val="21"/>
                    </w:rPr>
                    <w:t>浓度限值（mg/m</w:t>
                  </w:r>
                  <w:r>
                    <w:rPr>
                      <w:rFonts w:ascii="Times New Roman" w:hAnsi="Times New Roman"/>
                      <w:color w:val="auto"/>
                      <w:szCs w:val="21"/>
                      <w:vertAlign w:val="superscript"/>
                    </w:rPr>
                    <w:t>3</w:t>
                  </w:r>
                  <w:r>
                    <w:rPr>
                      <w:rFonts w:ascii="Times New Roman" w:hAnsi="Times New Roman"/>
                      <w:color w:val="auto"/>
                      <w:szCs w:val="21"/>
                    </w:rPr>
                    <w:t>）</w:t>
                  </w:r>
                </w:p>
              </w:tc>
              <w:tc>
                <w:tcPr>
                  <w:tcW w:w="988" w:type="dxa"/>
                  <w:vAlign w:val="center"/>
                </w:tcPr>
                <w:p>
                  <w:pPr>
                    <w:jc w:val="center"/>
                    <w:rPr>
                      <w:rFonts w:ascii="Times New Roman" w:hAnsi="Times New Roman"/>
                      <w:color w:val="auto"/>
                      <w:szCs w:val="21"/>
                    </w:rPr>
                  </w:pPr>
                  <w:r>
                    <w:rPr>
                      <w:rFonts w:ascii="Times New Roman" w:hAnsi="Times New Roman"/>
                      <w:color w:val="auto"/>
                      <w:szCs w:val="21"/>
                    </w:rPr>
                    <w:t>年排放量（t/a）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26" w:type="dxa"/>
                  <w:vMerge w:val="restart"/>
                  <w:vAlign w:val="center"/>
                </w:tcPr>
                <w:p>
                  <w:pPr>
                    <w:jc w:val="center"/>
                    <w:rPr>
                      <w:rFonts w:ascii="Times New Roman" w:hAnsi="Times New Roman"/>
                      <w:color w:val="auto"/>
                      <w:szCs w:val="21"/>
                    </w:rPr>
                  </w:pPr>
                  <w:r>
                    <w:rPr>
                      <w:rFonts w:ascii="Times New Roman" w:hAnsi="Times New Roman"/>
                      <w:color w:val="auto"/>
                      <w:szCs w:val="21"/>
                    </w:rPr>
                    <w:t>1</w:t>
                  </w:r>
                </w:p>
              </w:tc>
              <w:tc>
                <w:tcPr>
                  <w:tcW w:w="1159" w:type="dxa"/>
                  <w:vMerge w:val="restart"/>
                  <w:vAlign w:val="center"/>
                </w:tcPr>
                <w:p>
                  <w:pPr>
                    <w:jc w:val="center"/>
                    <w:rPr>
                      <w:rFonts w:ascii="Times New Roman" w:hAnsi="Times New Roman"/>
                      <w:color w:val="auto"/>
                      <w:szCs w:val="21"/>
                    </w:rPr>
                  </w:pPr>
                  <w:r>
                    <w:rPr>
                      <w:rFonts w:ascii="Times New Roman" w:hAnsi="Times New Roman"/>
                      <w:color w:val="auto"/>
                      <w:szCs w:val="21"/>
                    </w:rPr>
                    <w:t>垃圾卸料</w:t>
                  </w:r>
                </w:p>
              </w:tc>
              <w:tc>
                <w:tcPr>
                  <w:tcW w:w="1134" w:type="dxa"/>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1276" w:type="dxa"/>
                  <w:gridSpan w:val="2"/>
                  <w:vMerge w:val="restart"/>
                  <w:vAlign w:val="center"/>
                </w:tcPr>
                <w:p>
                  <w:pPr>
                    <w:jc w:val="center"/>
                    <w:rPr>
                      <w:rFonts w:ascii="Times New Roman" w:hAnsi="Times New Roman"/>
                      <w:color w:val="auto"/>
                      <w:szCs w:val="21"/>
                    </w:rPr>
                  </w:pPr>
                  <w:r>
                    <w:rPr>
                      <w:rFonts w:ascii="Times New Roman" w:hAnsi="Times New Roman"/>
                      <w:color w:val="auto"/>
                      <w:szCs w:val="21"/>
                    </w:rPr>
                    <w:t>雾化喷洒除臭剂</w:t>
                  </w:r>
                </w:p>
              </w:tc>
              <w:tc>
                <w:tcPr>
                  <w:tcW w:w="2693" w:type="dxa"/>
                  <w:gridSpan w:val="2"/>
                  <w:vMerge w:val="restart"/>
                  <w:vAlign w:val="center"/>
                </w:tcPr>
                <w:p>
                  <w:pPr>
                    <w:jc w:val="center"/>
                    <w:rPr>
                      <w:rFonts w:ascii="Times New Roman" w:hAnsi="Times New Roman"/>
                      <w:color w:val="auto"/>
                      <w:szCs w:val="21"/>
                    </w:rPr>
                  </w:pPr>
                  <w:r>
                    <w:rPr>
                      <w:rFonts w:ascii="Times New Roman" w:hAnsi="Times New Roman"/>
                      <w:color w:val="auto"/>
                      <w:szCs w:val="21"/>
                    </w:rPr>
                    <w:t>《恶臭污染物排放标准》(GB14554-1993) 表1二级</w:t>
                  </w:r>
                </w:p>
              </w:tc>
              <w:tc>
                <w:tcPr>
                  <w:tcW w:w="1418" w:type="dxa"/>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1.5</w:t>
                  </w:r>
                </w:p>
              </w:tc>
              <w:tc>
                <w:tcPr>
                  <w:tcW w:w="988" w:type="dxa"/>
                  <w:vAlign w:val="center"/>
                </w:tcPr>
                <w:p>
                  <w:pPr>
                    <w:jc w:val="center"/>
                    <w:rPr>
                      <w:rFonts w:ascii="Times New Roman" w:hAnsi="Times New Roman"/>
                      <w:color w:val="auto"/>
                      <w:szCs w:val="21"/>
                    </w:rPr>
                  </w:pPr>
                  <w:r>
                    <w:rPr>
                      <w:rFonts w:ascii="Times New Roman" w:hAnsi="Times New Roman"/>
                      <w:color w:val="auto"/>
                      <w:szCs w:val="21"/>
                    </w:rPr>
                    <w:t>0.0008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pStyle w:val="2"/>
                    <w:rPr>
                      <w:rFonts w:ascii="Times New Roman" w:hAnsi="Times New Roman"/>
                      <w:color w:val="auto"/>
                    </w:rPr>
                  </w:pPr>
                </w:p>
              </w:tc>
              <w:tc>
                <w:tcPr>
                  <w:tcW w:w="1159" w:type="dxa"/>
                  <w:vMerge w:val="continue"/>
                  <w:vAlign w:val="center"/>
                </w:tcPr>
                <w:p>
                  <w:pPr>
                    <w:jc w:val="center"/>
                    <w:rPr>
                      <w:rFonts w:ascii="Times New Roman" w:hAnsi="Times New Roman"/>
                      <w:color w:val="auto"/>
                      <w:szCs w:val="21"/>
                    </w:rPr>
                  </w:pPr>
                </w:p>
              </w:tc>
              <w:tc>
                <w:tcPr>
                  <w:tcW w:w="1134" w:type="dxa"/>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1276" w:type="dxa"/>
                  <w:gridSpan w:val="2"/>
                  <w:vMerge w:val="continue"/>
                  <w:vAlign w:val="center"/>
                </w:tcPr>
                <w:p>
                  <w:pPr>
                    <w:jc w:val="center"/>
                    <w:rPr>
                      <w:rFonts w:ascii="Times New Roman" w:hAnsi="Times New Roman"/>
                      <w:color w:val="auto"/>
                      <w:szCs w:val="21"/>
                    </w:rPr>
                  </w:pPr>
                </w:p>
              </w:tc>
              <w:tc>
                <w:tcPr>
                  <w:tcW w:w="2693" w:type="dxa"/>
                  <w:gridSpan w:val="2"/>
                  <w:vMerge w:val="continue"/>
                  <w:vAlign w:val="center"/>
                </w:tcPr>
                <w:p>
                  <w:pPr>
                    <w:jc w:val="center"/>
                    <w:rPr>
                      <w:rFonts w:ascii="Times New Roman" w:hAnsi="Times New Roman"/>
                      <w:color w:val="auto"/>
                      <w:szCs w:val="21"/>
                    </w:rPr>
                  </w:pPr>
                </w:p>
              </w:tc>
              <w:tc>
                <w:tcPr>
                  <w:tcW w:w="1418" w:type="dxa"/>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0.06</w:t>
                  </w:r>
                </w:p>
              </w:tc>
              <w:tc>
                <w:tcPr>
                  <w:tcW w:w="988" w:type="dxa"/>
                  <w:vAlign w:val="center"/>
                </w:tcPr>
                <w:p>
                  <w:pPr>
                    <w:jc w:val="center"/>
                    <w:rPr>
                      <w:rFonts w:ascii="Times New Roman" w:hAnsi="Times New Roman"/>
                      <w:color w:val="auto"/>
                      <w:szCs w:val="21"/>
                    </w:rPr>
                  </w:pPr>
                  <w:r>
                    <w:rPr>
                      <w:rFonts w:ascii="Times New Roman" w:hAnsi="Times New Roman"/>
                      <w:color w:val="auto"/>
                      <w:szCs w:val="21"/>
                    </w:rPr>
                    <w:t>0.00008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pStyle w:val="2"/>
                    <w:rPr>
                      <w:rFonts w:ascii="Times New Roman" w:hAnsi="Times New Roman"/>
                      <w:color w:val="auto"/>
                    </w:rPr>
                  </w:pPr>
                </w:p>
              </w:tc>
              <w:tc>
                <w:tcPr>
                  <w:tcW w:w="1159" w:type="dxa"/>
                  <w:vMerge w:val="continue"/>
                  <w:vAlign w:val="center"/>
                </w:tcPr>
                <w:p>
                  <w:pPr>
                    <w:jc w:val="center"/>
                    <w:rPr>
                      <w:rFonts w:ascii="Times New Roman" w:hAnsi="Times New Roman"/>
                      <w:color w:val="auto"/>
                      <w:szCs w:val="21"/>
                    </w:rPr>
                  </w:pPr>
                </w:p>
              </w:tc>
              <w:tc>
                <w:tcPr>
                  <w:tcW w:w="1134" w:type="dxa"/>
                  <w:vAlign w:val="center"/>
                </w:tcPr>
                <w:p>
                  <w:pPr>
                    <w:jc w:val="center"/>
                    <w:rPr>
                      <w:rFonts w:ascii="Times New Roman" w:hAnsi="Times New Roman"/>
                      <w:color w:val="auto"/>
                      <w:szCs w:val="21"/>
                    </w:rPr>
                  </w:pPr>
                  <w:r>
                    <w:rPr>
                      <w:rFonts w:ascii="Times New Roman" w:hAnsi="Times New Roman"/>
                      <w:color w:val="auto"/>
                      <w:szCs w:val="21"/>
                    </w:rPr>
                    <w:t>臭气浓度</w:t>
                  </w:r>
                </w:p>
              </w:tc>
              <w:tc>
                <w:tcPr>
                  <w:tcW w:w="1276" w:type="dxa"/>
                  <w:gridSpan w:val="2"/>
                  <w:vMerge w:val="continue"/>
                  <w:vAlign w:val="center"/>
                </w:tcPr>
                <w:p>
                  <w:pPr>
                    <w:jc w:val="center"/>
                    <w:rPr>
                      <w:rFonts w:ascii="Times New Roman" w:hAnsi="Times New Roman"/>
                      <w:color w:val="auto"/>
                      <w:szCs w:val="21"/>
                    </w:rPr>
                  </w:pPr>
                </w:p>
              </w:tc>
              <w:tc>
                <w:tcPr>
                  <w:tcW w:w="2693" w:type="dxa"/>
                  <w:gridSpan w:val="2"/>
                  <w:vMerge w:val="continue"/>
                  <w:vAlign w:val="center"/>
                </w:tcPr>
                <w:p>
                  <w:pPr>
                    <w:jc w:val="center"/>
                    <w:rPr>
                      <w:rFonts w:ascii="Times New Roman" w:hAnsi="Times New Roman"/>
                      <w:color w:val="auto"/>
                      <w:szCs w:val="21"/>
                    </w:rPr>
                  </w:pPr>
                </w:p>
              </w:tc>
              <w:tc>
                <w:tcPr>
                  <w:tcW w:w="1418" w:type="dxa"/>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20（无量纲）</w:t>
                  </w:r>
                </w:p>
              </w:tc>
              <w:tc>
                <w:tcPr>
                  <w:tcW w:w="988" w:type="dxa"/>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26" w:type="dxa"/>
                  <w:vMerge w:val="restart"/>
                  <w:vAlign w:val="center"/>
                </w:tcPr>
                <w:p>
                  <w:pPr>
                    <w:jc w:val="center"/>
                    <w:rPr>
                      <w:rFonts w:ascii="Times New Roman" w:hAnsi="Times New Roman"/>
                      <w:color w:val="auto"/>
                    </w:rPr>
                  </w:pPr>
                  <w:r>
                    <w:rPr>
                      <w:rFonts w:ascii="Times New Roman" w:hAnsi="Times New Roman"/>
                      <w:color w:val="auto"/>
                      <w:szCs w:val="21"/>
                    </w:rPr>
                    <w:t>2</w:t>
                  </w:r>
                </w:p>
              </w:tc>
              <w:tc>
                <w:tcPr>
                  <w:tcW w:w="1159" w:type="dxa"/>
                  <w:vMerge w:val="restart"/>
                  <w:vAlign w:val="center"/>
                </w:tcPr>
                <w:p>
                  <w:pPr>
                    <w:jc w:val="center"/>
                    <w:rPr>
                      <w:rFonts w:ascii="Times New Roman" w:hAnsi="Times New Roman"/>
                      <w:color w:val="auto"/>
                      <w:szCs w:val="21"/>
                    </w:rPr>
                  </w:pPr>
                  <w:r>
                    <w:rPr>
                      <w:rFonts w:ascii="Times New Roman" w:hAnsi="Times New Roman"/>
                      <w:color w:val="auto"/>
                      <w:szCs w:val="21"/>
                    </w:rPr>
                    <w:t>垃圾压缩</w:t>
                  </w:r>
                </w:p>
              </w:tc>
              <w:tc>
                <w:tcPr>
                  <w:tcW w:w="1134" w:type="dxa"/>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1276" w:type="dxa"/>
                  <w:gridSpan w:val="2"/>
                  <w:vMerge w:val="continue"/>
                  <w:vAlign w:val="center"/>
                </w:tcPr>
                <w:p>
                  <w:pPr>
                    <w:jc w:val="center"/>
                    <w:rPr>
                      <w:rFonts w:ascii="Times New Roman" w:hAnsi="Times New Roman"/>
                      <w:color w:val="auto"/>
                      <w:szCs w:val="21"/>
                    </w:rPr>
                  </w:pPr>
                </w:p>
              </w:tc>
              <w:tc>
                <w:tcPr>
                  <w:tcW w:w="2693" w:type="dxa"/>
                  <w:gridSpan w:val="2"/>
                  <w:vMerge w:val="continue"/>
                  <w:vAlign w:val="center"/>
                </w:tcPr>
                <w:p>
                  <w:pPr>
                    <w:jc w:val="center"/>
                    <w:rPr>
                      <w:rFonts w:ascii="Times New Roman" w:hAnsi="Times New Roman"/>
                      <w:color w:val="auto"/>
                      <w:szCs w:val="21"/>
                    </w:rPr>
                  </w:pPr>
                </w:p>
              </w:tc>
              <w:tc>
                <w:tcPr>
                  <w:tcW w:w="1418" w:type="dxa"/>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1.5</w:t>
                  </w:r>
                </w:p>
              </w:tc>
              <w:tc>
                <w:tcPr>
                  <w:tcW w:w="988" w:type="dxa"/>
                  <w:vAlign w:val="center"/>
                </w:tcPr>
                <w:p>
                  <w:pPr>
                    <w:jc w:val="center"/>
                    <w:rPr>
                      <w:rFonts w:ascii="Times New Roman" w:hAnsi="Times New Roman"/>
                      <w:color w:val="auto"/>
                      <w:szCs w:val="21"/>
                    </w:rPr>
                  </w:pPr>
                  <w:r>
                    <w:rPr>
                      <w:rFonts w:ascii="Times New Roman" w:hAnsi="Times New Roman"/>
                      <w:color w:val="auto"/>
                      <w:szCs w:val="21"/>
                    </w:rPr>
                    <w:t>0.0008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jc w:val="center"/>
                    <w:rPr>
                      <w:rFonts w:ascii="Times New Roman" w:hAnsi="Times New Roman"/>
                      <w:color w:val="auto"/>
                    </w:rPr>
                  </w:pPr>
                </w:p>
              </w:tc>
              <w:tc>
                <w:tcPr>
                  <w:tcW w:w="1159" w:type="dxa"/>
                  <w:vMerge w:val="continue"/>
                  <w:vAlign w:val="center"/>
                </w:tcPr>
                <w:p>
                  <w:pPr>
                    <w:jc w:val="center"/>
                    <w:rPr>
                      <w:rFonts w:ascii="Times New Roman" w:hAnsi="Times New Roman"/>
                      <w:color w:val="auto"/>
                      <w:szCs w:val="21"/>
                    </w:rPr>
                  </w:pPr>
                </w:p>
              </w:tc>
              <w:tc>
                <w:tcPr>
                  <w:tcW w:w="1134" w:type="dxa"/>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1276" w:type="dxa"/>
                  <w:gridSpan w:val="2"/>
                  <w:vMerge w:val="continue"/>
                  <w:vAlign w:val="center"/>
                </w:tcPr>
                <w:p>
                  <w:pPr>
                    <w:jc w:val="center"/>
                    <w:rPr>
                      <w:rFonts w:ascii="Times New Roman" w:hAnsi="Times New Roman"/>
                      <w:color w:val="auto"/>
                      <w:szCs w:val="21"/>
                    </w:rPr>
                  </w:pPr>
                </w:p>
              </w:tc>
              <w:tc>
                <w:tcPr>
                  <w:tcW w:w="2693" w:type="dxa"/>
                  <w:gridSpan w:val="2"/>
                  <w:vMerge w:val="continue"/>
                  <w:vAlign w:val="center"/>
                </w:tcPr>
                <w:p>
                  <w:pPr>
                    <w:jc w:val="center"/>
                    <w:rPr>
                      <w:rFonts w:ascii="Times New Roman" w:hAnsi="Times New Roman"/>
                      <w:color w:val="auto"/>
                      <w:szCs w:val="21"/>
                    </w:rPr>
                  </w:pPr>
                </w:p>
              </w:tc>
              <w:tc>
                <w:tcPr>
                  <w:tcW w:w="1418" w:type="dxa"/>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0.06</w:t>
                  </w:r>
                </w:p>
              </w:tc>
              <w:tc>
                <w:tcPr>
                  <w:tcW w:w="988" w:type="dxa"/>
                  <w:vAlign w:val="center"/>
                </w:tcPr>
                <w:p>
                  <w:pPr>
                    <w:jc w:val="center"/>
                    <w:rPr>
                      <w:rFonts w:ascii="Times New Roman" w:hAnsi="Times New Roman"/>
                      <w:color w:val="auto"/>
                      <w:szCs w:val="21"/>
                    </w:rPr>
                  </w:pPr>
                  <w:r>
                    <w:rPr>
                      <w:rFonts w:ascii="Times New Roman" w:hAnsi="Times New Roman"/>
                      <w:color w:val="auto"/>
                      <w:szCs w:val="21"/>
                    </w:rPr>
                    <w:t>0.00008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jc w:val="center"/>
                    <w:rPr>
                      <w:rFonts w:ascii="Times New Roman" w:hAnsi="Times New Roman"/>
                      <w:color w:val="auto"/>
                      <w:szCs w:val="21"/>
                    </w:rPr>
                  </w:pPr>
                </w:p>
              </w:tc>
              <w:tc>
                <w:tcPr>
                  <w:tcW w:w="1159" w:type="dxa"/>
                  <w:vMerge w:val="continue"/>
                  <w:vAlign w:val="center"/>
                </w:tcPr>
                <w:p>
                  <w:pPr>
                    <w:jc w:val="center"/>
                    <w:rPr>
                      <w:rFonts w:ascii="Times New Roman" w:hAnsi="Times New Roman"/>
                      <w:color w:val="auto"/>
                      <w:szCs w:val="21"/>
                    </w:rPr>
                  </w:pPr>
                </w:p>
              </w:tc>
              <w:tc>
                <w:tcPr>
                  <w:tcW w:w="1134" w:type="dxa"/>
                  <w:vAlign w:val="center"/>
                </w:tcPr>
                <w:p>
                  <w:pPr>
                    <w:jc w:val="center"/>
                    <w:rPr>
                      <w:rFonts w:ascii="Times New Roman" w:hAnsi="Times New Roman"/>
                      <w:color w:val="auto"/>
                      <w:szCs w:val="21"/>
                    </w:rPr>
                  </w:pPr>
                  <w:r>
                    <w:rPr>
                      <w:rFonts w:ascii="Times New Roman" w:hAnsi="Times New Roman"/>
                      <w:color w:val="auto"/>
                      <w:szCs w:val="21"/>
                    </w:rPr>
                    <w:t>臭气浓度</w:t>
                  </w:r>
                </w:p>
              </w:tc>
              <w:tc>
                <w:tcPr>
                  <w:tcW w:w="1276" w:type="dxa"/>
                  <w:gridSpan w:val="2"/>
                  <w:vMerge w:val="continue"/>
                  <w:vAlign w:val="center"/>
                </w:tcPr>
                <w:p>
                  <w:pPr>
                    <w:jc w:val="center"/>
                    <w:rPr>
                      <w:rFonts w:ascii="Times New Roman" w:hAnsi="Times New Roman"/>
                      <w:color w:val="auto"/>
                      <w:szCs w:val="21"/>
                    </w:rPr>
                  </w:pPr>
                </w:p>
              </w:tc>
              <w:tc>
                <w:tcPr>
                  <w:tcW w:w="2693" w:type="dxa"/>
                  <w:gridSpan w:val="2"/>
                  <w:vMerge w:val="continue"/>
                  <w:vAlign w:val="center"/>
                </w:tcPr>
                <w:p>
                  <w:pPr>
                    <w:jc w:val="center"/>
                    <w:rPr>
                      <w:rFonts w:ascii="Times New Roman" w:hAnsi="Times New Roman"/>
                      <w:color w:val="auto"/>
                      <w:szCs w:val="21"/>
                    </w:rPr>
                  </w:pPr>
                </w:p>
              </w:tc>
              <w:tc>
                <w:tcPr>
                  <w:tcW w:w="1418" w:type="dxa"/>
                  <w:vAlign w:val="center"/>
                </w:tcPr>
                <w:p>
                  <w:pPr>
                    <w:pStyle w:val="14"/>
                    <w:contextualSpacing/>
                    <w:jc w:val="center"/>
                    <w:rPr>
                      <w:rFonts w:ascii="Times New Roman" w:hAnsi="Times New Roman"/>
                      <w:color w:val="auto"/>
                      <w:kern w:val="21"/>
                      <w:szCs w:val="21"/>
                    </w:rPr>
                  </w:pPr>
                  <w:r>
                    <w:rPr>
                      <w:rFonts w:ascii="Times New Roman" w:hAnsi="Times New Roman"/>
                      <w:color w:val="auto"/>
                      <w:kern w:val="21"/>
                      <w:szCs w:val="21"/>
                    </w:rPr>
                    <w:t>20（无量纲）</w:t>
                  </w:r>
                </w:p>
              </w:tc>
              <w:tc>
                <w:tcPr>
                  <w:tcW w:w="988" w:type="dxa"/>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094" w:type="dxa"/>
                  <w:gridSpan w:val="9"/>
                  <w:vAlign w:val="center"/>
                </w:tcPr>
                <w:p>
                  <w:pPr>
                    <w:jc w:val="center"/>
                    <w:rPr>
                      <w:rFonts w:ascii="Times New Roman" w:hAnsi="Times New Roman"/>
                      <w:color w:val="auto"/>
                      <w:szCs w:val="21"/>
                    </w:rPr>
                  </w:pPr>
                  <w:r>
                    <w:rPr>
                      <w:rFonts w:ascii="Times New Roman" w:hAnsi="Times New Roman"/>
                      <w:color w:val="auto"/>
                      <w:szCs w:val="21"/>
                    </w:rPr>
                    <w:t>无组织排放总计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462" w:type="dxa"/>
                  <w:gridSpan w:val="4"/>
                  <w:vMerge w:val="restart"/>
                  <w:vAlign w:val="center"/>
                </w:tcPr>
                <w:p>
                  <w:pPr>
                    <w:jc w:val="center"/>
                    <w:rPr>
                      <w:rFonts w:ascii="Times New Roman" w:hAnsi="Times New Roman"/>
                      <w:color w:val="auto"/>
                      <w:szCs w:val="21"/>
                    </w:rPr>
                  </w:pPr>
                  <w:r>
                    <w:rPr>
                      <w:rFonts w:ascii="Times New Roman" w:hAnsi="Times New Roman"/>
                      <w:color w:val="auto"/>
                      <w:szCs w:val="21"/>
                    </w:rPr>
                    <w:t>无组织排放总计</w:t>
                  </w:r>
                </w:p>
              </w:tc>
              <w:tc>
                <w:tcPr>
                  <w:tcW w:w="2932" w:type="dxa"/>
                  <w:gridSpan w:val="2"/>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2700" w:type="dxa"/>
                  <w:gridSpan w:val="3"/>
                  <w:vAlign w:val="center"/>
                </w:tcPr>
                <w:p>
                  <w:pPr>
                    <w:jc w:val="center"/>
                    <w:rPr>
                      <w:rFonts w:ascii="Times New Roman" w:hAnsi="Times New Roman"/>
                      <w:color w:val="auto"/>
                      <w:szCs w:val="21"/>
                    </w:rPr>
                  </w:pPr>
                  <w:r>
                    <w:rPr>
                      <w:rFonts w:ascii="Times New Roman" w:hAnsi="Times New Roman"/>
                      <w:color w:val="auto"/>
                      <w:szCs w:val="21"/>
                    </w:rPr>
                    <w:t>0.0015t/a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462" w:type="dxa"/>
                  <w:gridSpan w:val="4"/>
                  <w:vMerge w:val="continue"/>
                  <w:vAlign w:val="center"/>
                </w:tcPr>
                <w:p>
                  <w:pPr>
                    <w:pStyle w:val="2"/>
                    <w:rPr>
                      <w:rFonts w:ascii="Times New Roman" w:hAnsi="Times New Roman"/>
                      <w:color w:val="auto"/>
                    </w:rPr>
                  </w:pPr>
                </w:p>
              </w:tc>
              <w:tc>
                <w:tcPr>
                  <w:tcW w:w="2932" w:type="dxa"/>
                  <w:gridSpan w:val="2"/>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2700" w:type="dxa"/>
                  <w:gridSpan w:val="3"/>
                  <w:vAlign w:val="center"/>
                </w:tcPr>
                <w:p>
                  <w:pPr>
                    <w:jc w:val="center"/>
                    <w:rPr>
                      <w:rFonts w:ascii="Times New Roman" w:hAnsi="Times New Roman"/>
                      <w:color w:val="auto"/>
                      <w:szCs w:val="21"/>
                    </w:rPr>
                  </w:pPr>
                  <w:r>
                    <w:rPr>
                      <w:rFonts w:ascii="Times New Roman" w:hAnsi="Times New Roman"/>
                      <w:color w:val="auto"/>
                      <w:szCs w:val="21"/>
                    </w:rPr>
                    <w:t>0.00015t/a</w:t>
                  </w:r>
                </w:p>
              </w:tc>
            </w:tr>
          </w:tbl>
          <w:p>
            <w:pPr>
              <w:spacing w:line="360" w:lineRule="auto"/>
              <w:ind w:firstLine="470" w:firstLineChars="196"/>
              <w:textAlignment w:val="baseline"/>
              <w:rPr>
                <w:rFonts w:ascii="Times New Roman" w:hAnsi="Times New Roman"/>
                <w:color w:val="auto"/>
                <w:sz w:val="24"/>
              </w:rPr>
            </w:pPr>
            <w:r>
              <w:rPr>
                <w:rFonts w:ascii="Times New Roman" w:hAnsi="Times New Roman"/>
                <w:color w:val="auto"/>
                <w:sz w:val="24"/>
              </w:rPr>
              <w:t>（2）废水</w:t>
            </w:r>
          </w:p>
          <w:p>
            <w:pPr>
              <w:adjustRightInd w:val="0"/>
              <w:snapToGrid w:val="0"/>
              <w:spacing w:line="360" w:lineRule="auto"/>
              <w:ind w:firstLine="480"/>
              <w:jc w:val="left"/>
              <w:rPr>
                <w:rFonts w:ascii="Times New Roman" w:hAnsi="Times New Roman"/>
                <w:color w:val="auto"/>
                <w:sz w:val="24"/>
              </w:rPr>
            </w:pPr>
            <w:r>
              <w:rPr>
                <w:rFonts w:ascii="Times New Roman" w:hAnsi="Times New Roman"/>
                <w:color w:val="auto"/>
                <w:sz w:val="24"/>
              </w:rPr>
              <w:t>W1渗滤液</w:t>
            </w:r>
          </w:p>
          <w:p>
            <w:pPr>
              <w:spacing w:line="360" w:lineRule="auto"/>
              <w:ind w:firstLine="480" w:firstLineChars="200"/>
              <w:rPr>
                <w:rFonts w:ascii="Times New Roman" w:hAnsi="Times New Roman"/>
                <w:color w:val="auto"/>
                <w:sz w:val="24"/>
              </w:rPr>
            </w:pPr>
            <w:r>
              <w:rPr>
                <w:rFonts w:ascii="Times New Roman" w:hAnsi="Times New Roman"/>
                <w:color w:val="auto"/>
                <w:sz w:val="24"/>
              </w:rPr>
              <w:t>根据《生活垃圾渗滤液处理技术规范》第3.1.6“垃圾中转站渗沥液的日产生量应考虑垃圾压缩装置的类型（水平或垂直）、压缩的程度、垃圾的主要组成成分、垃圾的密度等因素。渗沥液日产生量可按垃圾量的5％～10％（重量比）计；降雨量较少的地区垃圾渗沥液日产生量可按垃圾量的3％～8％（重量比）计。本项目取4%计算渗滤液的产生量，产生量为（0.16t/d）58.4t/a。暂存过程中存在蒸发损耗，蒸发损耗按5%，实际产生的渗滤液为（0.15t/d）54.75 t/a。</w:t>
            </w:r>
          </w:p>
          <w:p>
            <w:pPr>
              <w:adjustRightInd w:val="0"/>
              <w:snapToGrid w:val="0"/>
              <w:spacing w:line="360" w:lineRule="auto"/>
              <w:ind w:firstLine="480" w:firstLineChars="200"/>
              <w:jc w:val="left"/>
              <w:rPr>
                <w:rFonts w:ascii="Times New Roman" w:hAnsi="Times New Roman"/>
                <w:snapToGrid w:val="0"/>
                <w:color w:val="auto"/>
                <w:sz w:val="24"/>
              </w:rPr>
            </w:pPr>
            <w:r>
              <w:rPr>
                <w:rFonts w:ascii="Times New Roman" w:hAnsi="Times New Roman"/>
                <w:snapToGrid w:val="0"/>
                <w:color w:val="auto"/>
                <w:sz w:val="24"/>
              </w:rPr>
              <w:t>渗滤液主要污染指标为pH、COD、SS、氨氮，关于渗滤液中主要污染指标及浓度，参考《中国给水排水》、《我国垃圾渗滤液的特点和处理技术探讨》等相关文献，文献中对主要大型城市的垃圾渗滤液做了调查和统计，统计结果见下表：</w:t>
            </w:r>
          </w:p>
          <w:p>
            <w:pPr>
              <w:ind w:firstLine="482" w:firstLineChars="200"/>
              <w:jc w:val="center"/>
              <w:rPr>
                <w:rFonts w:ascii="Times New Roman" w:hAnsi="Times New Roman"/>
                <w:b/>
                <w:bCs/>
                <w:color w:val="auto"/>
                <w:sz w:val="24"/>
              </w:rPr>
            </w:pPr>
            <w:r>
              <w:rPr>
                <w:rFonts w:ascii="Times New Roman" w:hAnsi="Times New Roman"/>
                <w:b/>
                <w:bCs/>
                <w:color w:val="auto"/>
                <w:sz w:val="24"/>
              </w:rPr>
              <w:t>表5-6 我国主要城市垃圾渗滤液水质</w:t>
            </w:r>
          </w:p>
          <w:tbl>
            <w:tblPr>
              <w:tblStyle w:val="26"/>
              <w:tblW w:w="91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822"/>
              <w:gridCol w:w="2726"/>
              <w:gridCol w:w="2277"/>
              <w:gridCol w:w="2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822" w:type="dxa"/>
                  <w:vAlign w:val="center"/>
                </w:tcPr>
                <w:p>
                  <w:pPr>
                    <w:pStyle w:val="65"/>
                    <w:rPr>
                      <w:rFonts w:ascii="Times New Roman" w:hAnsi="Times New Roman"/>
                      <w:bCs/>
                      <w:color w:val="auto"/>
                      <w:sz w:val="21"/>
                    </w:rPr>
                  </w:pPr>
                  <w:r>
                    <w:rPr>
                      <w:rFonts w:ascii="Times New Roman" w:hAnsi="Times New Roman"/>
                      <w:bCs/>
                      <w:color w:val="auto"/>
                      <w:sz w:val="21"/>
                    </w:rPr>
                    <w:t>项目</w:t>
                  </w:r>
                </w:p>
              </w:tc>
              <w:tc>
                <w:tcPr>
                  <w:tcW w:w="2726" w:type="dxa"/>
                  <w:vAlign w:val="center"/>
                </w:tcPr>
                <w:p>
                  <w:pPr>
                    <w:jc w:val="center"/>
                    <w:rPr>
                      <w:rFonts w:ascii="Times New Roman" w:hAnsi="Times New Roman"/>
                      <w:bCs/>
                      <w:color w:val="auto"/>
                    </w:rPr>
                  </w:pPr>
                  <w:r>
                    <w:rPr>
                      <w:rFonts w:ascii="Times New Roman" w:hAnsi="Times New Roman"/>
                      <w:bCs/>
                      <w:color w:val="auto"/>
                    </w:rPr>
                    <w:t>上海</w:t>
                  </w:r>
                </w:p>
              </w:tc>
              <w:tc>
                <w:tcPr>
                  <w:tcW w:w="2277" w:type="dxa"/>
                  <w:vAlign w:val="center"/>
                </w:tcPr>
                <w:p>
                  <w:pPr>
                    <w:jc w:val="center"/>
                    <w:rPr>
                      <w:rFonts w:ascii="Times New Roman" w:hAnsi="Times New Roman"/>
                      <w:bCs/>
                      <w:color w:val="auto"/>
                    </w:rPr>
                  </w:pPr>
                  <w:r>
                    <w:rPr>
                      <w:rFonts w:ascii="Times New Roman" w:hAnsi="Times New Roman"/>
                      <w:bCs/>
                      <w:color w:val="auto"/>
                    </w:rPr>
                    <w:t>杭州</w:t>
                  </w:r>
                </w:p>
              </w:tc>
              <w:tc>
                <w:tcPr>
                  <w:tcW w:w="2275" w:type="dxa"/>
                  <w:vAlign w:val="center"/>
                </w:tcPr>
                <w:p>
                  <w:pPr>
                    <w:jc w:val="center"/>
                    <w:rPr>
                      <w:rFonts w:ascii="Times New Roman" w:hAnsi="Times New Roman"/>
                      <w:bCs/>
                      <w:color w:val="auto"/>
                    </w:rPr>
                  </w:pPr>
                  <w:r>
                    <w:rPr>
                      <w:rFonts w:ascii="Times New Roman" w:hAnsi="Times New Roman"/>
                      <w:bCs/>
                      <w:color w:val="auto"/>
                    </w:rPr>
                    <w:t>广州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822" w:type="dxa"/>
                  <w:vAlign w:val="center"/>
                </w:tcPr>
                <w:p>
                  <w:pPr>
                    <w:pStyle w:val="65"/>
                    <w:rPr>
                      <w:rFonts w:ascii="Times New Roman" w:hAnsi="Times New Roman"/>
                      <w:bCs/>
                      <w:color w:val="auto"/>
                      <w:sz w:val="21"/>
                    </w:rPr>
                  </w:pPr>
                  <w:r>
                    <w:rPr>
                      <w:rFonts w:ascii="Times New Roman" w:hAnsi="Times New Roman"/>
                      <w:bCs/>
                      <w:color w:val="auto"/>
                      <w:sz w:val="21"/>
                    </w:rPr>
                    <w:t>pH</w:t>
                  </w:r>
                </w:p>
              </w:tc>
              <w:tc>
                <w:tcPr>
                  <w:tcW w:w="2726" w:type="dxa"/>
                  <w:vAlign w:val="center"/>
                </w:tcPr>
                <w:p>
                  <w:pPr>
                    <w:jc w:val="center"/>
                    <w:rPr>
                      <w:rFonts w:ascii="Times New Roman" w:hAnsi="Times New Roman"/>
                      <w:bCs/>
                      <w:color w:val="auto"/>
                    </w:rPr>
                  </w:pPr>
                  <w:r>
                    <w:rPr>
                      <w:rFonts w:ascii="Times New Roman" w:hAnsi="Times New Roman"/>
                      <w:bCs/>
                      <w:color w:val="auto"/>
                    </w:rPr>
                    <w:t>5-6.5</w:t>
                  </w:r>
                </w:p>
              </w:tc>
              <w:tc>
                <w:tcPr>
                  <w:tcW w:w="2277" w:type="dxa"/>
                  <w:vAlign w:val="center"/>
                </w:tcPr>
                <w:p>
                  <w:pPr>
                    <w:jc w:val="center"/>
                    <w:rPr>
                      <w:rFonts w:ascii="Times New Roman" w:hAnsi="Times New Roman"/>
                      <w:bCs/>
                      <w:color w:val="auto"/>
                    </w:rPr>
                  </w:pPr>
                  <w:r>
                    <w:rPr>
                      <w:rFonts w:ascii="Times New Roman" w:hAnsi="Times New Roman"/>
                      <w:bCs/>
                      <w:color w:val="auto"/>
                    </w:rPr>
                    <w:t>6-6.5</w:t>
                  </w:r>
                </w:p>
              </w:tc>
              <w:tc>
                <w:tcPr>
                  <w:tcW w:w="2275" w:type="dxa"/>
                  <w:vAlign w:val="center"/>
                </w:tcPr>
                <w:p>
                  <w:pPr>
                    <w:jc w:val="center"/>
                    <w:rPr>
                      <w:rFonts w:ascii="Times New Roman" w:hAnsi="Times New Roman"/>
                      <w:bCs/>
                      <w:color w:val="auto"/>
                    </w:rPr>
                  </w:pPr>
                  <w:r>
                    <w:rPr>
                      <w:rFonts w:ascii="Times New Roman" w:hAnsi="Times New Roman"/>
                      <w:bCs/>
                      <w:color w:val="auto"/>
                    </w:rPr>
                    <w:t>6.5-7.8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822" w:type="dxa"/>
                  <w:vAlign w:val="center"/>
                </w:tcPr>
                <w:p>
                  <w:pPr>
                    <w:pStyle w:val="65"/>
                    <w:rPr>
                      <w:rFonts w:ascii="Times New Roman" w:hAnsi="Times New Roman"/>
                      <w:bCs/>
                      <w:color w:val="auto"/>
                      <w:sz w:val="21"/>
                    </w:rPr>
                  </w:pPr>
                  <w:r>
                    <w:rPr>
                      <w:rFonts w:ascii="Times New Roman" w:hAnsi="Times New Roman"/>
                      <w:bCs/>
                      <w:color w:val="auto"/>
                      <w:sz w:val="21"/>
                    </w:rPr>
                    <w:t>COD（mg/L）</w:t>
                  </w:r>
                </w:p>
              </w:tc>
              <w:tc>
                <w:tcPr>
                  <w:tcW w:w="2726" w:type="dxa"/>
                  <w:vAlign w:val="center"/>
                </w:tcPr>
                <w:p>
                  <w:pPr>
                    <w:jc w:val="center"/>
                    <w:rPr>
                      <w:rFonts w:ascii="Times New Roman" w:hAnsi="Times New Roman"/>
                      <w:bCs/>
                      <w:color w:val="auto"/>
                    </w:rPr>
                  </w:pPr>
                  <w:r>
                    <w:rPr>
                      <w:rFonts w:ascii="Times New Roman" w:hAnsi="Times New Roman"/>
                      <w:bCs/>
                      <w:color w:val="auto"/>
                    </w:rPr>
                    <w:t>1500-8000</w:t>
                  </w:r>
                </w:p>
              </w:tc>
              <w:tc>
                <w:tcPr>
                  <w:tcW w:w="2277" w:type="dxa"/>
                  <w:vAlign w:val="center"/>
                </w:tcPr>
                <w:p>
                  <w:pPr>
                    <w:jc w:val="center"/>
                    <w:rPr>
                      <w:rFonts w:ascii="Times New Roman" w:hAnsi="Times New Roman"/>
                      <w:bCs/>
                      <w:color w:val="auto"/>
                    </w:rPr>
                  </w:pPr>
                  <w:r>
                    <w:rPr>
                      <w:rFonts w:ascii="Times New Roman" w:hAnsi="Times New Roman"/>
                      <w:bCs/>
                      <w:color w:val="auto"/>
                    </w:rPr>
                    <w:t>1000-5000</w:t>
                  </w:r>
                </w:p>
              </w:tc>
              <w:tc>
                <w:tcPr>
                  <w:tcW w:w="2275" w:type="dxa"/>
                  <w:vAlign w:val="center"/>
                </w:tcPr>
                <w:p>
                  <w:pPr>
                    <w:jc w:val="center"/>
                    <w:rPr>
                      <w:rFonts w:ascii="Times New Roman" w:hAnsi="Times New Roman"/>
                      <w:bCs/>
                      <w:color w:val="auto"/>
                    </w:rPr>
                  </w:pPr>
                  <w:r>
                    <w:rPr>
                      <w:rFonts w:ascii="Times New Roman" w:hAnsi="Times New Roman"/>
                      <w:bCs/>
                      <w:color w:val="auto"/>
                    </w:rPr>
                    <w:t>1400-5000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822" w:type="dxa"/>
                  <w:vAlign w:val="center"/>
                </w:tcPr>
                <w:p>
                  <w:pPr>
                    <w:pStyle w:val="65"/>
                    <w:rPr>
                      <w:rFonts w:ascii="Times New Roman" w:hAnsi="Times New Roman"/>
                      <w:bCs/>
                      <w:color w:val="auto"/>
                      <w:sz w:val="21"/>
                    </w:rPr>
                  </w:pPr>
                  <w:r>
                    <w:rPr>
                      <w:rFonts w:ascii="Times New Roman" w:hAnsi="Times New Roman"/>
                      <w:bCs/>
                      <w:color w:val="auto"/>
                      <w:sz w:val="21"/>
                    </w:rPr>
                    <w:t>SS（mg/L）</w:t>
                  </w:r>
                </w:p>
              </w:tc>
              <w:tc>
                <w:tcPr>
                  <w:tcW w:w="2726" w:type="dxa"/>
                  <w:vAlign w:val="center"/>
                </w:tcPr>
                <w:p>
                  <w:pPr>
                    <w:jc w:val="center"/>
                    <w:rPr>
                      <w:rFonts w:ascii="Times New Roman" w:hAnsi="Times New Roman"/>
                      <w:bCs/>
                      <w:color w:val="auto"/>
                    </w:rPr>
                  </w:pPr>
                  <w:r>
                    <w:rPr>
                      <w:rFonts w:ascii="Times New Roman" w:hAnsi="Times New Roman"/>
                      <w:bCs/>
                      <w:color w:val="auto"/>
                    </w:rPr>
                    <w:t>30-500</w:t>
                  </w:r>
                </w:p>
              </w:tc>
              <w:tc>
                <w:tcPr>
                  <w:tcW w:w="2277" w:type="dxa"/>
                  <w:vAlign w:val="center"/>
                </w:tcPr>
                <w:p>
                  <w:pPr>
                    <w:jc w:val="center"/>
                    <w:rPr>
                      <w:rFonts w:ascii="Times New Roman" w:hAnsi="Times New Roman"/>
                      <w:bCs/>
                      <w:color w:val="auto"/>
                    </w:rPr>
                  </w:pPr>
                  <w:r>
                    <w:rPr>
                      <w:rFonts w:ascii="Times New Roman" w:hAnsi="Times New Roman"/>
                      <w:bCs/>
                      <w:color w:val="auto"/>
                    </w:rPr>
                    <w:t>60-650</w:t>
                  </w:r>
                </w:p>
              </w:tc>
              <w:tc>
                <w:tcPr>
                  <w:tcW w:w="2275" w:type="dxa"/>
                  <w:vAlign w:val="center"/>
                </w:tcPr>
                <w:p>
                  <w:pPr>
                    <w:jc w:val="center"/>
                    <w:rPr>
                      <w:rFonts w:ascii="Times New Roman" w:hAnsi="Times New Roman"/>
                      <w:bCs/>
                      <w:color w:val="auto"/>
                    </w:rPr>
                  </w:pPr>
                  <w:r>
                    <w:rPr>
                      <w:rFonts w:ascii="Times New Roman" w:hAnsi="Times New Roman"/>
                      <w:bCs/>
                      <w:color w:val="auto"/>
                    </w:rPr>
                    <w:t>200-600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822" w:type="dxa"/>
                  <w:vAlign w:val="center"/>
                </w:tcPr>
                <w:p>
                  <w:pPr>
                    <w:pStyle w:val="65"/>
                    <w:rPr>
                      <w:rFonts w:ascii="Times New Roman" w:hAnsi="Times New Roman"/>
                      <w:bCs/>
                      <w:color w:val="auto"/>
                      <w:sz w:val="21"/>
                    </w:rPr>
                  </w:pPr>
                  <w:r>
                    <w:rPr>
                      <w:rFonts w:ascii="Times New Roman" w:hAnsi="Times New Roman"/>
                      <w:bCs/>
                      <w:color w:val="auto"/>
                      <w:sz w:val="21"/>
                    </w:rPr>
                    <w:t>氨氮（mg/L）</w:t>
                  </w:r>
                </w:p>
              </w:tc>
              <w:tc>
                <w:tcPr>
                  <w:tcW w:w="2726" w:type="dxa"/>
                  <w:vAlign w:val="center"/>
                </w:tcPr>
                <w:p>
                  <w:pPr>
                    <w:jc w:val="center"/>
                    <w:rPr>
                      <w:rFonts w:ascii="Times New Roman" w:hAnsi="Times New Roman"/>
                      <w:bCs/>
                      <w:color w:val="auto"/>
                    </w:rPr>
                  </w:pPr>
                  <w:r>
                    <w:rPr>
                      <w:rFonts w:ascii="Times New Roman" w:hAnsi="Times New Roman"/>
                      <w:bCs/>
                      <w:color w:val="auto"/>
                    </w:rPr>
                    <w:t>60-450</w:t>
                  </w:r>
                </w:p>
              </w:tc>
              <w:tc>
                <w:tcPr>
                  <w:tcW w:w="2277" w:type="dxa"/>
                  <w:vAlign w:val="center"/>
                </w:tcPr>
                <w:p>
                  <w:pPr>
                    <w:jc w:val="center"/>
                    <w:rPr>
                      <w:rFonts w:ascii="Times New Roman" w:hAnsi="Times New Roman"/>
                      <w:bCs/>
                      <w:color w:val="auto"/>
                    </w:rPr>
                  </w:pPr>
                  <w:r>
                    <w:rPr>
                      <w:rFonts w:ascii="Times New Roman" w:hAnsi="Times New Roman"/>
                      <w:bCs/>
                      <w:color w:val="auto"/>
                    </w:rPr>
                    <w:t>50-500</w:t>
                  </w:r>
                </w:p>
              </w:tc>
              <w:tc>
                <w:tcPr>
                  <w:tcW w:w="2275" w:type="dxa"/>
                  <w:vAlign w:val="center"/>
                </w:tcPr>
                <w:p>
                  <w:pPr>
                    <w:jc w:val="center"/>
                    <w:rPr>
                      <w:rFonts w:ascii="Times New Roman" w:hAnsi="Times New Roman"/>
                      <w:bCs/>
                      <w:color w:val="auto"/>
                    </w:rPr>
                  </w:pPr>
                  <w:r>
                    <w:rPr>
                      <w:rFonts w:ascii="Times New Roman" w:hAnsi="Times New Roman"/>
                      <w:bCs/>
                      <w:color w:val="auto"/>
                    </w:rPr>
                    <w:t>160-500</w:t>
                  </w:r>
                </w:p>
              </w:tc>
            </w:tr>
          </w:tbl>
          <w:p>
            <w:pPr>
              <w:adjustRightInd w:val="0"/>
              <w:snapToGrid w:val="0"/>
              <w:spacing w:line="360" w:lineRule="auto"/>
              <w:ind w:firstLine="480" w:firstLineChars="200"/>
              <w:jc w:val="left"/>
              <w:rPr>
                <w:rFonts w:ascii="Times New Roman" w:hAnsi="Times New Roman"/>
                <w:snapToGrid w:val="0"/>
                <w:color w:val="auto"/>
                <w:sz w:val="24"/>
              </w:rPr>
            </w:pPr>
            <w:r>
              <w:rPr>
                <w:rFonts w:ascii="Times New Roman" w:hAnsi="Times New Roman"/>
                <w:snapToGrid w:val="0"/>
                <w:color w:val="auto"/>
                <w:sz w:val="24"/>
              </w:rPr>
              <w:t>参考以上数据，并结合本项目所在地域特点及垃圾产生情况，确定本项目垃圾渗滤液中主要污染物平均浓度为pH=6~7.5，COD=</w:t>
            </w:r>
            <w:r>
              <w:rPr>
                <w:rFonts w:hint="eastAsia" w:ascii="Times New Roman" w:hAnsi="Times New Roman"/>
                <w:snapToGrid w:val="0"/>
                <w:color w:val="auto"/>
                <w:sz w:val="24"/>
              </w:rPr>
              <w:t>2</w:t>
            </w:r>
            <w:r>
              <w:rPr>
                <w:rFonts w:ascii="Times New Roman" w:hAnsi="Times New Roman"/>
                <w:snapToGrid w:val="0"/>
                <w:color w:val="auto"/>
                <w:sz w:val="24"/>
              </w:rPr>
              <w:t>000mg/L，SS=550mg/L，氨氮=</w:t>
            </w:r>
            <w:r>
              <w:rPr>
                <w:rFonts w:hint="eastAsia" w:ascii="Times New Roman" w:hAnsi="Times New Roman"/>
                <w:snapToGrid w:val="0"/>
                <w:color w:val="auto"/>
                <w:sz w:val="24"/>
              </w:rPr>
              <w:t>30</w:t>
            </w:r>
            <w:r>
              <w:rPr>
                <w:rFonts w:ascii="Times New Roman" w:hAnsi="Times New Roman"/>
                <w:snapToGrid w:val="0"/>
                <w:color w:val="auto"/>
                <w:sz w:val="24"/>
              </w:rPr>
              <w:t>0mg/L。</w:t>
            </w:r>
          </w:p>
          <w:p>
            <w:pPr>
              <w:spacing w:line="360" w:lineRule="auto"/>
              <w:ind w:firstLine="480" w:firstLineChars="200"/>
              <w:jc w:val="left"/>
              <w:rPr>
                <w:rFonts w:ascii="Times New Roman" w:hAnsi="Times New Roman"/>
                <w:snapToGrid w:val="0"/>
                <w:color w:val="auto"/>
                <w:sz w:val="24"/>
              </w:rPr>
            </w:pPr>
            <w:r>
              <w:rPr>
                <w:rFonts w:ascii="Times New Roman" w:hAnsi="Times New Roman"/>
                <w:snapToGrid w:val="0"/>
                <w:color w:val="auto"/>
                <w:sz w:val="24"/>
              </w:rPr>
              <w:t>W2、W3地面冲洗及设备冲洗废水</w:t>
            </w:r>
          </w:p>
          <w:p>
            <w:pPr>
              <w:adjustRightInd w:val="0"/>
              <w:snapToGrid w:val="0"/>
              <w:spacing w:line="360" w:lineRule="auto"/>
              <w:ind w:firstLine="480" w:firstLineChars="200"/>
              <w:jc w:val="left"/>
              <w:rPr>
                <w:rFonts w:ascii="Times New Roman" w:hAnsi="Times New Roman"/>
                <w:snapToGrid w:val="0"/>
                <w:color w:val="auto"/>
                <w:sz w:val="24"/>
              </w:rPr>
            </w:pPr>
            <w:r>
              <w:rPr>
                <w:rFonts w:ascii="Times New Roman" w:hAnsi="Times New Roman"/>
                <w:snapToGrid w:val="0"/>
                <w:color w:val="auto"/>
                <w:sz w:val="24"/>
              </w:rPr>
              <w:t>项目不设车辆冲洗区，垃圾中转区域需每日冲洗保持地面整洁，地面及设备清洗废水用水量为0.25t/d，91.25t/a，产污系数取0.8，污水产生量为73t/a。</w:t>
            </w:r>
          </w:p>
          <w:p>
            <w:pPr>
              <w:pStyle w:val="2"/>
              <w:spacing w:line="360" w:lineRule="auto"/>
              <w:ind w:firstLine="480" w:firstLineChars="200"/>
              <w:jc w:val="left"/>
              <w:rPr>
                <w:rFonts w:ascii="Times New Roman" w:hAnsi="Times New Roman" w:eastAsia="宋体"/>
                <w:snapToGrid w:val="0"/>
                <w:color w:val="auto"/>
                <w:spacing w:val="0"/>
                <w:kern w:val="2"/>
                <w:szCs w:val="24"/>
              </w:rPr>
            </w:pPr>
            <w:r>
              <w:rPr>
                <w:rFonts w:ascii="Times New Roman" w:hAnsi="Times New Roman" w:eastAsia="宋体"/>
                <w:snapToGrid w:val="0"/>
                <w:color w:val="auto"/>
                <w:spacing w:val="0"/>
                <w:kern w:val="2"/>
                <w:szCs w:val="24"/>
              </w:rPr>
              <w:t>W4生活污水</w:t>
            </w:r>
          </w:p>
          <w:p>
            <w:pPr>
              <w:pStyle w:val="11"/>
              <w:ind w:firstLine="480" w:firstLineChars="200"/>
              <w:jc w:val="left"/>
              <w:rPr>
                <w:rFonts w:ascii="Times New Roman" w:hAnsi="Times New Roman"/>
                <w:color w:val="auto"/>
              </w:rPr>
            </w:pPr>
            <w:r>
              <w:rPr>
                <w:rFonts w:ascii="Times New Roman" w:hAnsi="Times New Roman"/>
                <w:snapToGrid w:val="0"/>
                <w:color w:val="auto"/>
                <w:sz w:val="24"/>
              </w:rPr>
              <w:t>项目定员3人，用水量40L/人·天，365d/a，则生活用水量为43.8t/a。生活污水按用水量的80%计，则生活污水产生量为35t/a。</w:t>
            </w:r>
            <w:r>
              <w:rPr>
                <w:rFonts w:hint="eastAsia" w:ascii="Times New Roman" w:hAnsi="Times New Roman"/>
                <w:snapToGrid w:val="0"/>
                <w:color w:val="auto"/>
                <w:sz w:val="24"/>
              </w:rPr>
              <w:t>沿用施工期的</w:t>
            </w:r>
            <w:r>
              <w:rPr>
                <w:rFonts w:ascii="Times New Roman" w:hAnsi="Times New Roman"/>
                <w:snapToGrid w:val="0"/>
                <w:color w:val="auto"/>
                <w:sz w:val="24"/>
              </w:rPr>
              <w:t>旱厕定期清掏，交由附近得居民堆肥处置。</w:t>
            </w:r>
          </w:p>
          <w:p>
            <w:pPr>
              <w:ind w:firstLine="482" w:firstLineChars="200"/>
              <w:jc w:val="center"/>
              <w:rPr>
                <w:rFonts w:ascii="Times New Roman" w:hAnsi="Times New Roman"/>
                <w:b/>
                <w:bCs/>
                <w:color w:val="auto"/>
                <w:sz w:val="24"/>
              </w:rPr>
            </w:pPr>
            <w:r>
              <w:rPr>
                <w:rFonts w:ascii="Times New Roman" w:hAnsi="Times New Roman"/>
                <w:b/>
                <w:bCs/>
                <w:color w:val="auto"/>
                <w:sz w:val="24"/>
              </w:rPr>
              <w:t>表5-7  生产废水污染物源强核算结果一览表</w:t>
            </w:r>
          </w:p>
          <w:tbl>
            <w:tblPr>
              <w:tblStyle w:val="26"/>
              <w:tblW w:w="909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1035"/>
              <w:gridCol w:w="895"/>
              <w:gridCol w:w="1350"/>
              <w:gridCol w:w="849"/>
              <w:gridCol w:w="1282"/>
              <w:gridCol w:w="1541"/>
              <w:gridCol w:w="11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Align w:val="center"/>
                </w:tcPr>
                <w:p>
                  <w:pPr>
                    <w:jc w:val="center"/>
                    <w:rPr>
                      <w:rFonts w:ascii="Times New Roman" w:hAnsi="Times New Roman"/>
                      <w:color w:val="auto"/>
                      <w:szCs w:val="21"/>
                    </w:rPr>
                  </w:pPr>
                  <w:r>
                    <w:rPr>
                      <w:rFonts w:ascii="Times New Roman" w:hAnsi="Times New Roman"/>
                      <w:color w:val="auto"/>
                    </w:rPr>
                    <w:t>污染源</w:t>
                  </w:r>
                </w:p>
              </w:tc>
              <w:tc>
                <w:tcPr>
                  <w:tcW w:w="1035" w:type="dxa"/>
                  <w:vAlign w:val="center"/>
                </w:tcPr>
                <w:p>
                  <w:pPr>
                    <w:jc w:val="center"/>
                    <w:rPr>
                      <w:rFonts w:ascii="Times New Roman" w:hAnsi="Times New Roman"/>
                      <w:color w:val="auto"/>
                      <w:szCs w:val="21"/>
                    </w:rPr>
                  </w:pPr>
                  <w:r>
                    <w:rPr>
                      <w:rFonts w:ascii="Times New Roman" w:hAnsi="Times New Roman"/>
                      <w:color w:val="auto"/>
                    </w:rPr>
                    <w:t>污染物</w:t>
                  </w:r>
                </w:p>
              </w:tc>
              <w:tc>
                <w:tcPr>
                  <w:tcW w:w="895" w:type="dxa"/>
                  <w:vAlign w:val="center"/>
                </w:tcPr>
                <w:p>
                  <w:pPr>
                    <w:jc w:val="center"/>
                    <w:rPr>
                      <w:rFonts w:ascii="Times New Roman" w:hAnsi="Times New Roman"/>
                      <w:color w:val="auto"/>
                      <w:szCs w:val="21"/>
                    </w:rPr>
                  </w:pPr>
                  <w:r>
                    <w:rPr>
                      <w:rFonts w:ascii="Times New Roman" w:hAnsi="Times New Roman"/>
                      <w:color w:val="auto"/>
                    </w:rPr>
                    <w:t>核算方法</w:t>
                  </w:r>
                </w:p>
              </w:tc>
              <w:tc>
                <w:tcPr>
                  <w:tcW w:w="1350" w:type="dxa"/>
                  <w:vAlign w:val="center"/>
                </w:tcPr>
                <w:p>
                  <w:pPr>
                    <w:jc w:val="center"/>
                    <w:rPr>
                      <w:rFonts w:ascii="Times New Roman" w:hAnsi="Times New Roman"/>
                      <w:color w:val="auto"/>
                      <w:szCs w:val="21"/>
                    </w:rPr>
                  </w:pPr>
                  <w:r>
                    <w:rPr>
                      <w:rFonts w:ascii="Times New Roman" w:hAnsi="Times New Roman"/>
                      <w:color w:val="auto"/>
                    </w:rPr>
                    <w:t>污染物产生量（m</w:t>
                  </w:r>
                  <w:r>
                    <w:rPr>
                      <w:rFonts w:ascii="Times New Roman" w:hAnsi="Times New Roman"/>
                      <w:color w:val="auto"/>
                      <w:vertAlign w:val="superscript"/>
                    </w:rPr>
                    <w:t>3</w:t>
                  </w:r>
                  <w:r>
                    <w:rPr>
                      <w:rFonts w:ascii="Times New Roman" w:hAnsi="Times New Roman"/>
                      <w:color w:val="auto"/>
                    </w:rPr>
                    <w:t>/a）</w:t>
                  </w:r>
                </w:p>
              </w:tc>
              <w:tc>
                <w:tcPr>
                  <w:tcW w:w="849" w:type="dxa"/>
                  <w:vAlign w:val="center"/>
                </w:tcPr>
                <w:p>
                  <w:pPr>
                    <w:jc w:val="center"/>
                    <w:rPr>
                      <w:rFonts w:ascii="Times New Roman" w:hAnsi="Times New Roman"/>
                      <w:color w:val="auto"/>
                      <w:szCs w:val="21"/>
                    </w:rPr>
                  </w:pPr>
                  <w:r>
                    <w:rPr>
                      <w:rFonts w:ascii="Times New Roman" w:hAnsi="Times New Roman"/>
                      <w:color w:val="auto"/>
                    </w:rPr>
                    <w:t>预处理措施</w:t>
                  </w:r>
                </w:p>
              </w:tc>
              <w:tc>
                <w:tcPr>
                  <w:tcW w:w="1282" w:type="dxa"/>
                  <w:vAlign w:val="center"/>
                </w:tcPr>
                <w:p>
                  <w:pPr>
                    <w:jc w:val="center"/>
                    <w:rPr>
                      <w:rFonts w:ascii="Times New Roman" w:hAnsi="Times New Roman"/>
                      <w:color w:val="auto"/>
                      <w:szCs w:val="21"/>
                    </w:rPr>
                  </w:pPr>
                  <w:r>
                    <w:rPr>
                      <w:rFonts w:ascii="Times New Roman" w:hAnsi="Times New Roman"/>
                      <w:color w:val="auto"/>
                    </w:rPr>
                    <w:t>排放废水量（m</w:t>
                  </w:r>
                  <w:r>
                    <w:rPr>
                      <w:rFonts w:ascii="Times New Roman" w:hAnsi="Times New Roman"/>
                      <w:color w:val="auto"/>
                      <w:vertAlign w:val="superscript"/>
                    </w:rPr>
                    <w:t>3</w:t>
                  </w:r>
                  <w:r>
                    <w:rPr>
                      <w:rFonts w:ascii="Times New Roman" w:hAnsi="Times New Roman"/>
                      <w:color w:val="auto"/>
                    </w:rPr>
                    <w:t>/a）</w:t>
                  </w:r>
                </w:p>
              </w:tc>
              <w:tc>
                <w:tcPr>
                  <w:tcW w:w="1541" w:type="dxa"/>
                  <w:vAlign w:val="center"/>
                </w:tcPr>
                <w:p>
                  <w:pPr>
                    <w:jc w:val="center"/>
                    <w:rPr>
                      <w:rFonts w:ascii="Times New Roman" w:hAnsi="Times New Roman"/>
                      <w:color w:val="auto"/>
                      <w:szCs w:val="21"/>
                    </w:rPr>
                  </w:pPr>
                  <w:r>
                    <w:rPr>
                      <w:rFonts w:ascii="Times New Roman" w:hAnsi="Times New Roman"/>
                      <w:color w:val="auto"/>
                    </w:rPr>
                    <w:t>排放质量浓度（mg/L）</w:t>
                  </w:r>
                </w:p>
              </w:tc>
              <w:tc>
                <w:tcPr>
                  <w:tcW w:w="1142" w:type="dxa"/>
                  <w:vAlign w:val="center"/>
                </w:tcPr>
                <w:p>
                  <w:pPr>
                    <w:jc w:val="center"/>
                    <w:rPr>
                      <w:rFonts w:ascii="Times New Roman" w:hAnsi="Times New Roman"/>
                      <w:color w:val="auto"/>
                      <w:szCs w:val="21"/>
                    </w:rPr>
                  </w:pPr>
                  <w:r>
                    <w:rPr>
                      <w:rFonts w:ascii="Times New Roman" w:hAnsi="Times New Roman"/>
                      <w:color w:val="auto"/>
                    </w:rPr>
                    <w:t>排放量</w:t>
                  </w:r>
                </w:p>
                <w:p>
                  <w:pPr>
                    <w:jc w:val="center"/>
                    <w:rPr>
                      <w:rFonts w:ascii="Times New Roman" w:hAnsi="Times New Roman"/>
                      <w:color w:val="auto"/>
                      <w:szCs w:val="21"/>
                    </w:rPr>
                  </w:pPr>
                  <w:r>
                    <w:rPr>
                      <w:rFonts w:ascii="Times New Roman" w:hAnsi="Times New Roman"/>
                      <w:color w:val="auto"/>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9094" w:type="dxa"/>
                  <w:gridSpan w:val="8"/>
                  <w:tcBorders>
                    <w:bottom w:val="single" w:color="auto" w:sz="4" w:space="0"/>
                  </w:tcBorders>
                  <w:vAlign w:val="center"/>
                </w:tcPr>
                <w:p>
                  <w:pPr>
                    <w:jc w:val="center"/>
                    <w:rPr>
                      <w:rFonts w:ascii="Times New Roman" w:hAnsi="Times New Roman"/>
                      <w:color w:val="auto"/>
                    </w:rPr>
                  </w:pPr>
                  <w:r>
                    <w:rPr>
                      <w:rFonts w:hint="eastAsia" w:ascii="Times New Roman" w:hAnsi="Times New Roman"/>
                      <w:color w:val="auto"/>
                    </w:rPr>
                    <w:t>生产废水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restart"/>
                  <w:vAlign w:val="center"/>
                </w:tcPr>
                <w:p>
                  <w:pPr>
                    <w:jc w:val="center"/>
                    <w:rPr>
                      <w:rFonts w:ascii="Times New Roman" w:hAnsi="Times New Roman"/>
                      <w:color w:val="auto"/>
                      <w:szCs w:val="21"/>
                    </w:rPr>
                  </w:pPr>
                  <w:r>
                    <w:rPr>
                      <w:rFonts w:ascii="Times New Roman" w:hAnsi="Times New Roman"/>
                      <w:color w:val="auto"/>
                      <w:szCs w:val="21"/>
                    </w:rPr>
                    <w:t>渗滤液</w:t>
                  </w: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COD</w:t>
                  </w:r>
                </w:p>
              </w:tc>
              <w:tc>
                <w:tcPr>
                  <w:tcW w:w="895" w:type="dxa"/>
                  <w:vMerge w:val="restart"/>
                  <w:vAlign w:val="center"/>
                </w:tcPr>
                <w:p>
                  <w:pPr>
                    <w:jc w:val="center"/>
                    <w:rPr>
                      <w:rFonts w:ascii="Times New Roman" w:hAnsi="Times New Roman"/>
                      <w:color w:val="auto"/>
                      <w:szCs w:val="21"/>
                    </w:rPr>
                  </w:pPr>
                  <w:r>
                    <w:rPr>
                      <w:rFonts w:ascii="Times New Roman" w:hAnsi="Times New Roman"/>
                      <w:color w:val="auto"/>
                      <w:szCs w:val="21"/>
                    </w:rPr>
                    <w:t>类比法</w:t>
                  </w:r>
                </w:p>
              </w:tc>
              <w:tc>
                <w:tcPr>
                  <w:tcW w:w="1350" w:type="dxa"/>
                  <w:vMerge w:val="restart"/>
                  <w:vAlign w:val="center"/>
                </w:tcPr>
                <w:p>
                  <w:pPr>
                    <w:jc w:val="center"/>
                    <w:rPr>
                      <w:rFonts w:ascii="Times New Roman" w:hAnsi="Times New Roman"/>
                      <w:color w:val="auto"/>
                      <w:szCs w:val="21"/>
                    </w:rPr>
                  </w:pPr>
                  <w:r>
                    <w:rPr>
                      <w:rFonts w:ascii="Times New Roman" w:hAnsi="Times New Roman"/>
                      <w:color w:val="auto"/>
                      <w:szCs w:val="21"/>
                    </w:rPr>
                    <w:t>54.75</w:t>
                  </w:r>
                </w:p>
              </w:tc>
              <w:tc>
                <w:tcPr>
                  <w:tcW w:w="849" w:type="dxa"/>
                  <w:vMerge w:val="restart"/>
                  <w:vAlign w:val="center"/>
                </w:tcPr>
                <w:p>
                  <w:pPr>
                    <w:jc w:val="center"/>
                    <w:rPr>
                      <w:rFonts w:ascii="Times New Roman" w:hAnsi="Times New Roman"/>
                      <w:color w:val="auto"/>
                      <w:szCs w:val="21"/>
                    </w:rPr>
                  </w:pPr>
                  <w:r>
                    <w:rPr>
                      <w:rFonts w:ascii="Times New Roman" w:hAnsi="Times New Roman"/>
                      <w:color w:val="auto"/>
                      <w:szCs w:val="21"/>
                    </w:rPr>
                    <w:t>渗滤液暂存池暂存</w:t>
                  </w:r>
                </w:p>
              </w:tc>
              <w:tc>
                <w:tcPr>
                  <w:tcW w:w="1282" w:type="dxa"/>
                  <w:vMerge w:val="restart"/>
                  <w:vAlign w:val="center"/>
                </w:tcPr>
                <w:p>
                  <w:pPr>
                    <w:jc w:val="center"/>
                    <w:rPr>
                      <w:rFonts w:ascii="Times New Roman" w:hAnsi="Times New Roman"/>
                      <w:color w:val="auto"/>
                      <w:szCs w:val="21"/>
                    </w:rPr>
                  </w:pPr>
                  <w:r>
                    <w:rPr>
                      <w:rFonts w:ascii="Times New Roman" w:hAnsi="Times New Roman"/>
                      <w:color w:val="auto"/>
                      <w:szCs w:val="21"/>
                    </w:rPr>
                    <w:t>54.75</w:t>
                  </w:r>
                </w:p>
              </w:tc>
              <w:tc>
                <w:tcPr>
                  <w:tcW w:w="1541" w:type="dxa"/>
                  <w:vAlign w:val="center"/>
                </w:tcPr>
                <w:p>
                  <w:pPr>
                    <w:jc w:val="center"/>
                    <w:rPr>
                      <w:rFonts w:ascii="Times New Roman" w:hAnsi="Times New Roman"/>
                      <w:color w:val="auto"/>
                      <w:szCs w:val="21"/>
                    </w:rPr>
                  </w:pPr>
                  <w:r>
                    <w:rPr>
                      <w:rFonts w:hint="eastAsia" w:ascii="Times New Roman" w:hAnsi="Times New Roman"/>
                      <w:color w:val="auto"/>
                      <w:szCs w:val="21"/>
                    </w:rPr>
                    <w:t>2</w:t>
                  </w:r>
                  <w:r>
                    <w:rPr>
                      <w:rFonts w:ascii="Times New Roman" w:hAnsi="Times New Roman"/>
                      <w:color w:val="auto"/>
                      <w:szCs w:val="21"/>
                    </w:rPr>
                    <w:t>000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w:t>
                  </w:r>
                  <w:r>
                    <w:rPr>
                      <w:rFonts w:hint="eastAsia" w:ascii="Times New Roman" w:hAnsi="Times New Roman"/>
                      <w:color w:val="auto"/>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pStyle w:val="2"/>
                    <w:rPr>
                      <w:rFonts w:ascii="Times New Roman" w:hAnsi="Times New Roman"/>
                      <w:color w:val="auto"/>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氨氮</w:t>
                  </w:r>
                </w:p>
              </w:tc>
              <w:tc>
                <w:tcPr>
                  <w:tcW w:w="895" w:type="dxa"/>
                  <w:vMerge w:val="continue"/>
                  <w:vAlign w:val="center"/>
                </w:tcPr>
                <w:p>
                  <w:pPr>
                    <w:jc w:val="center"/>
                    <w:rPr>
                      <w:rFonts w:ascii="Times New Roman" w:hAnsi="Times New Roman"/>
                      <w:color w:val="auto"/>
                      <w:szCs w:val="21"/>
                    </w:rPr>
                  </w:pPr>
                </w:p>
              </w:tc>
              <w:tc>
                <w:tcPr>
                  <w:tcW w:w="1350" w:type="dxa"/>
                  <w:vMerge w:val="continue"/>
                  <w:vAlign w:val="center"/>
                </w:tcPr>
                <w:p>
                  <w:pPr>
                    <w:jc w:val="center"/>
                    <w:rPr>
                      <w:rFonts w:ascii="Times New Roman" w:hAnsi="Times New Roman"/>
                      <w:color w:val="auto"/>
                      <w:szCs w:val="21"/>
                    </w:rPr>
                  </w:pPr>
                </w:p>
              </w:tc>
              <w:tc>
                <w:tcPr>
                  <w:tcW w:w="849" w:type="dxa"/>
                  <w:vMerge w:val="continue"/>
                  <w:vAlign w:val="center"/>
                </w:tcPr>
                <w:p>
                  <w:pPr>
                    <w:jc w:val="center"/>
                    <w:rPr>
                      <w:rFonts w:ascii="Times New Roman" w:hAnsi="Times New Roman"/>
                      <w:color w:val="auto"/>
                      <w:szCs w:val="21"/>
                    </w:rPr>
                  </w:pPr>
                </w:p>
              </w:tc>
              <w:tc>
                <w:tcPr>
                  <w:tcW w:w="1282" w:type="dxa"/>
                  <w:vMerge w:val="continue"/>
                  <w:vAlign w:val="center"/>
                </w:tcPr>
                <w:p>
                  <w:pPr>
                    <w:jc w:val="center"/>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hint="eastAsia" w:ascii="Times New Roman" w:hAnsi="Times New Roman"/>
                      <w:color w:val="auto"/>
                      <w:szCs w:val="21"/>
                    </w:rPr>
                    <w:t>300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pStyle w:val="2"/>
                    <w:rPr>
                      <w:rFonts w:ascii="Times New Roman" w:hAnsi="Times New Roman"/>
                      <w:color w:val="auto"/>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SS</w:t>
                  </w:r>
                </w:p>
              </w:tc>
              <w:tc>
                <w:tcPr>
                  <w:tcW w:w="895" w:type="dxa"/>
                  <w:vMerge w:val="continue"/>
                  <w:vAlign w:val="center"/>
                </w:tcPr>
                <w:p>
                  <w:pPr>
                    <w:jc w:val="center"/>
                    <w:rPr>
                      <w:rFonts w:ascii="Times New Roman" w:hAnsi="Times New Roman"/>
                      <w:color w:val="auto"/>
                      <w:szCs w:val="21"/>
                    </w:rPr>
                  </w:pPr>
                </w:p>
              </w:tc>
              <w:tc>
                <w:tcPr>
                  <w:tcW w:w="1350" w:type="dxa"/>
                  <w:vMerge w:val="continue"/>
                  <w:vAlign w:val="center"/>
                </w:tcPr>
                <w:p>
                  <w:pPr>
                    <w:jc w:val="center"/>
                    <w:rPr>
                      <w:rFonts w:ascii="Times New Roman" w:hAnsi="Times New Roman"/>
                      <w:color w:val="auto"/>
                      <w:szCs w:val="21"/>
                    </w:rPr>
                  </w:pPr>
                </w:p>
              </w:tc>
              <w:tc>
                <w:tcPr>
                  <w:tcW w:w="849" w:type="dxa"/>
                  <w:vMerge w:val="continue"/>
                  <w:vAlign w:val="center"/>
                </w:tcPr>
                <w:p>
                  <w:pPr>
                    <w:jc w:val="center"/>
                    <w:rPr>
                      <w:rFonts w:ascii="Times New Roman" w:hAnsi="Times New Roman"/>
                      <w:color w:val="auto"/>
                      <w:szCs w:val="21"/>
                    </w:rPr>
                  </w:pPr>
                </w:p>
              </w:tc>
              <w:tc>
                <w:tcPr>
                  <w:tcW w:w="1282" w:type="dxa"/>
                  <w:vMerge w:val="continue"/>
                  <w:vAlign w:val="center"/>
                </w:tcPr>
                <w:p>
                  <w:pPr>
                    <w:jc w:val="center"/>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szCs w:val="21"/>
                    </w:rPr>
                    <w:t>550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pStyle w:val="2"/>
                    <w:rPr>
                      <w:rFonts w:ascii="Times New Roman" w:hAnsi="Times New Roman"/>
                      <w:color w:val="auto"/>
                    </w:rPr>
                  </w:pP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TN</w:t>
                  </w:r>
                </w:p>
              </w:tc>
              <w:tc>
                <w:tcPr>
                  <w:tcW w:w="895" w:type="dxa"/>
                  <w:vMerge w:val="continue"/>
                  <w:vAlign w:val="center"/>
                </w:tcPr>
                <w:p>
                  <w:pPr>
                    <w:jc w:val="center"/>
                    <w:rPr>
                      <w:rFonts w:ascii="Times New Roman" w:hAnsi="Times New Roman"/>
                      <w:color w:val="auto"/>
                      <w:szCs w:val="21"/>
                    </w:rPr>
                  </w:pPr>
                </w:p>
              </w:tc>
              <w:tc>
                <w:tcPr>
                  <w:tcW w:w="1350" w:type="dxa"/>
                  <w:vMerge w:val="continue"/>
                  <w:vAlign w:val="center"/>
                </w:tcPr>
                <w:p>
                  <w:pPr>
                    <w:jc w:val="center"/>
                    <w:rPr>
                      <w:rFonts w:ascii="Times New Roman" w:hAnsi="Times New Roman"/>
                      <w:color w:val="auto"/>
                      <w:szCs w:val="21"/>
                    </w:rPr>
                  </w:pPr>
                </w:p>
              </w:tc>
              <w:tc>
                <w:tcPr>
                  <w:tcW w:w="849" w:type="dxa"/>
                  <w:vMerge w:val="continue"/>
                  <w:vAlign w:val="center"/>
                </w:tcPr>
                <w:p>
                  <w:pPr>
                    <w:jc w:val="center"/>
                    <w:rPr>
                      <w:rFonts w:ascii="Times New Roman" w:hAnsi="Times New Roman"/>
                      <w:color w:val="auto"/>
                      <w:szCs w:val="21"/>
                    </w:rPr>
                  </w:pPr>
                </w:p>
              </w:tc>
              <w:tc>
                <w:tcPr>
                  <w:tcW w:w="1282" w:type="dxa"/>
                  <w:vMerge w:val="continue"/>
                  <w:vAlign w:val="center"/>
                </w:tcPr>
                <w:p>
                  <w:pPr>
                    <w:jc w:val="center"/>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szCs w:val="21"/>
                    </w:rPr>
                    <w:t>400</w:t>
                  </w:r>
                </w:p>
              </w:tc>
              <w:tc>
                <w:tcPr>
                  <w:tcW w:w="1142" w:type="dxa"/>
                  <w:vAlign w:val="center"/>
                </w:tcPr>
                <w:p>
                  <w:pPr>
                    <w:jc w:val="center"/>
                    <w:rPr>
                      <w:rFonts w:ascii="Times New Roman" w:hAnsi="Times New Roman"/>
                      <w:color w:val="auto"/>
                    </w:rPr>
                  </w:pPr>
                  <w:r>
                    <w:rPr>
                      <w:rFonts w:ascii="Times New Roman" w:hAnsi="Times New Roman"/>
                      <w:color w:val="auto"/>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rPr>
                      <w:rFonts w:ascii="Times New Roman" w:hAnsi="Times New Roman"/>
                      <w:color w:val="auto"/>
                    </w:rPr>
                  </w:pP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TP</w:t>
                  </w:r>
                </w:p>
              </w:tc>
              <w:tc>
                <w:tcPr>
                  <w:tcW w:w="895" w:type="dxa"/>
                  <w:vMerge w:val="continue"/>
                  <w:vAlign w:val="center"/>
                </w:tcPr>
                <w:p>
                  <w:pPr>
                    <w:jc w:val="center"/>
                    <w:rPr>
                      <w:rFonts w:ascii="Times New Roman" w:hAnsi="Times New Roman"/>
                      <w:color w:val="auto"/>
                      <w:szCs w:val="21"/>
                    </w:rPr>
                  </w:pPr>
                </w:p>
              </w:tc>
              <w:tc>
                <w:tcPr>
                  <w:tcW w:w="1350" w:type="dxa"/>
                  <w:vMerge w:val="continue"/>
                  <w:vAlign w:val="center"/>
                </w:tcPr>
                <w:p>
                  <w:pPr>
                    <w:jc w:val="center"/>
                    <w:rPr>
                      <w:rFonts w:ascii="Times New Roman" w:hAnsi="Times New Roman"/>
                      <w:color w:val="auto"/>
                      <w:szCs w:val="21"/>
                    </w:rPr>
                  </w:pPr>
                </w:p>
              </w:tc>
              <w:tc>
                <w:tcPr>
                  <w:tcW w:w="849" w:type="dxa"/>
                  <w:vMerge w:val="continue"/>
                  <w:vAlign w:val="center"/>
                </w:tcPr>
                <w:p>
                  <w:pPr>
                    <w:jc w:val="center"/>
                    <w:rPr>
                      <w:rFonts w:ascii="Times New Roman" w:hAnsi="Times New Roman"/>
                      <w:color w:val="auto"/>
                      <w:szCs w:val="21"/>
                    </w:rPr>
                  </w:pPr>
                </w:p>
              </w:tc>
              <w:tc>
                <w:tcPr>
                  <w:tcW w:w="1282" w:type="dxa"/>
                  <w:vMerge w:val="continue"/>
                  <w:vAlign w:val="center"/>
                </w:tcPr>
                <w:p>
                  <w:pPr>
                    <w:jc w:val="center"/>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szCs w:val="21"/>
                    </w:rPr>
                    <w:t>50</w:t>
                  </w:r>
                </w:p>
              </w:tc>
              <w:tc>
                <w:tcPr>
                  <w:tcW w:w="1142" w:type="dxa"/>
                  <w:vAlign w:val="center"/>
                </w:tcPr>
                <w:p>
                  <w:pPr>
                    <w:jc w:val="center"/>
                    <w:rPr>
                      <w:rFonts w:ascii="Times New Roman" w:hAnsi="Times New Roman"/>
                      <w:color w:val="auto"/>
                    </w:rPr>
                  </w:pPr>
                  <w:r>
                    <w:rPr>
                      <w:rFonts w:ascii="Times New Roman" w:hAnsi="Times New Roman"/>
                      <w:color w:val="auto"/>
                    </w:rPr>
                    <w:t>0.002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restart"/>
                  <w:vAlign w:val="center"/>
                </w:tcPr>
                <w:p>
                  <w:pPr>
                    <w:jc w:val="left"/>
                    <w:rPr>
                      <w:rFonts w:ascii="Times New Roman" w:hAnsi="Times New Roman"/>
                      <w:color w:val="auto"/>
                      <w:szCs w:val="21"/>
                    </w:rPr>
                  </w:pPr>
                  <w:r>
                    <w:rPr>
                      <w:rFonts w:ascii="Times New Roman" w:hAnsi="Times New Roman"/>
                      <w:color w:val="auto"/>
                      <w:szCs w:val="21"/>
                    </w:rPr>
                    <w:t>设备及地面冲洗废水</w:t>
                  </w: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COD</w:t>
                  </w:r>
                </w:p>
              </w:tc>
              <w:tc>
                <w:tcPr>
                  <w:tcW w:w="895" w:type="dxa"/>
                  <w:vMerge w:val="continue"/>
                  <w:vAlign w:val="center"/>
                </w:tcPr>
                <w:p>
                  <w:pPr>
                    <w:jc w:val="center"/>
                    <w:rPr>
                      <w:rFonts w:ascii="Times New Roman" w:hAnsi="Times New Roman"/>
                      <w:color w:val="auto"/>
                      <w:szCs w:val="21"/>
                    </w:rPr>
                  </w:pPr>
                </w:p>
              </w:tc>
              <w:tc>
                <w:tcPr>
                  <w:tcW w:w="1350" w:type="dxa"/>
                  <w:vMerge w:val="restart"/>
                  <w:vAlign w:val="center"/>
                </w:tcPr>
                <w:p>
                  <w:pPr>
                    <w:jc w:val="center"/>
                    <w:rPr>
                      <w:rFonts w:ascii="Times New Roman" w:hAnsi="Times New Roman"/>
                      <w:color w:val="auto"/>
                      <w:szCs w:val="21"/>
                    </w:rPr>
                  </w:pPr>
                  <w:r>
                    <w:rPr>
                      <w:rFonts w:ascii="Times New Roman" w:hAnsi="Times New Roman"/>
                      <w:color w:val="auto"/>
                      <w:szCs w:val="21"/>
                    </w:rPr>
                    <w:t>57.8</w:t>
                  </w:r>
                </w:p>
              </w:tc>
              <w:tc>
                <w:tcPr>
                  <w:tcW w:w="849" w:type="dxa"/>
                  <w:vMerge w:val="continue"/>
                  <w:vAlign w:val="center"/>
                </w:tcPr>
                <w:p>
                  <w:pPr>
                    <w:jc w:val="left"/>
                    <w:rPr>
                      <w:rFonts w:ascii="Times New Roman" w:hAnsi="Times New Roman"/>
                      <w:color w:val="auto"/>
                      <w:szCs w:val="21"/>
                    </w:rPr>
                  </w:pPr>
                </w:p>
              </w:tc>
              <w:tc>
                <w:tcPr>
                  <w:tcW w:w="1282" w:type="dxa"/>
                  <w:vMerge w:val="restart"/>
                  <w:vAlign w:val="center"/>
                </w:tcPr>
                <w:p>
                  <w:pPr>
                    <w:jc w:val="center"/>
                    <w:rPr>
                      <w:rFonts w:ascii="Times New Roman" w:hAnsi="Times New Roman"/>
                      <w:color w:val="auto"/>
                      <w:szCs w:val="21"/>
                    </w:rPr>
                  </w:pPr>
                  <w:r>
                    <w:rPr>
                      <w:rFonts w:ascii="Times New Roman" w:hAnsi="Times New Roman"/>
                      <w:color w:val="auto"/>
                      <w:szCs w:val="21"/>
                    </w:rPr>
                    <w:t>57.8</w:t>
                  </w:r>
                </w:p>
              </w:tc>
              <w:tc>
                <w:tcPr>
                  <w:tcW w:w="1541" w:type="dxa"/>
                  <w:vAlign w:val="center"/>
                </w:tcPr>
                <w:p>
                  <w:pPr>
                    <w:jc w:val="center"/>
                    <w:rPr>
                      <w:rFonts w:ascii="Times New Roman" w:hAnsi="Times New Roman"/>
                      <w:color w:val="auto"/>
                      <w:szCs w:val="21"/>
                    </w:rPr>
                  </w:pPr>
                  <w:r>
                    <w:rPr>
                      <w:rFonts w:ascii="Times New Roman" w:hAnsi="Times New Roman"/>
                      <w:color w:val="auto"/>
                      <w:szCs w:val="21"/>
                    </w:rPr>
                    <w:t>400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jc w:val="left"/>
                    <w:rPr>
                      <w:rFonts w:ascii="Times New Roman" w:hAnsi="Times New Roman"/>
                      <w:color w:val="auto"/>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BOD</w:t>
                  </w:r>
                  <w:r>
                    <w:rPr>
                      <w:rFonts w:ascii="Times New Roman" w:hAnsi="Times New Roman"/>
                      <w:color w:val="auto"/>
                      <w:szCs w:val="21"/>
                      <w:vertAlign w:val="subscript"/>
                    </w:rPr>
                    <w:t>5</w:t>
                  </w:r>
                </w:p>
              </w:tc>
              <w:tc>
                <w:tcPr>
                  <w:tcW w:w="895" w:type="dxa"/>
                  <w:vMerge w:val="continue"/>
                  <w:vAlign w:val="center"/>
                </w:tcPr>
                <w:p>
                  <w:pPr>
                    <w:jc w:val="center"/>
                    <w:rPr>
                      <w:rFonts w:ascii="Times New Roman" w:hAnsi="Times New Roman"/>
                      <w:color w:val="auto"/>
                      <w:szCs w:val="21"/>
                    </w:rPr>
                  </w:pPr>
                </w:p>
              </w:tc>
              <w:tc>
                <w:tcPr>
                  <w:tcW w:w="1350" w:type="dxa"/>
                  <w:vMerge w:val="continue"/>
                  <w:vAlign w:val="center"/>
                </w:tcPr>
                <w:p>
                  <w:pPr>
                    <w:jc w:val="center"/>
                    <w:rPr>
                      <w:rFonts w:ascii="Times New Roman" w:hAnsi="Times New Roman"/>
                      <w:color w:val="auto"/>
                      <w:szCs w:val="21"/>
                    </w:rPr>
                  </w:pPr>
                </w:p>
              </w:tc>
              <w:tc>
                <w:tcPr>
                  <w:tcW w:w="849" w:type="dxa"/>
                  <w:vMerge w:val="continue"/>
                  <w:vAlign w:val="center"/>
                </w:tcPr>
                <w:p>
                  <w:pPr>
                    <w:jc w:val="left"/>
                    <w:rPr>
                      <w:rFonts w:ascii="Times New Roman" w:hAnsi="Times New Roman"/>
                      <w:color w:val="auto"/>
                      <w:szCs w:val="21"/>
                    </w:rPr>
                  </w:pPr>
                </w:p>
              </w:tc>
              <w:tc>
                <w:tcPr>
                  <w:tcW w:w="1282" w:type="dxa"/>
                  <w:vMerge w:val="continue"/>
                  <w:vAlign w:val="center"/>
                </w:tcPr>
                <w:p>
                  <w:pPr>
                    <w:jc w:val="left"/>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szCs w:val="21"/>
                    </w:rPr>
                    <w:t>185</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jc w:val="left"/>
                    <w:rPr>
                      <w:rFonts w:ascii="Times New Roman" w:hAnsi="Times New Roman"/>
                      <w:color w:val="auto"/>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氨氮</w:t>
                  </w:r>
                </w:p>
              </w:tc>
              <w:tc>
                <w:tcPr>
                  <w:tcW w:w="895" w:type="dxa"/>
                  <w:vMerge w:val="continue"/>
                  <w:vAlign w:val="center"/>
                </w:tcPr>
                <w:p>
                  <w:pPr>
                    <w:jc w:val="center"/>
                    <w:rPr>
                      <w:rFonts w:ascii="Times New Roman" w:hAnsi="Times New Roman"/>
                      <w:color w:val="auto"/>
                      <w:szCs w:val="21"/>
                    </w:rPr>
                  </w:pPr>
                </w:p>
              </w:tc>
              <w:tc>
                <w:tcPr>
                  <w:tcW w:w="1350" w:type="dxa"/>
                  <w:vMerge w:val="continue"/>
                  <w:vAlign w:val="center"/>
                </w:tcPr>
                <w:p>
                  <w:pPr>
                    <w:jc w:val="center"/>
                    <w:rPr>
                      <w:rFonts w:ascii="Times New Roman" w:hAnsi="Times New Roman"/>
                      <w:color w:val="auto"/>
                      <w:szCs w:val="21"/>
                    </w:rPr>
                  </w:pPr>
                </w:p>
              </w:tc>
              <w:tc>
                <w:tcPr>
                  <w:tcW w:w="849" w:type="dxa"/>
                  <w:vMerge w:val="continue"/>
                  <w:vAlign w:val="center"/>
                </w:tcPr>
                <w:p>
                  <w:pPr>
                    <w:jc w:val="left"/>
                    <w:rPr>
                      <w:rFonts w:ascii="Times New Roman" w:hAnsi="Times New Roman"/>
                      <w:color w:val="auto"/>
                      <w:szCs w:val="21"/>
                    </w:rPr>
                  </w:pPr>
                </w:p>
              </w:tc>
              <w:tc>
                <w:tcPr>
                  <w:tcW w:w="1282" w:type="dxa"/>
                  <w:vMerge w:val="continue"/>
                  <w:vAlign w:val="center"/>
                </w:tcPr>
                <w:p>
                  <w:pPr>
                    <w:jc w:val="left"/>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szCs w:val="21"/>
                    </w:rPr>
                    <w:t>30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pStyle w:val="2"/>
                    <w:rPr>
                      <w:rFonts w:ascii="Times New Roman" w:hAnsi="Times New Roman" w:eastAsia="宋体"/>
                      <w:color w:val="auto"/>
                      <w:kern w:val="2"/>
                      <w:sz w:val="21"/>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szCs w:val="21"/>
                    </w:rPr>
                    <w:t>SS</w:t>
                  </w:r>
                </w:p>
              </w:tc>
              <w:tc>
                <w:tcPr>
                  <w:tcW w:w="895" w:type="dxa"/>
                  <w:vMerge w:val="continue"/>
                  <w:vAlign w:val="center"/>
                </w:tcPr>
                <w:p>
                  <w:pPr>
                    <w:jc w:val="center"/>
                    <w:rPr>
                      <w:rFonts w:ascii="Times New Roman" w:hAnsi="Times New Roman"/>
                      <w:color w:val="auto"/>
                      <w:szCs w:val="21"/>
                    </w:rPr>
                  </w:pPr>
                </w:p>
              </w:tc>
              <w:tc>
                <w:tcPr>
                  <w:tcW w:w="1350" w:type="dxa"/>
                  <w:vMerge w:val="continue"/>
                  <w:vAlign w:val="center"/>
                </w:tcPr>
                <w:p>
                  <w:pPr>
                    <w:jc w:val="left"/>
                    <w:rPr>
                      <w:rFonts w:ascii="Times New Roman" w:hAnsi="Times New Roman"/>
                      <w:color w:val="auto"/>
                      <w:szCs w:val="21"/>
                    </w:rPr>
                  </w:pPr>
                </w:p>
              </w:tc>
              <w:tc>
                <w:tcPr>
                  <w:tcW w:w="849" w:type="dxa"/>
                  <w:vMerge w:val="continue"/>
                  <w:vAlign w:val="center"/>
                </w:tcPr>
                <w:p>
                  <w:pPr>
                    <w:jc w:val="left"/>
                    <w:rPr>
                      <w:rFonts w:ascii="Times New Roman" w:hAnsi="Times New Roman"/>
                      <w:color w:val="auto"/>
                      <w:szCs w:val="21"/>
                    </w:rPr>
                  </w:pPr>
                </w:p>
              </w:tc>
              <w:tc>
                <w:tcPr>
                  <w:tcW w:w="1282" w:type="dxa"/>
                  <w:vMerge w:val="continue"/>
                  <w:vAlign w:val="center"/>
                </w:tcPr>
                <w:p>
                  <w:pPr>
                    <w:jc w:val="left"/>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szCs w:val="21"/>
                    </w:rPr>
                    <w:t>500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w:t>
                  </w:r>
                  <w:r>
                    <w:rPr>
                      <w:rFonts w:hint="eastAsia" w:ascii="Times New Roman" w:hAnsi="Times New Roman"/>
                      <w:color w:val="auto"/>
                      <w:szCs w:val="21"/>
                    </w:rPr>
                    <w:t>.</w:t>
                  </w:r>
                  <w:r>
                    <w:rPr>
                      <w:rFonts w:ascii="Times New Roman" w:hAnsi="Times New Roman"/>
                      <w:color w:val="auto"/>
                      <w:szCs w:val="21"/>
                    </w:rP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restart"/>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混合废水</w:t>
                  </w:r>
                </w:p>
              </w:tc>
              <w:tc>
                <w:tcPr>
                  <w:tcW w:w="1035"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COD</w:t>
                  </w:r>
                </w:p>
              </w:tc>
              <w:tc>
                <w:tcPr>
                  <w:tcW w:w="895" w:type="dxa"/>
                  <w:vMerge w:val="continue"/>
                  <w:vAlign w:val="center"/>
                </w:tcPr>
                <w:p>
                  <w:pPr>
                    <w:jc w:val="center"/>
                    <w:rPr>
                      <w:rFonts w:ascii="Times New Roman" w:hAnsi="Times New Roman"/>
                      <w:color w:val="auto"/>
                      <w:szCs w:val="21"/>
                      <w:highlight w:val="yellow"/>
                    </w:rPr>
                  </w:pPr>
                </w:p>
              </w:tc>
              <w:tc>
                <w:tcPr>
                  <w:tcW w:w="1350" w:type="dxa"/>
                  <w:vMerge w:val="restart"/>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112.55</w:t>
                  </w:r>
                </w:p>
              </w:tc>
              <w:tc>
                <w:tcPr>
                  <w:tcW w:w="849" w:type="dxa"/>
                  <w:vMerge w:val="continue"/>
                  <w:vAlign w:val="center"/>
                </w:tcPr>
                <w:p>
                  <w:pPr>
                    <w:jc w:val="center"/>
                    <w:rPr>
                      <w:rFonts w:ascii="Times New Roman" w:hAnsi="Times New Roman"/>
                      <w:color w:val="auto"/>
                      <w:szCs w:val="21"/>
                      <w:highlight w:val="yellow"/>
                    </w:rPr>
                  </w:pPr>
                </w:p>
              </w:tc>
              <w:tc>
                <w:tcPr>
                  <w:tcW w:w="1282" w:type="dxa"/>
                  <w:vMerge w:val="restart"/>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112.55</w:t>
                  </w:r>
                </w:p>
              </w:tc>
              <w:tc>
                <w:tcPr>
                  <w:tcW w:w="1541"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1066</w:t>
                  </w:r>
                </w:p>
              </w:tc>
              <w:tc>
                <w:tcPr>
                  <w:tcW w:w="1142"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pStyle w:val="2"/>
                    <w:rPr>
                      <w:rFonts w:ascii="Times New Roman" w:hAnsi="Times New Roman" w:eastAsia="宋体"/>
                      <w:color w:val="auto"/>
                      <w:kern w:val="2"/>
                      <w:sz w:val="21"/>
                      <w:szCs w:val="21"/>
                      <w:highlight w:val="yellow"/>
                    </w:rPr>
                  </w:pPr>
                </w:p>
              </w:tc>
              <w:tc>
                <w:tcPr>
                  <w:tcW w:w="1035"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氨氮</w:t>
                  </w:r>
                </w:p>
              </w:tc>
              <w:tc>
                <w:tcPr>
                  <w:tcW w:w="895" w:type="dxa"/>
                  <w:vMerge w:val="continue"/>
                  <w:vAlign w:val="center"/>
                </w:tcPr>
                <w:p>
                  <w:pPr>
                    <w:jc w:val="center"/>
                    <w:rPr>
                      <w:rFonts w:ascii="Times New Roman" w:hAnsi="Times New Roman"/>
                      <w:color w:val="auto"/>
                      <w:szCs w:val="21"/>
                      <w:highlight w:val="yellow"/>
                    </w:rPr>
                  </w:pPr>
                </w:p>
              </w:tc>
              <w:tc>
                <w:tcPr>
                  <w:tcW w:w="1350" w:type="dxa"/>
                  <w:vMerge w:val="continue"/>
                  <w:vAlign w:val="center"/>
                </w:tcPr>
                <w:p>
                  <w:pPr>
                    <w:jc w:val="left"/>
                    <w:rPr>
                      <w:rFonts w:ascii="Times New Roman" w:hAnsi="Times New Roman"/>
                      <w:color w:val="auto"/>
                      <w:szCs w:val="21"/>
                      <w:highlight w:val="yellow"/>
                    </w:rPr>
                  </w:pPr>
                </w:p>
              </w:tc>
              <w:tc>
                <w:tcPr>
                  <w:tcW w:w="849" w:type="dxa"/>
                  <w:vMerge w:val="continue"/>
                  <w:vAlign w:val="center"/>
                </w:tcPr>
                <w:p>
                  <w:pPr>
                    <w:jc w:val="left"/>
                    <w:rPr>
                      <w:rFonts w:ascii="Times New Roman" w:hAnsi="Times New Roman"/>
                      <w:color w:val="auto"/>
                      <w:szCs w:val="21"/>
                      <w:highlight w:val="yellow"/>
                    </w:rPr>
                  </w:pPr>
                </w:p>
              </w:tc>
              <w:tc>
                <w:tcPr>
                  <w:tcW w:w="1282" w:type="dxa"/>
                  <w:vMerge w:val="continue"/>
                  <w:vAlign w:val="center"/>
                </w:tcPr>
                <w:p>
                  <w:pPr>
                    <w:jc w:val="left"/>
                    <w:rPr>
                      <w:rFonts w:ascii="Times New Roman" w:hAnsi="Times New Roman"/>
                      <w:color w:val="auto"/>
                      <w:szCs w:val="21"/>
                      <w:highlight w:val="yellow"/>
                    </w:rPr>
                  </w:pPr>
                </w:p>
              </w:tc>
              <w:tc>
                <w:tcPr>
                  <w:tcW w:w="1541"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186</w:t>
                  </w:r>
                </w:p>
              </w:tc>
              <w:tc>
                <w:tcPr>
                  <w:tcW w:w="1142"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0.021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pStyle w:val="2"/>
                    <w:rPr>
                      <w:rFonts w:ascii="Times New Roman" w:hAnsi="Times New Roman" w:eastAsia="宋体"/>
                      <w:color w:val="auto"/>
                      <w:kern w:val="2"/>
                      <w:sz w:val="21"/>
                      <w:szCs w:val="21"/>
                      <w:highlight w:val="yellow"/>
                    </w:rPr>
                  </w:pPr>
                </w:p>
              </w:tc>
              <w:tc>
                <w:tcPr>
                  <w:tcW w:w="1035"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SS</w:t>
                  </w:r>
                </w:p>
              </w:tc>
              <w:tc>
                <w:tcPr>
                  <w:tcW w:w="895" w:type="dxa"/>
                  <w:vMerge w:val="continue"/>
                  <w:tcBorders>
                    <w:bottom w:val="single" w:color="auto" w:sz="4" w:space="0"/>
                  </w:tcBorders>
                  <w:vAlign w:val="center"/>
                </w:tcPr>
                <w:p>
                  <w:pPr>
                    <w:jc w:val="center"/>
                    <w:rPr>
                      <w:rFonts w:ascii="Times New Roman" w:hAnsi="Times New Roman"/>
                      <w:color w:val="auto"/>
                      <w:szCs w:val="21"/>
                      <w:highlight w:val="yellow"/>
                    </w:rPr>
                  </w:pPr>
                </w:p>
              </w:tc>
              <w:tc>
                <w:tcPr>
                  <w:tcW w:w="1350" w:type="dxa"/>
                  <w:vMerge w:val="continue"/>
                  <w:vAlign w:val="center"/>
                </w:tcPr>
                <w:p>
                  <w:pPr>
                    <w:jc w:val="left"/>
                    <w:rPr>
                      <w:rFonts w:ascii="Times New Roman" w:hAnsi="Times New Roman"/>
                      <w:color w:val="auto"/>
                      <w:szCs w:val="21"/>
                      <w:highlight w:val="yellow"/>
                    </w:rPr>
                  </w:pPr>
                </w:p>
              </w:tc>
              <w:tc>
                <w:tcPr>
                  <w:tcW w:w="849" w:type="dxa"/>
                  <w:vMerge w:val="continue"/>
                  <w:vAlign w:val="center"/>
                </w:tcPr>
                <w:p>
                  <w:pPr>
                    <w:jc w:val="left"/>
                    <w:rPr>
                      <w:rFonts w:ascii="Times New Roman" w:hAnsi="Times New Roman"/>
                      <w:color w:val="auto"/>
                      <w:szCs w:val="21"/>
                      <w:highlight w:val="yellow"/>
                    </w:rPr>
                  </w:pPr>
                </w:p>
              </w:tc>
              <w:tc>
                <w:tcPr>
                  <w:tcW w:w="1282" w:type="dxa"/>
                  <w:vMerge w:val="continue"/>
                  <w:vAlign w:val="center"/>
                </w:tcPr>
                <w:p>
                  <w:pPr>
                    <w:jc w:val="left"/>
                    <w:rPr>
                      <w:rFonts w:ascii="Times New Roman" w:hAnsi="Times New Roman"/>
                      <w:color w:val="auto"/>
                      <w:szCs w:val="21"/>
                      <w:highlight w:val="yellow"/>
                    </w:rPr>
                  </w:pPr>
                </w:p>
              </w:tc>
              <w:tc>
                <w:tcPr>
                  <w:tcW w:w="1541"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533</w:t>
                  </w:r>
                </w:p>
              </w:tc>
              <w:tc>
                <w:tcPr>
                  <w:tcW w:w="1142" w:type="dxa"/>
                  <w:vAlign w:val="center"/>
                </w:tcPr>
                <w:p>
                  <w:pPr>
                    <w:jc w:val="center"/>
                    <w:rPr>
                      <w:rFonts w:ascii="Times New Roman" w:hAnsi="Times New Roman"/>
                      <w:color w:val="auto"/>
                      <w:szCs w:val="21"/>
                      <w:highlight w:val="yellow"/>
                    </w:rPr>
                  </w:pPr>
                  <w:r>
                    <w:rPr>
                      <w:rFonts w:hint="eastAsia" w:ascii="Times New Roman" w:hAnsi="Times New Roman"/>
                      <w:color w:val="auto"/>
                      <w:szCs w:val="21"/>
                      <w:highlight w:val="yellow"/>
                    </w:rPr>
                    <w:t>0.06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9094" w:type="dxa"/>
                  <w:gridSpan w:val="8"/>
                  <w:vAlign w:val="center"/>
                </w:tcPr>
                <w:p>
                  <w:pPr>
                    <w:jc w:val="center"/>
                    <w:rPr>
                      <w:rFonts w:ascii="Times New Roman" w:hAnsi="Times New Roman"/>
                      <w:color w:val="auto"/>
                      <w:szCs w:val="21"/>
                    </w:rPr>
                  </w:pPr>
                  <w:r>
                    <w:rPr>
                      <w:rFonts w:hint="eastAsia" w:ascii="Times New Roman" w:hAnsi="Times New Roman"/>
                      <w:color w:val="auto"/>
                      <w:szCs w:val="21"/>
                    </w:rPr>
                    <w:t>生活污水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restart"/>
                  <w:vAlign w:val="center"/>
                </w:tcPr>
                <w:p>
                  <w:pPr>
                    <w:jc w:val="center"/>
                    <w:rPr>
                      <w:rFonts w:ascii="Times New Roman" w:hAnsi="Times New Roman"/>
                      <w:color w:val="auto"/>
                      <w:szCs w:val="21"/>
                    </w:rPr>
                  </w:pPr>
                  <w:r>
                    <w:rPr>
                      <w:rFonts w:ascii="Times New Roman" w:hAnsi="Times New Roman"/>
                      <w:color w:val="auto"/>
                    </w:rPr>
                    <w:t>生活污水</w:t>
                  </w:r>
                </w:p>
              </w:tc>
              <w:tc>
                <w:tcPr>
                  <w:tcW w:w="1035" w:type="dxa"/>
                  <w:vAlign w:val="center"/>
                </w:tcPr>
                <w:p>
                  <w:pPr>
                    <w:jc w:val="center"/>
                    <w:rPr>
                      <w:rFonts w:ascii="Times New Roman" w:hAnsi="Times New Roman"/>
                      <w:color w:val="auto"/>
                      <w:szCs w:val="21"/>
                    </w:rPr>
                  </w:pPr>
                  <w:r>
                    <w:rPr>
                      <w:rFonts w:ascii="Times New Roman" w:hAnsi="Times New Roman"/>
                      <w:color w:val="auto"/>
                    </w:rPr>
                    <w:t>CODcr、</w:t>
                  </w:r>
                </w:p>
              </w:tc>
              <w:tc>
                <w:tcPr>
                  <w:tcW w:w="895" w:type="dxa"/>
                  <w:vMerge w:val="restart"/>
                  <w:tcBorders>
                    <w:top w:val="single" w:color="auto" w:sz="4" w:space="0"/>
                  </w:tcBorders>
                  <w:vAlign w:val="center"/>
                </w:tcPr>
                <w:p>
                  <w:pPr>
                    <w:jc w:val="center"/>
                    <w:rPr>
                      <w:rFonts w:ascii="Times New Roman" w:hAnsi="Times New Roman"/>
                      <w:color w:val="auto"/>
                      <w:szCs w:val="21"/>
                    </w:rPr>
                  </w:pPr>
                  <w:r>
                    <w:rPr>
                      <w:rFonts w:hint="eastAsia" w:ascii="Times New Roman" w:hAnsi="Times New Roman"/>
                      <w:color w:val="auto"/>
                      <w:szCs w:val="21"/>
                    </w:rPr>
                    <w:t>类比法</w:t>
                  </w:r>
                </w:p>
              </w:tc>
              <w:tc>
                <w:tcPr>
                  <w:tcW w:w="1350" w:type="dxa"/>
                  <w:vMerge w:val="restart"/>
                  <w:vAlign w:val="center"/>
                </w:tcPr>
                <w:p>
                  <w:pPr>
                    <w:jc w:val="center"/>
                    <w:rPr>
                      <w:rFonts w:ascii="Times New Roman" w:hAnsi="Times New Roman"/>
                      <w:color w:val="auto"/>
                      <w:szCs w:val="21"/>
                    </w:rPr>
                  </w:pPr>
                  <w:r>
                    <w:rPr>
                      <w:rFonts w:ascii="Times New Roman" w:hAnsi="Times New Roman"/>
                      <w:color w:val="auto"/>
                    </w:rPr>
                    <w:t>35</w:t>
                  </w:r>
                </w:p>
              </w:tc>
              <w:tc>
                <w:tcPr>
                  <w:tcW w:w="849" w:type="dxa"/>
                  <w:vMerge w:val="restart"/>
                  <w:vAlign w:val="center"/>
                </w:tcPr>
                <w:p>
                  <w:pPr>
                    <w:jc w:val="center"/>
                    <w:rPr>
                      <w:rFonts w:ascii="Times New Roman" w:hAnsi="Times New Roman"/>
                      <w:color w:val="auto"/>
                      <w:szCs w:val="21"/>
                    </w:rPr>
                  </w:pPr>
                  <w:r>
                    <w:rPr>
                      <w:rFonts w:ascii="Times New Roman" w:hAnsi="Times New Roman"/>
                      <w:color w:val="auto"/>
                    </w:rPr>
                    <w:t>泼洒抑尘</w:t>
                  </w:r>
                </w:p>
              </w:tc>
              <w:tc>
                <w:tcPr>
                  <w:tcW w:w="1282" w:type="dxa"/>
                  <w:vMerge w:val="restart"/>
                  <w:vAlign w:val="center"/>
                </w:tcPr>
                <w:p>
                  <w:pPr>
                    <w:jc w:val="center"/>
                    <w:rPr>
                      <w:rFonts w:ascii="Times New Roman" w:hAnsi="Times New Roman"/>
                      <w:color w:val="auto"/>
                      <w:szCs w:val="21"/>
                    </w:rPr>
                  </w:pPr>
                  <w:r>
                    <w:rPr>
                      <w:rFonts w:ascii="Times New Roman" w:hAnsi="Times New Roman"/>
                      <w:color w:val="auto"/>
                    </w:rPr>
                    <w:t>35</w:t>
                  </w:r>
                </w:p>
              </w:tc>
              <w:tc>
                <w:tcPr>
                  <w:tcW w:w="1541" w:type="dxa"/>
                  <w:vAlign w:val="center"/>
                </w:tcPr>
                <w:p>
                  <w:pPr>
                    <w:jc w:val="center"/>
                    <w:rPr>
                      <w:rFonts w:ascii="Times New Roman" w:hAnsi="Times New Roman"/>
                      <w:color w:val="auto"/>
                      <w:szCs w:val="21"/>
                    </w:rPr>
                  </w:pPr>
                  <w:r>
                    <w:rPr>
                      <w:rFonts w:ascii="Times New Roman" w:hAnsi="Times New Roman"/>
                      <w:color w:val="auto"/>
                    </w:rPr>
                    <w:t>400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jc w:val="left"/>
                    <w:rPr>
                      <w:rFonts w:ascii="Times New Roman" w:hAnsi="Times New Roman"/>
                      <w:color w:val="auto"/>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rPr>
                    <w:t>BOD</w:t>
                  </w:r>
                  <w:r>
                    <w:rPr>
                      <w:rFonts w:ascii="Times New Roman" w:hAnsi="Times New Roman"/>
                      <w:color w:val="auto"/>
                      <w:vertAlign w:val="subscript"/>
                    </w:rPr>
                    <w:t>5</w:t>
                  </w:r>
                </w:p>
              </w:tc>
              <w:tc>
                <w:tcPr>
                  <w:tcW w:w="895" w:type="dxa"/>
                  <w:vMerge w:val="continue"/>
                  <w:vAlign w:val="center"/>
                </w:tcPr>
                <w:p>
                  <w:pPr>
                    <w:jc w:val="left"/>
                    <w:rPr>
                      <w:rFonts w:ascii="Times New Roman" w:hAnsi="Times New Roman"/>
                      <w:color w:val="auto"/>
                      <w:szCs w:val="21"/>
                    </w:rPr>
                  </w:pPr>
                </w:p>
              </w:tc>
              <w:tc>
                <w:tcPr>
                  <w:tcW w:w="1350" w:type="dxa"/>
                  <w:vMerge w:val="continue"/>
                  <w:vAlign w:val="center"/>
                </w:tcPr>
                <w:p>
                  <w:pPr>
                    <w:jc w:val="left"/>
                    <w:rPr>
                      <w:rFonts w:ascii="Times New Roman" w:hAnsi="Times New Roman"/>
                      <w:color w:val="auto"/>
                      <w:szCs w:val="21"/>
                    </w:rPr>
                  </w:pPr>
                </w:p>
              </w:tc>
              <w:tc>
                <w:tcPr>
                  <w:tcW w:w="849" w:type="dxa"/>
                  <w:vMerge w:val="continue"/>
                  <w:vAlign w:val="center"/>
                </w:tcPr>
                <w:p>
                  <w:pPr>
                    <w:jc w:val="left"/>
                    <w:rPr>
                      <w:rFonts w:ascii="Times New Roman" w:hAnsi="Times New Roman"/>
                      <w:color w:val="auto"/>
                      <w:szCs w:val="21"/>
                    </w:rPr>
                  </w:pPr>
                </w:p>
              </w:tc>
              <w:tc>
                <w:tcPr>
                  <w:tcW w:w="1282" w:type="dxa"/>
                  <w:vMerge w:val="continue"/>
                  <w:vAlign w:val="center"/>
                </w:tcPr>
                <w:p>
                  <w:pPr>
                    <w:jc w:val="left"/>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rPr>
                    <w:t>250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jc w:val="left"/>
                    <w:rPr>
                      <w:rFonts w:ascii="Times New Roman" w:hAnsi="Times New Roman"/>
                      <w:color w:val="auto"/>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rPr>
                    <w:t>SS</w:t>
                  </w:r>
                </w:p>
              </w:tc>
              <w:tc>
                <w:tcPr>
                  <w:tcW w:w="895" w:type="dxa"/>
                  <w:vMerge w:val="continue"/>
                  <w:vAlign w:val="center"/>
                </w:tcPr>
                <w:p>
                  <w:pPr>
                    <w:jc w:val="left"/>
                    <w:rPr>
                      <w:rFonts w:ascii="Times New Roman" w:hAnsi="Times New Roman"/>
                      <w:color w:val="auto"/>
                      <w:szCs w:val="21"/>
                    </w:rPr>
                  </w:pPr>
                </w:p>
              </w:tc>
              <w:tc>
                <w:tcPr>
                  <w:tcW w:w="1350" w:type="dxa"/>
                  <w:vMerge w:val="continue"/>
                  <w:vAlign w:val="center"/>
                </w:tcPr>
                <w:p>
                  <w:pPr>
                    <w:jc w:val="left"/>
                    <w:rPr>
                      <w:rFonts w:ascii="Times New Roman" w:hAnsi="Times New Roman"/>
                      <w:color w:val="auto"/>
                      <w:szCs w:val="21"/>
                    </w:rPr>
                  </w:pPr>
                </w:p>
              </w:tc>
              <w:tc>
                <w:tcPr>
                  <w:tcW w:w="849" w:type="dxa"/>
                  <w:vMerge w:val="continue"/>
                  <w:vAlign w:val="center"/>
                </w:tcPr>
                <w:p>
                  <w:pPr>
                    <w:jc w:val="left"/>
                    <w:rPr>
                      <w:rFonts w:ascii="Times New Roman" w:hAnsi="Times New Roman"/>
                      <w:color w:val="auto"/>
                      <w:szCs w:val="21"/>
                    </w:rPr>
                  </w:pPr>
                </w:p>
              </w:tc>
              <w:tc>
                <w:tcPr>
                  <w:tcW w:w="1282" w:type="dxa"/>
                  <w:vMerge w:val="continue"/>
                  <w:vAlign w:val="center"/>
                </w:tcPr>
                <w:p>
                  <w:pPr>
                    <w:jc w:val="left"/>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rPr>
                    <w:t>220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jc w:val="left"/>
                    <w:rPr>
                      <w:rFonts w:ascii="Times New Roman" w:hAnsi="Times New Roman"/>
                      <w:color w:val="auto"/>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rPr>
                    <w:t>氨氮</w:t>
                  </w:r>
                </w:p>
              </w:tc>
              <w:tc>
                <w:tcPr>
                  <w:tcW w:w="895" w:type="dxa"/>
                  <w:vMerge w:val="continue"/>
                  <w:vAlign w:val="center"/>
                </w:tcPr>
                <w:p>
                  <w:pPr>
                    <w:jc w:val="left"/>
                    <w:rPr>
                      <w:rFonts w:ascii="Times New Roman" w:hAnsi="Times New Roman"/>
                      <w:color w:val="auto"/>
                      <w:szCs w:val="21"/>
                    </w:rPr>
                  </w:pPr>
                </w:p>
              </w:tc>
              <w:tc>
                <w:tcPr>
                  <w:tcW w:w="1350" w:type="dxa"/>
                  <w:vMerge w:val="continue"/>
                  <w:vAlign w:val="center"/>
                </w:tcPr>
                <w:p>
                  <w:pPr>
                    <w:jc w:val="left"/>
                    <w:rPr>
                      <w:rFonts w:ascii="Times New Roman" w:hAnsi="Times New Roman"/>
                      <w:color w:val="auto"/>
                      <w:szCs w:val="21"/>
                    </w:rPr>
                  </w:pPr>
                </w:p>
              </w:tc>
              <w:tc>
                <w:tcPr>
                  <w:tcW w:w="849" w:type="dxa"/>
                  <w:vMerge w:val="continue"/>
                  <w:vAlign w:val="center"/>
                </w:tcPr>
                <w:p>
                  <w:pPr>
                    <w:jc w:val="left"/>
                    <w:rPr>
                      <w:rFonts w:ascii="Times New Roman" w:hAnsi="Times New Roman"/>
                      <w:color w:val="auto"/>
                      <w:szCs w:val="21"/>
                    </w:rPr>
                  </w:pPr>
                </w:p>
              </w:tc>
              <w:tc>
                <w:tcPr>
                  <w:tcW w:w="1282" w:type="dxa"/>
                  <w:vMerge w:val="continue"/>
                  <w:vAlign w:val="center"/>
                </w:tcPr>
                <w:p>
                  <w:pPr>
                    <w:jc w:val="left"/>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rPr>
                    <w:t>25</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00" w:type="dxa"/>
                  <w:vMerge w:val="continue"/>
                  <w:vAlign w:val="center"/>
                </w:tcPr>
                <w:p>
                  <w:pPr>
                    <w:jc w:val="left"/>
                    <w:rPr>
                      <w:rFonts w:ascii="Times New Roman" w:hAnsi="Times New Roman"/>
                      <w:color w:val="auto"/>
                      <w:szCs w:val="21"/>
                    </w:rPr>
                  </w:pPr>
                </w:p>
              </w:tc>
              <w:tc>
                <w:tcPr>
                  <w:tcW w:w="1035" w:type="dxa"/>
                  <w:vAlign w:val="center"/>
                </w:tcPr>
                <w:p>
                  <w:pPr>
                    <w:jc w:val="center"/>
                    <w:rPr>
                      <w:rFonts w:ascii="Times New Roman" w:hAnsi="Times New Roman"/>
                      <w:color w:val="auto"/>
                      <w:szCs w:val="21"/>
                    </w:rPr>
                  </w:pPr>
                  <w:r>
                    <w:rPr>
                      <w:rFonts w:ascii="Times New Roman" w:hAnsi="Times New Roman"/>
                      <w:color w:val="auto"/>
                    </w:rPr>
                    <w:t>动植物油</w:t>
                  </w:r>
                </w:p>
              </w:tc>
              <w:tc>
                <w:tcPr>
                  <w:tcW w:w="895" w:type="dxa"/>
                  <w:vMerge w:val="continue"/>
                  <w:vAlign w:val="center"/>
                </w:tcPr>
                <w:p>
                  <w:pPr>
                    <w:jc w:val="left"/>
                    <w:rPr>
                      <w:rFonts w:ascii="Times New Roman" w:hAnsi="Times New Roman"/>
                      <w:color w:val="auto"/>
                      <w:szCs w:val="21"/>
                    </w:rPr>
                  </w:pPr>
                </w:p>
              </w:tc>
              <w:tc>
                <w:tcPr>
                  <w:tcW w:w="1350" w:type="dxa"/>
                  <w:vMerge w:val="continue"/>
                  <w:vAlign w:val="center"/>
                </w:tcPr>
                <w:p>
                  <w:pPr>
                    <w:jc w:val="left"/>
                    <w:rPr>
                      <w:rFonts w:ascii="Times New Roman" w:hAnsi="Times New Roman"/>
                      <w:color w:val="auto"/>
                      <w:szCs w:val="21"/>
                    </w:rPr>
                  </w:pPr>
                </w:p>
              </w:tc>
              <w:tc>
                <w:tcPr>
                  <w:tcW w:w="849" w:type="dxa"/>
                  <w:vMerge w:val="continue"/>
                  <w:vAlign w:val="center"/>
                </w:tcPr>
                <w:p>
                  <w:pPr>
                    <w:jc w:val="left"/>
                    <w:rPr>
                      <w:rFonts w:ascii="Times New Roman" w:hAnsi="Times New Roman"/>
                      <w:color w:val="auto"/>
                      <w:szCs w:val="21"/>
                    </w:rPr>
                  </w:pPr>
                </w:p>
              </w:tc>
              <w:tc>
                <w:tcPr>
                  <w:tcW w:w="1282" w:type="dxa"/>
                  <w:vMerge w:val="continue"/>
                  <w:vAlign w:val="center"/>
                </w:tcPr>
                <w:p>
                  <w:pPr>
                    <w:jc w:val="left"/>
                    <w:rPr>
                      <w:rFonts w:ascii="Times New Roman" w:hAnsi="Times New Roman"/>
                      <w:color w:val="auto"/>
                      <w:szCs w:val="21"/>
                    </w:rPr>
                  </w:pPr>
                </w:p>
              </w:tc>
              <w:tc>
                <w:tcPr>
                  <w:tcW w:w="1541" w:type="dxa"/>
                  <w:vAlign w:val="center"/>
                </w:tcPr>
                <w:p>
                  <w:pPr>
                    <w:jc w:val="center"/>
                    <w:rPr>
                      <w:rFonts w:ascii="Times New Roman" w:hAnsi="Times New Roman"/>
                      <w:color w:val="auto"/>
                      <w:szCs w:val="21"/>
                    </w:rPr>
                  </w:pPr>
                  <w:r>
                    <w:rPr>
                      <w:rFonts w:ascii="Times New Roman" w:hAnsi="Times New Roman"/>
                      <w:color w:val="auto"/>
                    </w:rPr>
                    <w:t>30</w:t>
                  </w:r>
                </w:p>
              </w:tc>
              <w:tc>
                <w:tcPr>
                  <w:tcW w:w="1142" w:type="dxa"/>
                  <w:vAlign w:val="center"/>
                </w:tcPr>
                <w:p>
                  <w:pPr>
                    <w:jc w:val="center"/>
                    <w:rPr>
                      <w:rFonts w:ascii="Times New Roman" w:hAnsi="Times New Roman"/>
                      <w:color w:val="auto"/>
                      <w:szCs w:val="21"/>
                    </w:rPr>
                  </w:pPr>
                  <w:r>
                    <w:rPr>
                      <w:rFonts w:ascii="Times New Roman" w:hAnsi="Times New Roman"/>
                      <w:color w:val="auto"/>
                      <w:szCs w:val="21"/>
                    </w:rPr>
                    <w:t>0.001</w:t>
                  </w:r>
                </w:p>
              </w:tc>
            </w:tr>
          </w:tbl>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kern w:val="0"/>
                <w:sz w:val="24"/>
              </w:rPr>
              <w:t>（3）噪声</w:t>
            </w:r>
          </w:p>
          <w:p>
            <w:pPr>
              <w:tabs>
                <w:tab w:val="left" w:pos="2685"/>
                <w:tab w:val="center" w:pos="4284"/>
              </w:tabs>
              <w:spacing w:line="360" w:lineRule="auto"/>
              <w:ind w:firstLine="480" w:firstLineChars="200"/>
              <w:jc w:val="left"/>
              <w:rPr>
                <w:rFonts w:ascii="Times New Roman" w:hAnsi="Times New Roman"/>
                <w:color w:val="auto"/>
                <w:sz w:val="24"/>
              </w:rPr>
            </w:pPr>
            <w:r>
              <w:rPr>
                <w:rFonts w:ascii="Times New Roman" w:hAnsi="Times New Roman"/>
                <w:color w:val="auto"/>
                <w:sz w:val="24"/>
              </w:rPr>
              <w:t>项目噪声源主要来源于一体式垃圾转运站压缩装置噪声，源强大约为70dB（A）之间，主要噪声源见表：</w:t>
            </w:r>
          </w:p>
          <w:p>
            <w:pPr>
              <w:ind w:firstLine="482" w:firstLineChars="200"/>
              <w:jc w:val="center"/>
              <w:rPr>
                <w:rFonts w:ascii="Times New Roman" w:hAnsi="Times New Roman"/>
                <w:b/>
                <w:bCs/>
                <w:color w:val="auto"/>
                <w:sz w:val="24"/>
              </w:rPr>
            </w:pPr>
            <w:r>
              <w:rPr>
                <w:rFonts w:ascii="Times New Roman" w:hAnsi="Times New Roman"/>
                <w:b/>
                <w:bCs/>
                <w:color w:val="auto"/>
                <w:sz w:val="24"/>
              </w:rPr>
              <w:t>表5-8   本项目主要噪声源及降噪措施  单位：dB(A)</w:t>
            </w:r>
          </w:p>
          <w:tbl>
            <w:tblPr>
              <w:tblStyle w:val="26"/>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3"/>
              <w:gridCol w:w="1312"/>
              <w:gridCol w:w="1485"/>
              <w:gridCol w:w="1138"/>
              <w:gridCol w:w="1138"/>
              <w:gridCol w:w="1138"/>
              <w:gridCol w:w="1138"/>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3" w:type="dxa"/>
                  <w:vAlign w:val="center"/>
                </w:tcPr>
                <w:p>
                  <w:pPr>
                    <w:tabs>
                      <w:tab w:val="left" w:pos="4515"/>
                    </w:tabs>
                    <w:jc w:val="center"/>
                    <w:rPr>
                      <w:rFonts w:ascii="Times New Roman" w:hAnsi="Times New Roman"/>
                      <w:b/>
                      <w:bCs/>
                      <w:color w:val="auto"/>
                      <w:szCs w:val="21"/>
                    </w:rPr>
                  </w:pPr>
                  <w:r>
                    <w:rPr>
                      <w:rFonts w:ascii="Times New Roman" w:hAnsi="Times New Roman"/>
                      <w:b/>
                      <w:bCs/>
                      <w:color w:val="auto"/>
                      <w:szCs w:val="21"/>
                    </w:rPr>
                    <w:t>序号</w:t>
                  </w:r>
                </w:p>
              </w:tc>
              <w:tc>
                <w:tcPr>
                  <w:tcW w:w="1312" w:type="dxa"/>
                  <w:vAlign w:val="center"/>
                </w:tcPr>
                <w:p>
                  <w:pPr>
                    <w:tabs>
                      <w:tab w:val="left" w:pos="4515"/>
                    </w:tabs>
                    <w:jc w:val="center"/>
                    <w:rPr>
                      <w:rFonts w:ascii="Times New Roman" w:hAnsi="Times New Roman"/>
                      <w:b/>
                      <w:bCs/>
                      <w:color w:val="auto"/>
                      <w:szCs w:val="21"/>
                    </w:rPr>
                  </w:pPr>
                  <w:r>
                    <w:rPr>
                      <w:rFonts w:ascii="Times New Roman" w:hAnsi="Times New Roman"/>
                      <w:b/>
                      <w:bCs/>
                      <w:color w:val="auto"/>
                      <w:szCs w:val="21"/>
                    </w:rPr>
                    <w:t>设备名称</w:t>
                  </w:r>
                </w:p>
              </w:tc>
              <w:tc>
                <w:tcPr>
                  <w:tcW w:w="1485" w:type="dxa"/>
                  <w:vAlign w:val="center"/>
                </w:tcPr>
                <w:p>
                  <w:pPr>
                    <w:tabs>
                      <w:tab w:val="left" w:pos="4515"/>
                    </w:tabs>
                    <w:jc w:val="center"/>
                    <w:rPr>
                      <w:rFonts w:ascii="Times New Roman" w:hAnsi="Times New Roman"/>
                      <w:b/>
                      <w:bCs/>
                      <w:color w:val="auto"/>
                      <w:szCs w:val="21"/>
                    </w:rPr>
                  </w:pPr>
                  <w:r>
                    <w:rPr>
                      <w:rFonts w:ascii="Times New Roman" w:hAnsi="Times New Roman"/>
                      <w:b/>
                      <w:bCs/>
                      <w:color w:val="auto"/>
                      <w:szCs w:val="21"/>
                    </w:rPr>
                    <w:t>声源类型（偶发、频发）</w:t>
                  </w:r>
                </w:p>
              </w:tc>
              <w:tc>
                <w:tcPr>
                  <w:tcW w:w="1138" w:type="dxa"/>
                  <w:vAlign w:val="center"/>
                </w:tcPr>
                <w:p>
                  <w:pPr>
                    <w:tabs>
                      <w:tab w:val="left" w:pos="4515"/>
                    </w:tabs>
                    <w:jc w:val="center"/>
                    <w:rPr>
                      <w:rFonts w:ascii="Times New Roman" w:hAnsi="Times New Roman"/>
                      <w:b/>
                      <w:bCs/>
                      <w:color w:val="auto"/>
                      <w:szCs w:val="21"/>
                    </w:rPr>
                  </w:pPr>
                  <w:r>
                    <w:rPr>
                      <w:rFonts w:ascii="Times New Roman" w:hAnsi="Times New Roman"/>
                      <w:b/>
                      <w:bCs/>
                      <w:color w:val="auto"/>
                      <w:szCs w:val="21"/>
                    </w:rPr>
                    <w:t>核算方法</w:t>
                  </w:r>
                </w:p>
              </w:tc>
              <w:tc>
                <w:tcPr>
                  <w:tcW w:w="1138" w:type="dxa"/>
                  <w:vAlign w:val="center"/>
                </w:tcPr>
                <w:p>
                  <w:pPr>
                    <w:tabs>
                      <w:tab w:val="left" w:pos="4515"/>
                    </w:tabs>
                    <w:jc w:val="center"/>
                    <w:rPr>
                      <w:rFonts w:ascii="Times New Roman" w:hAnsi="Times New Roman"/>
                      <w:b/>
                      <w:color w:val="auto"/>
                      <w:szCs w:val="21"/>
                    </w:rPr>
                  </w:pPr>
                  <w:r>
                    <w:rPr>
                      <w:rFonts w:ascii="Times New Roman" w:hAnsi="Times New Roman"/>
                      <w:b/>
                      <w:bCs/>
                      <w:color w:val="auto"/>
                      <w:szCs w:val="21"/>
                    </w:rPr>
                    <w:t>数量（台）</w:t>
                  </w:r>
                </w:p>
              </w:tc>
              <w:tc>
                <w:tcPr>
                  <w:tcW w:w="1138" w:type="dxa"/>
                  <w:vAlign w:val="center"/>
                </w:tcPr>
                <w:p>
                  <w:pPr>
                    <w:tabs>
                      <w:tab w:val="left" w:pos="4515"/>
                    </w:tabs>
                    <w:jc w:val="center"/>
                    <w:rPr>
                      <w:rFonts w:ascii="Times New Roman" w:hAnsi="Times New Roman"/>
                      <w:b/>
                      <w:color w:val="auto"/>
                      <w:szCs w:val="21"/>
                    </w:rPr>
                  </w:pPr>
                  <w:r>
                    <w:rPr>
                      <w:rFonts w:ascii="Times New Roman" w:hAnsi="Times New Roman"/>
                      <w:b/>
                      <w:bCs/>
                      <w:color w:val="auto"/>
                      <w:szCs w:val="21"/>
                    </w:rPr>
                    <w:t>源强</w:t>
                  </w:r>
                </w:p>
              </w:tc>
              <w:tc>
                <w:tcPr>
                  <w:tcW w:w="1138" w:type="dxa"/>
                  <w:vAlign w:val="center"/>
                </w:tcPr>
                <w:p>
                  <w:pPr>
                    <w:tabs>
                      <w:tab w:val="left" w:pos="4515"/>
                    </w:tabs>
                    <w:jc w:val="center"/>
                    <w:rPr>
                      <w:rFonts w:ascii="Times New Roman" w:hAnsi="Times New Roman"/>
                      <w:b/>
                      <w:bCs/>
                      <w:color w:val="auto"/>
                      <w:szCs w:val="21"/>
                    </w:rPr>
                  </w:pPr>
                  <w:r>
                    <w:rPr>
                      <w:rFonts w:ascii="Times New Roman" w:hAnsi="Times New Roman"/>
                      <w:b/>
                      <w:bCs/>
                      <w:color w:val="auto"/>
                      <w:szCs w:val="21"/>
                    </w:rPr>
                    <w:t>降噪措施</w:t>
                  </w:r>
                </w:p>
              </w:tc>
              <w:tc>
                <w:tcPr>
                  <w:tcW w:w="1138" w:type="dxa"/>
                  <w:vAlign w:val="center"/>
                </w:tcPr>
                <w:p>
                  <w:pPr>
                    <w:tabs>
                      <w:tab w:val="left" w:pos="4515"/>
                    </w:tabs>
                    <w:jc w:val="center"/>
                    <w:rPr>
                      <w:rFonts w:ascii="Times New Roman" w:hAnsi="Times New Roman"/>
                      <w:b/>
                      <w:bCs/>
                      <w:color w:val="auto"/>
                      <w:szCs w:val="21"/>
                    </w:rPr>
                  </w:pPr>
                  <w:r>
                    <w:rPr>
                      <w:rFonts w:ascii="Times New Roman" w:hAnsi="Times New Roman"/>
                      <w:b/>
                      <w:bCs/>
                      <w:color w:val="auto"/>
                      <w:szCs w:val="21"/>
                    </w:rPr>
                    <w:t>降噪后源强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3" w:type="dxa"/>
                  <w:vAlign w:val="center"/>
                </w:tcPr>
                <w:p>
                  <w:pPr>
                    <w:autoSpaceDN w:val="0"/>
                    <w:jc w:val="center"/>
                    <w:rPr>
                      <w:rFonts w:ascii="Times New Roman" w:hAnsi="Times New Roman"/>
                      <w:color w:val="auto"/>
                      <w:szCs w:val="21"/>
                    </w:rPr>
                  </w:pPr>
                  <w:r>
                    <w:rPr>
                      <w:rFonts w:ascii="Times New Roman" w:hAnsi="Times New Roman"/>
                      <w:color w:val="auto"/>
                      <w:szCs w:val="21"/>
                    </w:rPr>
                    <w:t>1</w:t>
                  </w:r>
                </w:p>
              </w:tc>
              <w:tc>
                <w:tcPr>
                  <w:tcW w:w="1312" w:type="dxa"/>
                  <w:vAlign w:val="center"/>
                </w:tcPr>
                <w:p>
                  <w:pPr>
                    <w:jc w:val="center"/>
                    <w:rPr>
                      <w:rFonts w:ascii="Times New Roman" w:hAnsi="Times New Roman"/>
                      <w:color w:val="auto"/>
                      <w:kern w:val="0"/>
                      <w:szCs w:val="21"/>
                    </w:rPr>
                  </w:pPr>
                  <w:r>
                    <w:rPr>
                      <w:rFonts w:ascii="Times New Roman" w:hAnsi="Times New Roman"/>
                      <w:color w:val="auto"/>
                      <w:szCs w:val="21"/>
                    </w:rPr>
                    <w:t>一体式垃圾转运站压缩装置</w:t>
                  </w:r>
                </w:p>
              </w:tc>
              <w:tc>
                <w:tcPr>
                  <w:tcW w:w="1485" w:type="dxa"/>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频发</w:t>
                  </w:r>
                </w:p>
              </w:tc>
              <w:tc>
                <w:tcPr>
                  <w:tcW w:w="1138" w:type="dxa"/>
                  <w:vAlign w:val="center"/>
                </w:tcPr>
                <w:p>
                  <w:pPr>
                    <w:pStyle w:val="56"/>
                    <w:ind w:firstLine="0" w:firstLineChars="0"/>
                    <w:jc w:val="center"/>
                    <w:rPr>
                      <w:rFonts w:ascii="Times New Roman" w:hAnsi="Times New Roman"/>
                      <w:color w:val="auto"/>
                      <w:szCs w:val="24"/>
                    </w:rPr>
                  </w:pPr>
                  <w:r>
                    <w:rPr>
                      <w:rFonts w:ascii="Times New Roman" w:hAnsi="Times New Roman"/>
                      <w:color w:val="auto"/>
                      <w:szCs w:val="24"/>
                    </w:rPr>
                    <w:t>类比法</w:t>
                  </w:r>
                </w:p>
              </w:tc>
              <w:tc>
                <w:tcPr>
                  <w:tcW w:w="1138" w:type="dxa"/>
                  <w:vAlign w:val="center"/>
                </w:tcPr>
                <w:p>
                  <w:pPr>
                    <w:pStyle w:val="56"/>
                    <w:ind w:firstLine="0" w:firstLineChars="0"/>
                    <w:jc w:val="center"/>
                    <w:rPr>
                      <w:rFonts w:ascii="Times New Roman" w:hAnsi="Times New Roman"/>
                      <w:color w:val="auto"/>
                      <w:szCs w:val="21"/>
                    </w:rPr>
                  </w:pPr>
                  <w:r>
                    <w:rPr>
                      <w:rFonts w:ascii="Times New Roman" w:hAnsi="Times New Roman"/>
                      <w:color w:val="auto"/>
                      <w:szCs w:val="24"/>
                    </w:rPr>
                    <w:t>1</w:t>
                  </w:r>
                </w:p>
              </w:tc>
              <w:tc>
                <w:tcPr>
                  <w:tcW w:w="1138" w:type="dxa"/>
                  <w:vAlign w:val="center"/>
                </w:tcPr>
                <w:p>
                  <w:pPr>
                    <w:widowControl/>
                    <w:jc w:val="center"/>
                    <w:textAlignment w:val="center"/>
                    <w:rPr>
                      <w:rFonts w:ascii="Times New Roman" w:hAnsi="Times New Roman"/>
                      <w:color w:val="auto"/>
                      <w:szCs w:val="21"/>
                    </w:rPr>
                  </w:pPr>
                  <w:r>
                    <w:rPr>
                      <w:rFonts w:ascii="Times New Roman" w:hAnsi="Times New Roman"/>
                      <w:color w:val="auto"/>
                      <w:kern w:val="0"/>
                      <w:szCs w:val="21"/>
                    </w:rPr>
                    <w:t>70</w:t>
                  </w:r>
                </w:p>
              </w:tc>
              <w:tc>
                <w:tcPr>
                  <w:tcW w:w="1138" w:type="dxa"/>
                  <w:vAlign w:val="center"/>
                </w:tcPr>
                <w:p>
                  <w:pPr>
                    <w:widowControl/>
                    <w:jc w:val="center"/>
                    <w:textAlignment w:val="center"/>
                    <w:rPr>
                      <w:rFonts w:ascii="Times New Roman" w:hAnsi="Times New Roman"/>
                      <w:color w:val="auto"/>
                      <w:kern w:val="0"/>
                      <w:szCs w:val="21"/>
                    </w:rPr>
                  </w:pPr>
                  <w:r>
                    <w:rPr>
                      <w:rFonts w:ascii="Times New Roman" w:hAnsi="Times New Roman"/>
                      <w:color w:val="auto"/>
                      <w:kern w:val="0"/>
                      <w:szCs w:val="21"/>
                    </w:rPr>
                    <w:t>减震、隔声</w:t>
                  </w:r>
                </w:p>
              </w:tc>
              <w:tc>
                <w:tcPr>
                  <w:tcW w:w="1138" w:type="dxa"/>
                  <w:vAlign w:val="center"/>
                </w:tcPr>
                <w:p>
                  <w:pPr>
                    <w:widowControl/>
                    <w:jc w:val="center"/>
                    <w:textAlignment w:val="center"/>
                    <w:rPr>
                      <w:rFonts w:ascii="Times New Roman" w:hAnsi="Times New Roman"/>
                      <w:color w:val="auto"/>
                      <w:kern w:val="0"/>
                      <w:szCs w:val="21"/>
                    </w:rPr>
                  </w:pPr>
                  <w:r>
                    <w:rPr>
                      <w:rFonts w:ascii="Times New Roman" w:hAnsi="Times New Roman"/>
                      <w:color w:val="auto"/>
                      <w:kern w:val="0"/>
                      <w:szCs w:val="21"/>
                    </w:rPr>
                    <w:t>60</w:t>
                  </w:r>
                </w:p>
              </w:tc>
            </w:tr>
          </w:tbl>
          <w:p>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（4）固体废弃物</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项目产生固体废弃物主要为压缩垃圾及员工生活垃圾。设备及运输车辆在外保修不产生维修固废。</w:t>
            </w:r>
          </w:p>
          <w:p>
            <w:pPr>
              <w:spacing w:line="360" w:lineRule="auto"/>
              <w:ind w:firstLine="480"/>
              <w:rPr>
                <w:rFonts w:ascii="Times New Roman" w:hAnsi="Times New Roman"/>
                <w:color w:val="auto"/>
                <w:sz w:val="24"/>
              </w:rPr>
            </w:pPr>
            <w:r>
              <w:rPr>
                <w:rFonts w:hint="eastAsia" w:ascii="宋体" w:hAnsi="宋体" w:cs="宋体"/>
                <w:color w:val="auto"/>
                <w:sz w:val="24"/>
              </w:rPr>
              <w:t>①</w:t>
            </w:r>
            <w:r>
              <w:rPr>
                <w:rFonts w:ascii="Times New Roman" w:hAnsi="Times New Roman"/>
                <w:color w:val="auto"/>
                <w:sz w:val="24"/>
              </w:rPr>
              <w:t>压缩垃圾：本项目设计垃圾转运能力为4t/d(1460t/a)，按照经验系数，垃圾中转站垃圾压缩比为1.12：1，则压缩垃圾的产生量约为3.57t/d(1303.05t/a)，每天由运输车辆运往庆阳圣元环保电力有限公司。同时环评建议建设单位建立垃圾收集转运台账。</w:t>
            </w:r>
          </w:p>
          <w:p>
            <w:pPr>
              <w:pStyle w:val="68"/>
              <w:ind w:firstLine="480"/>
              <w:rPr>
                <w:color w:val="auto"/>
              </w:rPr>
            </w:pPr>
            <w:r>
              <w:rPr>
                <w:rFonts w:hint="eastAsia" w:ascii="宋体" w:hAnsi="宋体" w:cs="宋体"/>
                <w:color w:val="auto"/>
              </w:rPr>
              <w:t>②</w:t>
            </w:r>
            <w:r>
              <w:rPr>
                <w:color w:val="auto"/>
              </w:rPr>
              <w:t>生活垃圾：该项目员工2人，生活垃圾产生系数按0.5kg/人·d计，年工作365d，生活垃圾产生量0.36t/a。进入主体工程压缩后运往庆阳圣元环保电力有限公司。</w:t>
            </w:r>
          </w:p>
          <w:p>
            <w:pPr>
              <w:ind w:firstLine="482" w:firstLineChars="200"/>
              <w:jc w:val="center"/>
              <w:rPr>
                <w:rFonts w:ascii="Times New Roman" w:hAnsi="Times New Roman"/>
                <w:b/>
                <w:bCs/>
                <w:color w:val="auto"/>
                <w:sz w:val="24"/>
              </w:rPr>
            </w:pPr>
            <w:r>
              <w:rPr>
                <w:rFonts w:ascii="Times New Roman" w:hAnsi="Times New Roman"/>
                <w:b/>
                <w:bCs/>
                <w:color w:val="auto"/>
                <w:sz w:val="24"/>
              </w:rPr>
              <w:t>表5-9  一般固体废物产生及处置情况   单位：t/a</w:t>
            </w:r>
          </w:p>
          <w:tbl>
            <w:tblPr>
              <w:tblStyle w:val="26"/>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434"/>
              <w:gridCol w:w="1054"/>
              <w:gridCol w:w="1054"/>
              <w:gridCol w:w="1236"/>
              <w:gridCol w:w="1208"/>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3" w:type="dxa"/>
                  <w:tcMar>
                    <w:left w:w="0" w:type="dxa"/>
                    <w:right w:w="0" w:type="dxa"/>
                  </w:tcMar>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固废种类</w:t>
                  </w:r>
                </w:p>
              </w:tc>
              <w:tc>
                <w:tcPr>
                  <w:tcW w:w="1434"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产生量(t/a)</w:t>
                  </w:r>
                </w:p>
              </w:tc>
              <w:tc>
                <w:tcPr>
                  <w:tcW w:w="1054" w:type="dxa"/>
                </w:tcPr>
                <w:p>
                  <w:pPr>
                    <w:jc w:val="center"/>
                    <w:textAlignment w:val="baseline"/>
                    <w:rPr>
                      <w:rFonts w:ascii="Times New Roman" w:hAnsi="Times New Roman"/>
                      <w:color w:val="auto"/>
                      <w:kern w:val="0"/>
                      <w:szCs w:val="21"/>
                    </w:rPr>
                  </w:pPr>
                  <w:r>
                    <w:rPr>
                      <w:rFonts w:ascii="Times New Roman" w:hAnsi="Times New Roman"/>
                      <w:color w:val="auto"/>
                      <w:kern w:val="0"/>
                      <w:szCs w:val="21"/>
                    </w:rPr>
                    <w:t>产生工序</w:t>
                  </w:r>
                </w:p>
              </w:tc>
              <w:tc>
                <w:tcPr>
                  <w:tcW w:w="1054"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废物类别</w:t>
                  </w:r>
                </w:p>
              </w:tc>
              <w:tc>
                <w:tcPr>
                  <w:tcW w:w="123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形态</w:t>
                  </w:r>
                </w:p>
              </w:tc>
              <w:tc>
                <w:tcPr>
                  <w:tcW w:w="1208"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废物代码</w:t>
                  </w:r>
                </w:p>
              </w:tc>
              <w:tc>
                <w:tcPr>
                  <w:tcW w:w="1711" w:type="dxa"/>
                  <w:tcMar>
                    <w:left w:w="0" w:type="dxa"/>
                    <w:right w:w="0" w:type="dxa"/>
                  </w:tcMar>
                  <w:vAlign w:val="center"/>
                </w:tcPr>
                <w:p>
                  <w:pPr>
                    <w:jc w:val="center"/>
                    <w:textAlignment w:val="baseline"/>
                    <w:rPr>
                      <w:rFonts w:ascii="Times New Roman" w:hAnsi="Times New Roman"/>
                      <w:color w:val="auto"/>
                      <w:kern w:val="0"/>
                      <w:szCs w:val="21"/>
                    </w:rPr>
                  </w:pPr>
                  <w:r>
                    <w:rPr>
                      <w:rFonts w:hint="eastAsia" w:ascii="Times New Roman" w:hAnsi="Times New Roman"/>
                      <w:color w:val="auto"/>
                      <w:kern w:val="0"/>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3" w:type="dxa"/>
                  <w:tcMar>
                    <w:left w:w="0" w:type="dxa"/>
                    <w:right w:w="0" w:type="dxa"/>
                  </w:tcMar>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生活垃圾</w:t>
                  </w:r>
                </w:p>
              </w:tc>
              <w:tc>
                <w:tcPr>
                  <w:tcW w:w="1434"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0.36</w:t>
                  </w:r>
                </w:p>
              </w:tc>
              <w:tc>
                <w:tcPr>
                  <w:tcW w:w="1054" w:type="dxa"/>
                </w:tcPr>
                <w:p>
                  <w:pPr>
                    <w:jc w:val="center"/>
                    <w:textAlignment w:val="baseline"/>
                    <w:rPr>
                      <w:rFonts w:ascii="Times New Roman" w:hAnsi="Times New Roman"/>
                      <w:color w:val="auto"/>
                      <w:kern w:val="0"/>
                      <w:szCs w:val="21"/>
                    </w:rPr>
                  </w:pPr>
                  <w:r>
                    <w:rPr>
                      <w:rFonts w:ascii="Times New Roman" w:hAnsi="Times New Roman"/>
                      <w:color w:val="auto"/>
                      <w:kern w:val="0"/>
                      <w:szCs w:val="21"/>
                    </w:rPr>
                    <w:t>职工日常生活</w:t>
                  </w:r>
                </w:p>
              </w:tc>
              <w:tc>
                <w:tcPr>
                  <w:tcW w:w="1054"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其他固废</w:t>
                  </w:r>
                </w:p>
              </w:tc>
              <w:tc>
                <w:tcPr>
                  <w:tcW w:w="123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固态</w:t>
                  </w:r>
                </w:p>
              </w:tc>
              <w:tc>
                <w:tcPr>
                  <w:tcW w:w="1208"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99</w:t>
                  </w:r>
                </w:p>
              </w:tc>
              <w:tc>
                <w:tcPr>
                  <w:tcW w:w="1711" w:type="dxa"/>
                  <w:vMerge w:val="restart"/>
                  <w:tcMar>
                    <w:left w:w="0" w:type="dxa"/>
                    <w:right w:w="0" w:type="dxa"/>
                  </w:tcMar>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运往</w:t>
                  </w:r>
                  <w:r>
                    <w:rPr>
                      <w:rFonts w:hint="eastAsia" w:ascii="Times New Roman" w:hAnsi="Times New Roman"/>
                      <w:color w:val="auto"/>
                      <w:kern w:val="0"/>
                      <w:szCs w:val="21"/>
                    </w:rPr>
                    <w:t>庆阳圣元环保电力有限公司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3" w:type="dxa"/>
                  <w:tcMar>
                    <w:left w:w="0" w:type="dxa"/>
                    <w:right w:w="0" w:type="dxa"/>
                  </w:tcMar>
                  <w:vAlign w:val="center"/>
                </w:tcPr>
                <w:p>
                  <w:pPr>
                    <w:jc w:val="center"/>
                    <w:textAlignment w:val="baseline"/>
                    <w:rPr>
                      <w:rFonts w:ascii="Times New Roman" w:hAnsi="Times New Roman"/>
                      <w:color w:val="auto"/>
                      <w:kern w:val="0"/>
                      <w:szCs w:val="21"/>
                    </w:rPr>
                  </w:pPr>
                  <w:r>
                    <w:rPr>
                      <w:rFonts w:ascii="Times New Roman" w:hAnsi="Times New Roman"/>
                      <w:color w:val="auto"/>
                      <w:szCs w:val="21"/>
                    </w:rPr>
                    <w:t>压缩垃圾</w:t>
                  </w:r>
                </w:p>
              </w:tc>
              <w:tc>
                <w:tcPr>
                  <w:tcW w:w="1434"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1303.05</w:t>
                  </w:r>
                </w:p>
              </w:tc>
              <w:tc>
                <w:tcPr>
                  <w:tcW w:w="1054" w:type="dxa"/>
                </w:tcPr>
                <w:p>
                  <w:pPr>
                    <w:jc w:val="center"/>
                    <w:textAlignment w:val="baseline"/>
                    <w:rPr>
                      <w:rFonts w:ascii="Times New Roman" w:hAnsi="Times New Roman"/>
                      <w:color w:val="auto"/>
                      <w:kern w:val="0"/>
                      <w:szCs w:val="21"/>
                    </w:rPr>
                  </w:pPr>
                  <w:r>
                    <w:rPr>
                      <w:rFonts w:ascii="Times New Roman" w:hAnsi="Times New Roman"/>
                      <w:color w:val="auto"/>
                      <w:kern w:val="0"/>
                      <w:szCs w:val="21"/>
                    </w:rPr>
                    <w:t>垃圾压缩</w:t>
                  </w:r>
                </w:p>
              </w:tc>
              <w:tc>
                <w:tcPr>
                  <w:tcW w:w="1054"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一般工业固废</w:t>
                  </w:r>
                </w:p>
              </w:tc>
              <w:tc>
                <w:tcPr>
                  <w:tcW w:w="123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固态</w:t>
                  </w:r>
                </w:p>
              </w:tc>
              <w:tc>
                <w:tcPr>
                  <w:tcW w:w="1208"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99</w:t>
                  </w:r>
                </w:p>
              </w:tc>
              <w:tc>
                <w:tcPr>
                  <w:tcW w:w="1711" w:type="dxa"/>
                  <w:vMerge w:val="continue"/>
                  <w:tcMar>
                    <w:left w:w="0" w:type="dxa"/>
                    <w:right w:w="0" w:type="dxa"/>
                  </w:tcMar>
                  <w:vAlign w:val="center"/>
                </w:tcPr>
                <w:p>
                  <w:pPr>
                    <w:jc w:val="center"/>
                    <w:textAlignment w:val="baseline"/>
                    <w:rPr>
                      <w:rFonts w:ascii="Times New Roman" w:hAnsi="Times New Roman"/>
                      <w:color w:val="auto"/>
                      <w:kern w:val="0"/>
                      <w:szCs w:val="21"/>
                    </w:rPr>
                  </w:pPr>
                </w:p>
              </w:tc>
            </w:tr>
          </w:tbl>
          <w:p>
            <w:pPr>
              <w:pStyle w:val="2"/>
              <w:spacing w:line="360" w:lineRule="auto"/>
              <w:ind w:firstLine="512" w:firstLineChars="200"/>
              <w:rPr>
                <w:rFonts w:ascii="Times New Roman" w:hAnsi="Times New Roman" w:eastAsia="宋体"/>
                <w:color w:val="auto"/>
              </w:rPr>
            </w:pPr>
          </w:p>
        </w:tc>
      </w:tr>
    </w:tbl>
    <w:p>
      <w:pPr>
        <w:pStyle w:val="5"/>
        <w:tabs>
          <w:tab w:val="left" w:pos="1200"/>
          <w:tab w:val="left" w:pos="1280"/>
        </w:tabs>
        <w:ind w:left="1113" w:hanging="1113" w:hangingChars="462"/>
        <w:rPr>
          <w:rFonts w:ascii="Times New Roman" w:hAnsi="Times New Roman"/>
          <w:color w:val="auto"/>
          <w:szCs w:val="24"/>
        </w:rPr>
      </w:pPr>
      <w:r>
        <w:rPr>
          <w:rFonts w:ascii="Times New Roman" w:hAnsi="Times New Roman"/>
          <w:color w:val="auto"/>
          <w:szCs w:val="24"/>
        </w:rPr>
        <w:t>项目主要污染物产生及预计排放情况</w:t>
      </w:r>
    </w:p>
    <w:tbl>
      <w:tblPr>
        <w:tblStyle w:val="26"/>
        <w:tblW w:w="957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2"/>
        <w:gridCol w:w="597"/>
        <w:gridCol w:w="787"/>
        <w:gridCol w:w="1135"/>
        <w:gridCol w:w="1131"/>
        <w:gridCol w:w="1991"/>
        <w:gridCol w:w="30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4" w:hRule="atLeast"/>
          <w:jc w:val="center"/>
        </w:trPr>
        <w:tc>
          <w:tcPr>
            <w:tcW w:w="852"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内容</w:t>
            </w:r>
          </w:p>
          <w:p>
            <w:pPr>
              <w:jc w:val="center"/>
              <w:rPr>
                <w:rFonts w:ascii="Times New Roman" w:hAnsi="Times New Roman"/>
                <w:b/>
                <w:color w:val="auto"/>
                <w:sz w:val="24"/>
              </w:rPr>
            </w:pPr>
            <w:r>
              <w:rPr>
                <w:rFonts w:ascii="Times New Roman" w:hAnsi="Times New Roman"/>
                <w:b/>
                <w:color w:val="auto"/>
                <w:sz w:val="24"/>
              </w:rPr>
              <w:t>类型</w:t>
            </w:r>
          </w:p>
        </w:tc>
        <w:tc>
          <w:tcPr>
            <w:tcW w:w="1384"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排放源</w:t>
            </w: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污染物名称</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处理前产生浓度及产生量</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排放浓度及排放量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52"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大气污染物</w:t>
            </w:r>
          </w:p>
        </w:tc>
        <w:tc>
          <w:tcPr>
            <w:tcW w:w="597"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w:t>
            </w:r>
          </w:p>
        </w:tc>
        <w:tc>
          <w:tcPr>
            <w:tcW w:w="787"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建筑施工</w:t>
            </w: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施工现场扬尘</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无组织少量</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少量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4"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78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道路运输扬尘</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无组织少量</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少量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78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运输及动力设备的燃油废气</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无组织少量</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少量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运营期</w:t>
            </w:r>
          </w:p>
        </w:tc>
        <w:tc>
          <w:tcPr>
            <w:tcW w:w="787"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垃圾压缩、转运</w:t>
            </w: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NH</w:t>
            </w:r>
            <w:r>
              <w:rPr>
                <w:rFonts w:ascii="Times New Roman" w:hAnsi="Times New Roman"/>
                <w:color w:val="auto"/>
                <w:sz w:val="24"/>
                <w:vertAlign w:val="subscript"/>
              </w:rPr>
              <w:t>3</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0.0029</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0.0015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787" w:type="dxa"/>
            <w:vMerge w:val="continue"/>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H</w:t>
            </w:r>
            <w:r>
              <w:rPr>
                <w:rFonts w:ascii="Times New Roman" w:hAnsi="Times New Roman"/>
                <w:color w:val="auto"/>
                <w:sz w:val="24"/>
                <w:vertAlign w:val="subscript"/>
              </w:rPr>
              <w:t>2</w:t>
            </w:r>
            <w:r>
              <w:rPr>
                <w:rFonts w:ascii="Times New Roman" w:hAnsi="Times New Roman"/>
                <w:color w:val="auto"/>
                <w:sz w:val="24"/>
              </w:rPr>
              <w:t>S</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0.0003</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0.00015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787" w:type="dxa"/>
            <w:vMerge w:val="continue"/>
            <w:tcBorders>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臭气浓度</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少量</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少量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852"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水污染物</w:t>
            </w:r>
          </w:p>
        </w:tc>
        <w:tc>
          <w:tcPr>
            <w:tcW w:w="597"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w:t>
            </w:r>
          </w:p>
        </w:tc>
        <w:tc>
          <w:tcPr>
            <w:tcW w:w="78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建筑施工</w:t>
            </w: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施工废水</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szCs w:val="22"/>
              </w:rPr>
              <w:t>少量</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泼洒抑尘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left w:val="single" w:color="auto" w:sz="2" w:space="0"/>
              <w:right w:val="single" w:color="auto" w:sz="2" w:space="0"/>
            </w:tcBorders>
            <w:vAlign w:val="center"/>
          </w:tcPr>
          <w:p>
            <w:pPr>
              <w:widowControl/>
              <w:jc w:val="left"/>
              <w:rPr>
                <w:rFonts w:ascii="Times New Roman" w:hAnsi="Times New Roman"/>
                <w:color w:val="auto"/>
                <w:sz w:val="24"/>
              </w:rPr>
            </w:pPr>
          </w:p>
        </w:tc>
        <w:tc>
          <w:tcPr>
            <w:tcW w:w="787"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施工生活污水</w:t>
            </w:r>
          </w:p>
        </w:tc>
        <w:tc>
          <w:tcPr>
            <w:tcW w:w="1135"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auto"/>
                <w:sz w:val="24"/>
              </w:rPr>
            </w:pPr>
            <w:r>
              <w:rPr>
                <w:rFonts w:ascii="Times New Roman" w:hAnsi="Times New Roman"/>
                <w:color w:val="auto"/>
                <w:sz w:val="24"/>
              </w:rPr>
              <w:t>COD</w:t>
            </w:r>
            <w:r>
              <w:rPr>
                <w:rFonts w:ascii="Times New Roman" w:hAnsi="Times New Roman"/>
                <w:color w:val="auto"/>
                <w:sz w:val="24"/>
                <w:vertAlign w:val="subscript"/>
              </w:rPr>
              <w:t>cr</w:t>
            </w:r>
          </w:p>
        </w:tc>
        <w:tc>
          <w:tcPr>
            <w:tcW w:w="113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450mg/L</w:t>
            </w:r>
          </w:p>
        </w:tc>
        <w:tc>
          <w:tcPr>
            <w:tcW w:w="1991"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2.4t</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0.001t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left w:val="single" w:color="auto" w:sz="2" w:space="0"/>
              <w:right w:val="single" w:color="auto" w:sz="2" w:space="0"/>
            </w:tcBorders>
            <w:vAlign w:val="center"/>
          </w:tcPr>
          <w:p>
            <w:pPr>
              <w:widowControl/>
              <w:jc w:val="left"/>
              <w:rPr>
                <w:rFonts w:ascii="Times New Roman" w:hAnsi="Times New Roman"/>
                <w:color w:val="auto"/>
                <w:sz w:val="24"/>
              </w:rPr>
            </w:pPr>
          </w:p>
        </w:tc>
        <w:tc>
          <w:tcPr>
            <w:tcW w:w="787" w:type="dxa"/>
            <w:vMerge w:val="continue"/>
            <w:tcBorders>
              <w:left w:val="single" w:color="auto" w:sz="2" w:space="0"/>
              <w:right w:val="single" w:color="auto" w:sz="2" w:space="0"/>
            </w:tcBorders>
            <w:vAlign w:val="center"/>
          </w:tcPr>
          <w:p>
            <w:pPr>
              <w:jc w:val="center"/>
              <w:rPr>
                <w:rFonts w:ascii="Times New Roman" w:hAnsi="Times New Roman"/>
                <w:color w:val="auto"/>
                <w:sz w:val="24"/>
              </w:rPr>
            </w:pPr>
          </w:p>
        </w:tc>
        <w:tc>
          <w:tcPr>
            <w:tcW w:w="1135"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auto"/>
                <w:sz w:val="24"/>
              </w:rPr>
            </w:pPr>
            <w:r>
              <w:rPr>
                <w:rFonts w:ascii="Times New Roman" w:hAnsi="Times New Roman"/>
                <w:color w:val="auto"/>
                <w:sz w:val="24"/>
              </w:rPr>
              <w:t>BOD</w:t>
            </w:r>
            <w:r>
              <w:rPr>
                <w:rFonts w:ascii="Times New Roman" w:hAnsi="Times New Roman"/>
                <w:color w:val="auto"/>
                <w:sz w:val="24"/>
                <w:vertAlign w:val="subscript"/>
              </w:rPr>
              <w:t>5</w:t>
            </w:r>
          </w:p>
        </w:tc>
        <w:tc>
          <w:tcPr>
            <w:tcW w:w="113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250mg/L</w:t>
            </w:r>
          </w:p>
        </w:tc>
        <w:tc>
          <w:tcPr>
            <w:tcW w:w="1991" w:type="dxa"/>
            <w:vMerge w:val="continue"/>
            <w:tcBorders>
              <w:left w:val="single" w:color="auto" w:sz="2" w:space="0"/>
              <w:right w:val="single" w:color="auto" w:sz="2" w:space="0"/>
            </w:tcBorders>
            <w:vAlign w:val="center"/>
          </w:tcPr>
          <w:p>
            <w:pPr>
              <w:jc w:val="center"/>
              <w:rPr>
                <w:rFonts w:ascii="Times New Roman" w:hAnsi="Times New Roman"/>
                <w:color w:val="auto"/>
                <w:sz w:val="24"/>
              </w:rPr>
            </w:pP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0.0006t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left w:val="single" w:color="auto" w:sz="2" w:space="0"/>
              <w:right w:val="single" w:color="auto" w:sz="2" w:space="0"/>
            </w:tcBorders>
            <w:vAlign w:val="center"/>
          </w:tcPr>
          <w:p>
            <w:pPr>
              <w:widowControl/>
              <w:jc w:val="left"/>
              <w:rPr>
                <w:rFonts w:ascii="Times New Roman" w:hAnsi="Times New Roman"/>
                <w:color w:val="auto"/>
                <w:sz w:val="24"/>
              </w:rPr>
            </w:pPr>
          </w:p>
        </w:tc>
        <w:tc>
          <w:tcPr>
            <w:tcW w:w="787" w:type="dxa"/>
            <w:vMerge w:val="continue"/>
            <w:tcBorders>
              <w:left w:val="single" w:color="auto" w:sz="2" w:space="0"/>
              <w:right w:val="single" w:color="auto" w:sz="2" w:space="0"/>
            </w:tcBorders>
            <w:vAlign w:val="center"/>
          </w:tcPr>
          <w:p>
            <w:pPr>
              <w:jc w:val="center"/>
              <w:rPr>
                <w:rFonts w:ascii="Times New Roman" w:hAnsi="Times New Roman"/>
                <w:color w:val="auto"/>
                <w:sz w:val="24"/>
              </w:rPr>
            </w:pPr>
          </w:p>
        </w:tc>
        <w:tc>
          <w:tcPr>
            <w:tcW w:w="1135"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auto"/>
                <w:sz w:val="24"/>
              </w:rPr>
            </w:pPr>
            <w:r>
              <w:rPr>
                <w:rFonts w:ascii="Times New Roman" w:hAnsi="Times New Roman"/>
                <w:color w:val="auto"/>
                <w:sz w:val="24"/>
              </w:rPr>
              <w:t>SS</w:t>
            </w:r>
          </w:p>
        </w:tc>
        <w:tc>
          <w:tcPr>
            <w:tcW w:w="113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200mg/L</w:t>
            </w:r>
          </w:p>
        </w:tc>
        <w:tc>
          <w:tcPr>
            <w:tcW w:w="1991" w:type="dxa"/>
            <w:vMerge w:val="continue"/>
            <w:tcBorders>
              <w:left w:val="single" w:color="auto" w:sz="2" w:space="0"/>
              <w:right w:val="single" w:color="auto" w:sz="2" w:space="0"/>
            </w:tcBorders>
            <w:vAlign w:val="center"/>
          </w:tcPr>
          <w:p>
            <w:pPr>
              <w:jc w:val="center"/>
              <w:rPr>
                <w:rFonts w:ascii="Times New Roman" w:hAnsi="Times New Roman"/>
                <w:color w:val="auto"/>
                <w:sz w:val="24"/>
              </w:rPr>
            </w:pP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0.0005t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787" w:type="dxa"/>
            <w:vMerge w:val="continue"/>
            <w:tcBorders>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1135"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auto"/>
                <w:sz w:val="24"/>
              </w:rPr>
            </w:pPr>
            <w:r>
              <w:rPr>
                <w:rFonts w:ascii="Times New Roman" w:hAnsi="Times New Roman"/>
                <w:color w:val="auto"/>
                <w:sz w:val="24"/>
              </w:rPr>
              <w:t>氨氮</w:t>
            </w:r>
          </w:p>
        </w:tc>
        <w:tc>
          <w:tcPr>
            <w:tcW w:w="113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30 mg/L</w:t>
            </w:r>
          </w:p>
        </w:tc>
        <w:tc>
          <w:tcPr>
            <w:tcW w:w="1991" w:type="dxa"/>
            <w:vMerge w:val="continue"/>
            <w:tcBorders>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0.00006t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运营期</w:t>
            </w:r>
          </w:p>
        </w:tc>
        <w:tc>
          <w:tcPr>
            <w:tcW w:w="787"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生产废水</w:t>
            </w: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渗滤液</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58.4t</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54.75t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787" w:type="dxa"/>
            <w:vMerge w:val="continue"/>
            <w:tcBorders>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设备及地面冲洗</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73t</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58.7t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3053"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生活污水</w:t>
            </w:r>
          </w:p>
        </w:tc>
        <w:tc>
          <w:tcPr>
            <w:tcW w:w="1991" w:type="dxa"/>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 w:val="24"/>
              </w:rPr>
            </w:pPr>
            <w:r>
              <w:rPr>
                <w:rFonts w:ascii="Times New Roman" w:hAnsi="Times New Roman"/>
                <w:color w:val="auto"/>
                <w:sz w:val="24"/>
              </w:rPr>
              <w:t>43.8t</w:t>
            </w:r>
          </w:p>
        </w:tc>
        <w:tc>
          <w:tcPr>
            <w:tcW w:w="3078" w:type="dxa"/>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 w:val="24"/>
              </w:rPr>
            </w:pPr>
            <w:r>
              <w:rPr>
                <w:rFonts w:ascii="Times New Roman" w:hAnsi="Times New Roman"/>
                <w:color w:val="auto"/>
                <w:sz w:val="24"/>
              </w:rPr>
              <w:t>35t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4" w:hRule="atLeast"/>
          <w:jc w:val="center"/>
        </w:trPr>
        <w:tc>
          <w:tcPr>
            <w:tcW w:w="852"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固体废物</w:t>
            </w:r>
          </w:p>
        </w:tc>
        <w:tc>
          <w:tcPr>
            <w:tcW w:w="597"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w:t>
            </w:r>
          </w:p>
        </w:tc>
        <w:tc>
          <w:tcPr>
            <w:tcW w:w="787"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施工场地</w:t>
            </w: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建筑垃圾</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84.75t</w:t>
            </w:r>
          </w:p>
        </w:tc>
        <w:tc>
          <w:tcPr>
            <w:tcW w:w="3078"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运至建筑部门指定的地方倾倒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4"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787" w:type="dxa"/>
            <w:vMerge w:val="continue"/>
            <w:tcBorders>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弃土</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60.72</w:t>
            </w:r>
          </w:p>
        </w:tc>
        <w:tc>
          <w:tcPr>
            <w:tcW w:w="3078" w:type="dxa"/>
            <w:vMerge w:val="continue"/>
            <w:tcBorders>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7"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78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施工人员</w:t>
            </w:r>
          </w:p>
        </w:tc>
        <w:tc>
          <w:tcPr>
            <w:tcW w:w="226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生活垃圾</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2.5kg</w:t>
            </w:r>
          </w:p>
        </w:tc>
        <w:tc>
          <w:tcPr>
            <w:tcW w:w="3078"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收集后送往环卫部门指定的堆放点，由环卫部门整体清运。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运营期</w:t>
            </w:r>
          </w:p>
        </w:tc>
        <w:tc>
          <w:tcPr>
            <w:tcW w:w="3053"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压缩垃圾</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1460t/a</w:t>
            </w:r>
          </w:p>
        </w:tc>
        <w:tc>
          <w:tcPr>
            <w:tcW w:w="3078"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运往</w:t>
            </w:r>
            <w:r>
              <w:rPr>
                <w:rFonts w:hint="eastAsia" w:ascii="Times New Roman" w:hAnsi="Times New Roman"/>
                <w:color w:val="auto"/>
                <w:sz w:val="24"/>
              </w:rPr>
              <w:t>庆阳圣元环保电力有限公司</w:t>
            </w:r>
            <w:r>
              <w:rPr>
                <w:rFonts w:ascii="Times New Roman" w:hAnsi="Times New Roman"/>
                <w:color w:val="auto"/>
                <w:sz w:val="24"/>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9"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3053"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生活垃圾</w:t>
            </w:r>
          </w:p>
        </w:tc>
        <w:tc>
          <w:tcPr>
            <w:tcW w:w="199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0.36t/a</w:t>
            </w:r>
          </w:p>
        </w:tc>
        <w:tc>
          <w:tcPr>
            <w:tcW w:w="3078" w:type="dxa"/>
            <w:vMerge w:val="continue"/>
            <w:tcBorders>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51" w:hRule="atLeast"/>
          <w:jc w:val="center"/>
        </w:trPr>
        <w:tc>
          <w:tcPr>
            <w:tcW w:w="852"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噪声</w:t>
            </w:r>
          </w:p>
        </w:tc>
        <w:tc>
          <w:tcPr>
            <w:tcW w:w="59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w:t>
            </w:r>
          </w:p>
        </w:tc>
        <w:tc>
          <w:tcPr>
            <w:tcW w:w="78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施工场地</w:t>
            </w:r>
          </w:p>
        </w:tc>
        <w:tc>
          <w:tcPr>
            <w:tcW w:w="7335"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Cs/>
                <w:color w:val="auto"/>
                <w:sz w:val="24"/>
              </w:rPr>
            </w:pPr>
            <w:r>
              <w:rPr>
                <w:rFonts w:ascii="Times New Roman" w:hAnsi="Times New Roman"/>
                <w:bCs/>
                <w:color w:val="auto"/>
                <w:sz w:val="24"/>
              </w:rPr>
              <w:t>各施工机械噪声，采取基础减震、隔离围挡等措施，对周围环境的影响较小。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9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运营期</w:t>
            </w:r>
          </w:p>
        </w:tc>
        <w:tc>
          <w:tcPr>
            <w:tcW w:w="78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诊疗活动</w:t>
            </w:r>
          </w:p>
        </w:tc>
        <w:tc>
          <w:tcPr>
            <w:tcW w:w="7335"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Cs/>
                <w:color w:val="auto"/>
                <w:sz w:val="24"/>
              </w:rPr>
            </w:pPr>
            <w:r>
              <w:rPr>
                <w:rFonts w:ascii="Times New Roman" w:hAnsi="Times New Roman"/>
                <w:bCs/>
                <w:color w:val="auto"/>
                <w:sz w:val="24"/>
              </w:rPr>
              <w:t>少量公共设备噪声，选用低噪设备，对周围环境的影响较小。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28" w:hRule="atLeast"/>
          <w:jc w:val="center"/>
        </w:trPr>
        <w:tc>
          <w:tcPr>
            <w:tcW w:w="9571" w:type="dxa"/>
            <w:gridSpan w:val="7"/>
            <w:tcBorders>
              <w:top w:val="single" w:color="auto" w:sz="2" w:space="0"/>
              <w:left w:val="single" w:color="auto" w:sz="2" w:space="0"/>
              <w:bottom w:val="single" w:color="auto" w:sz="2" w:space="0"/>
              <w:right w:val="single" w:color="auto" w:sz="2" w:space="0"/>
            </w:tcBorders>
          </w:tcPr>
          <w:p>
            <w:pPr>
              <w:rPr>
                <w:rFonts w:ascii="Times New Roman" w:hAnsi="Times New Roman"/>
                <w:b/>
                <w:color w:val="auto"/>
                <w:sz w:val="24"/>
                <w:lang w:val="zh-CN"/>
              </w:rPr>
            </w:pPr>
            <w:r>
              <w:rPr>
                <w:rFonts w:ascii="Times New Roman" w:hAnsi="Times New Roman"/>
                <w:b/>
                <w:color w:val="auto"/>
                <w:sz w:val="24"/>
                <w:lang w:val="zh-CN"/>
              </w:rPr>
              <w:t>主要生态影响（不够时可附另页）</w:t>
            </w:r>
          </w:p>
          <w:p>
            <w:pPr>
              <w:snapToGrid w:val="0"/>
              <w:ind w:firstLine="480" w:firstLineChars="200"/>
              <w:rPr>
                <w:rFonts w:ascii="Times New Roman" w:hAnsi="Times New Roman"/>
                <w:color w:val="auto"/>
                <w:sz w:val="24"/>
              </w:rPr>
            </w:pPr>
            <w:r>
              <w:rPr>
                <w:rFonts w:ascii="Times New Roman" w:hAnsi="Times New Roman"/>
                <w:color w:val="auto"/>
                <w:sz w:val="24"/>
              </w:rPr>
              <w:t>拟建项目场地远离生态保护区，没有珍稀物种，施工期和运营期过程中对自然生态系统影响较小。</w:t>
            </w:r>
          </w:p>
        </w:tc>
      </w:tr>
    </w:tbl>
    <w:p>
      <w:pPr>
        <w:rPr>
          <w:rFonts w:ascii="Times New Roman" w:hAnsi="Times New Roman"/>
          <w:b/>
          <w:color w:val="auto"/>
          <w:sz w:val="30"/>
        </w:rPr>
        <w:sectPr>
          <w:footerReference r:id="rId5" w:type="first"/>
          <w:headerReference r:id="rId3" w:type="default"/>
          <w:footerReference r:id="rId4" w:type="default"/>
          <w:pgSz w:w="11907" w:h="16840"/>
          <w:pgMar w:top="1440" w:right="1134" w:bottom="1418" w:left="1418" w:header="851" w:footer="992" w:gutter="0"/>
          <w:pgNumType w:start="1"/>
          <w:cols w:space="720" w:num="1"/>
          <w:docGrid w:linePitch="312" w:charSpace="0"/>
        </w:sectPr>
      </w:pPr>
    </w:p>
    <w:p>
      <w:pPr>
        <w:pStyle w:val="5"/>
        <w:rPr>
          <w:rFonts w:ascii="Times New Roman" w:hAnsi="Times New Roman"/>
          <w:color w:val="auto"/>
        </w:rPr>
      </w:pPr>
      <w:r>
        <w:rPr>
          <w:rFonts w:ascii="Times New Roman" w:hAnsi="Times New Roman"/>
          <w:color w:val="auto"/>
        </w:rPr>
        <w:t>环境影响分析</w:t>
      </w:r>
    </w:p>
    <w:tbl>
      <w:tblPr>
        <w:tblStyle w:val="26"/>
        <w:tblW w:w="9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9005" w:type="dxa"/>
          </w:tcPr>
          <w:p>
            <w:pPr>
              <w:spacing w:line="360" w:lineRule="auto"/>
              <w:rPr>
                <w:rFonts w:ascii="Times New Roman" w:hAnsi="Times New Roman"/>
                <w:b/>
                <w:color w:val="auto"/>
                <w:sz w:val="24"/>
              </w:rPr>
            </w:pPr>
            <w:r>
              <w:rPr>
                <w:rFonts w:ascii="Times New Roman" w:hAnsi="Times New Roman"/>
                <w:b/>
                <w:color w:val="auto"/>
                <w:sz w:val="24"/>
              </w:rPr>
              <w:t>施工期环境影响分析</w:t>
            </w:r>
          </w:p>
          <w:p>
            <w:pPr>
              <w:adjustRightInd w:val="0"/>
              <w:snapToGrid w:val="0"/>
              <w:spacing w:line="360" w:lineRule="auto"/>
              <w:ind w:firstLine="480"/>
              <w:jc w:val="left"/>
              <w:rPr>
                <w:rFonts w:ascii="Times New Roman" w:hAnsi="Times New Roman"/>
                <w:color w:val="auto"/>
                <w:sz w:val="24"/>
              </w:rPr>
            </w:pPr>
            <w:r>
              <w:rPr>
                <w:rFonts w:ascii="Times New Roman" w:hAnsi="Times New Roman"/>
                <w:color w:val="auto"/>
                <w:sz w:val="24"/>
              </w:rPr>
              <w:t>一、大气污染物影响分析</w:t>
            </w:r>
          </w:p>
          <w:p>
            <w:pPr>
              <w:autoSpaceDE w:val="0"/>
              <w:autoSpaceDN w:val="0"/>
              <w:adjustRightIn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本项目建设过程中主要大气污染物为扬尘以及设备尾气。</w:t>
            </w:r>
          </w:p>
          <w:p>
            <w:pPr>
              <w:autoSpaceDE w:val="0"/>
              <w:autoSpaceDN w:val="0"/>
              <w:adjustRightIn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（1）扬尘影响分析</w:t>
            </w:r>
          </w:p>
          <w:p>
            <w:pPr>
              <w:spacing w:line="360" w:lineRule="auto"/>
              <w:ind w:firstLine="480" w:firstLineChars="200"/>
              <w:rPr>
                <w:rFonts w:ascii="Times New Roman" w:hAnsi="Times New Roman"/>
                <w:color w:val="auto"/>
                <w:sz w:val="24"/>
              </w:rPr>
            </w:pPr>
            <w:r>
              <w:rPr>
                <w:rFonts w:ascii="Times New Roman" w:hAnsi="Times New Roman"/>
                <w:color w:val="auto"/>
                <w:sz w:val="24"/>
              </w:rPr>
              <w:t>施工期土建施工阶段，按起尘的原因可分为风力起尘和动力起尘，其中风力起尘主要是由于露天堆放的建材(如水泥等)及裸露的施工区表层浮尘因天气干燥及大风产生风尘扬尘；而动力起尘主要是在建材的装卸、搅拌过程中，由于外力而产生的尘粒再悬浮而造成，其中施工及装卸车辆造成的扬尘最为严重。据有关文献资料介绍，车辆行驶产生的扬尘占总扬尘的60%上，车辆行驶产生的扬尘在完全干燥情况下，以一辆10吨卡车，通过一段长度为1km的路面为例，在不同路面清洁程度，不同行驶速度情况下的扬尘量见表7-1。</w:t>
            </w:r>
          </w:p>
          <w:p>
            <w:pPr>
              <w:snapToGrid w:val="0"/>
              <w:jc w:val="center"/>
              <w:rPr>
                <w:rFonts w:ascii="Times New Roman" w:hAnsi="Times New Roman"/>
                <w:b/>
                <w:color w:val="auto"/>
                <w:sz w:val="24"/>
              </w:rPr>
            </w:pPr>
            <w:r>
              <w:rPr>
                <w:rFonts w:ascii="Times New Roman" w:hAnsi="Times New Roman"/>
                <w:b/>
                <w:color w:val="auto"/>
                <w:sz w:val="24"/>
              </w:rPr>
              <w:t>表7-1    在不同车速和地面清洁程度的汽车扬尘单位：kg/辆·km</w:t>
            </w:r>
          </w:p>
          <w:tbl>
            <w:tblPr>
              <w:tblStyle w:val="26"/>
              <w:tblW w:w="877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60"/>
              <w:gridCol w:w="1306"/>
              <w:gridCol w:w="1329"/>
              <w:gridCol w:w="1197"/>
              <w:gridCol w:w="1294"/>
              <w:gridCol w:w="1322"/>
              <w:gridCol w:w="11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trPr>
              <w:tc>
                <w:tcPr>
                  <w:tcW w:w="116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P车速</w:t>
                  </w:r>
                </w:p>
              </w:tc>
              <w:tc>
                <w:tcPr>
                  <w:tcW w:w="1306"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0.1(kg/m</w:t>
                  </w:r>
                  <w:r>
                    <w:rPr>
                      <w:rFonts w:ascii="Times New Roman" w:hAnsi="Times New Roman"/>
                      <w:bCs/>
                      <w:color w:val="auto"/>
                      <w:kern w:val="0"/>
                      <w:szCs w:val="21"/>
                      <w:vertAlign w:val="superscript"/>
                    </w:rPr>
                    <w:t>2</w:t>
                  </w:r>
                  <w:r>
                    <w:rPr>
                      <w:rFonts w:ascii="Times New Roman" w:hAnsi="Times New Roman"/>
                      <w:bCs/>
                      <w:color w:val="auto"/>
                      <w:kern w:val="0"/>
                      <w:szCs w:val="21"/>
                    </w:rPr>
                    <w:t>)</w:t>
                  </w:r>
                </w:p>
              </w:tc>
              <w:tc>
                <w:tcPr>
                  <w:tcW w:w="1329"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0.2(kg/m</w:t>
                  </w:r>
                  <w:r>
                    <w:rPr>
                      <w:rFonts w:ascii="Times New Roman" w:hAnsi="Times New Roman"/>
                      <w:bCs/>
                      <w:color w:val="auto"/>
                      <w:kern w:val="0"/>
                      <w:szCs w:val="21"/>
                      <w:vertAlign w:val="superscript"/>
                    </w:rPr>
                    <w:t>2</w:t>
                  </w:r>
                  <w:r>
                    <w:rPr>
                      <w:rFonts w:ascii="Times New Roman" w:hAnsi="Times New Roman"/>
                      <w:bCs/>
                      <w:color w:val="auto"/>
                      <w:kern w:val="0"/>
                      <w:szCs w:val="21"/>
                    </w:rPr>
                    <w:t>)</w:t>
                  </w:r>
                </w:p>
              </w:tc>
              <w:tc>
                <w:tcPr>
                  <w:tcW w:w="1197"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0.3(kg/m</w:t>
                  </w:r>
                  <w:r>
                    <w:rPr>
                      <w:rFonts w:ascii="Times New Roman" w:hAnsi="Times New Roman"/>
                      <w:bCs/>
                      <w:color w:val="auto"/>
                      <w:kern w:val="0"/>
                      <w:szCs w:val="21"/>
                      <w:vertAlign w:val="superscript"/>
                    </w:rPr>
                    <w:t>2</w:t>
                  </w:r>
                  <w:r>
                    <w:rPr>
                      <w:rFonts w:ascii="Times New Roman" w:hAnsi="Times New Roman"/>
                      <w:bCs/>
                      <w:color w:val="auto"/>
                      <w:kern w:val="0"/>
                      <w:szCs w:val="21"/>
                    </w:rPr>
                    <w:t>)</w:t>
                  </w:r>
                </w:p>
              </w:tc>
              <w:tc>
                <w:tcPr>
                  <w:tcW w:w="1294"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0.4(kg/m</w:t>
                  </w:r>
                  <w:r>
                    <w:rPr>
                      <w:rFonts w:ascii="Times New Roman" w:hAnsi="Times New Roman"/>
                      <w:bCs/>
                      <w:color w:val="auto"/>
                      <w:kern w:val="0"/>
                      <w:szCs w:val="21"/>
                      <w:vertAlign w:val="superscript"/>
                    </w:rPr>
                    <w:t>2</w:t>
                  </w:r>
                  <w:r>
                    <w:rPr>
                      <w:rFonts w:ascii="Times New Roman" w:hAnsi="Times New Roman"/>
                      <w:bCs/>
                      <w:color w:val="auto"/>
                      <w:kern w:val="0"/>
                      <w:szCs w:val="21"/>
                    </w:rPr>
                    <w:t>)</w:t>
                  </w:r>
                </w:p>
              </w:tc>
              <w:tc>
                <w:tcPr>
                  <w:tcW w:w="1322"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0.5(kg/m</w:t>
                  </w:r>
                  <w:r>
                    <w:rPr>
                      <w:rFonts w:ascii="Times New Roman" w:hAnsi="Times New Roman"/>
                      <w:bCs/>
                      <w:color w:val="auto"/>
                      <w:kern w:val="0"/>
                      <w:szCs w:val="21"/>
                      <w:vertAlign w:val="superscript"/>
                    </w:rPr>
                    <w:t>2</w:t>
                  </w:r>
                  <w:r>
                    <w:rPr>
                      <w:rFonts w:ascii="Times New Roman" w:hAnsi="Times New Roman"/>
                      <w:bCs/>
                      <w:color w:val="auto"/>
                      <w:kern w:val="0"/>
                      <w:szCs w:val="21"/>
                    </w:rPr>
                    <w:t>)</w:t>
                  </w:r>
                </w:p>
              </w:tc>
              <w:tc>
                <w:tcPr>
                  <w:tcW w:w="1171"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1(kg/m</w:t>
                  </w:r>
                  <w:r>
                    <w:rPr>
                      <w:rFonts w:ascii="Times New Roman" w:hAnsi="Times New Roman"/>
                      <w:bCs/>
                      <w:color w:val="auto"/>
                      <w:kern w:val="0"/>
                      <w:szCs w:val="21"/>
                      <w:vertAlign w:val="superscript"/>
                    </w:rPr>
                    <w:t>2</w:t>
                  </w:r>
                  <w:r>
                    <w:rPr>
                      <w:rFonts w:ascii="Times New Roman" w:hAnsi="Times New Roman"/>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16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5(km/hr)</w:t>
                  </w:r>
                </w:p>
              </w:tc>
              <w:tc>
                <w:tcPr>
                  <w:tcW w:w="1306"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0.0511</w:t>
                  </w:r>
                </w:p>
              </w:tc>
              <w:tc>
                <w:tcPr>
                  <w:tcW w:w="1329"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0.0859</w:t>
                  </w:r>
                </w:p>
              </w:tc>
              <w:tc>
                <w:tcPr>
                  <w:tcW w:w="1197"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0.1163</w:t>
                  </w:r>
                </w:p>
              </w:tc>
              <w:tc>
                <w:tcPr>
                  <w:tcW w:w="1294"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0.1444</w:t>
                  </w:r>
                </w:p>
              </w:tc>
              <w:tc>
                <w:tcPr>
                  <w:tcW w:w="1322"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0.1707</w:t>
                  </w:r>
                </w:p>
              </w:tc>
              <w:tc>
                <w:tcPr>
                  <w:tcW w:w="1171"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0.2871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16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10(km/hr)</w:t>
                  </w:r>
                </w:p>
              </w:tc>
              <w:tc>
                <w:tcPr>
                  <w:tcW w:w="1306"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0.1021</w:t>
                  </w:r>
                </w:p>
              </w:tc>
              <w:tc>
                <w:tcPr>
                  <w:tcW w:w="1329"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0.1717</w:t>
                  </w:r>
                </w:p>
              </w:tc>
              <w:tc>
                <w:tcPr>
                  <w:tcW w:w="1197"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0.2328</w:t>
                  </w:r>
                </w:p>
              </w:tc>
              <w:tc>
                <w:tcPr>
                  <w:tcW w:w="1294"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0.2888</w:t>
                  </w:r>
                </w:p>
              </w:tc>
              <w:tc>
                <w:tcPr>
                  <w:tcW w:w="1322"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0.3414</w:t>
                  </w:r>
                </w:p>
              </w:tc>
              <w:tc>
                <w:tcPr>
                  <w:tcW w:w="1171"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0.5742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16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15(km/hr)</w:t>
                  </w:r>
                </w:p>
              </w:tc>
              <w:tc>
                <w:tcPr>
                  <w:tcW w:w="1306"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0.1531</w:t>
                  </w:r>
                </w:p>
              </w:tc>
              <w:tc>
                <w:tcPr>
                  <w:tcW w:w="1329"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0.2576</w:t>
                  </w:r>
                </w:p>
              </w:tc>
              <w:tc>
                <w:tcPr>
                  <w:tcW w:w="1197"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0.3491</w:t>
                  </w:r>
                </w:p>
              </w:tc>
              <w:tc>
                <w:tcPr>
                  <w:tcW w:w="1294"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0.4332</w:t>
                  </w:r>
                </w:p>
              </w:tc>
              <w:tc>
                <w:tcPr>
                  <w:tcW w:w="1322"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0.5121</w:t>
                  </w:r>
                </w:p>
              </w:tc>
              <w:tc>
                <w:tcPr>
                  <w:tcW w:w="1171"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0.8613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116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25(km/hr)</w:t>
                  </w:r>
                </w:p>
              </w:tc>
              <w:tc>
                <w:tcPr>
                  <w:tcW w:w="1306"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0.2553</w:t>
                  </w:r>
                </w:p>
              </w:tc>
              <w:tc>
                <w:tcPr>
                  <w:tcW w:w="1329"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0.4293</w:t>
                  </w:r>
                </w:p>
              </w:tc>
              <w:tc>
                <w:tcPr>
                  <w:tcW w:w="1197"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0.5819</w:t>
                  </w:r>
                </w:p>
              </w:tc>
              <w:tc>
                <w:tcPr>
                  <w:tcW w:w="1294"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0.7220</w:t>
                  </w:r>
                </w:p>
              </w:tc>
              <w:tc>
                <w:tcPr>
                  <w:tcW w:w="1322"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0.8536</w:t>
                  </w:r>
                </w:p>
              </w:tc>
              <w:tc>
                <w:tcPr>
                  <w:tcW w:w="1171"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1.4355</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由此可知，在同样路面清洁程度条件下，车速越快，扬尘量越大；而在同样车速情况下，路面越脏，则扬尘量越大。根据类比调查，一般情况下，施工场地、施工道路在自然风作用下产生的扬尘所影响的范围在100m以内。抑制扬尘的一个简洁有效的措施是洒水，如果在施工期内对车辆行驶的路面实施洒水抑尘，每天洒水4~5次，可使扬尘减少70%左右，表7-2为施工场地洒水抑尘的试验结果，由该表数据可看出对施工场地实施每天洒水4~5次进行抑尘，可有效地控制施工扬尘，并可将TSP污染距离缩小到20~50m范围。</w:t>
            </w:r>
          </w:p>
          <w:p>
            <w:pPr>
              <w:tabs>
                <w:tab w:val="left" w:pos="3828"/>
              </w:tabs>
              <w:jc w:val="center"/>
              <w:rPr>
                <w:rFonts w:ascii="Times New Roman" w:hAnsi="Times New Roman" w:eastAsia="黑体"/>
                <w:b/>
                <w:color w:val="auto"/>
                <w:sz w:val="24"/>
              </w:rPr>
            </w:pPr>
            <w:r>
              <w:rPr>
                <w:rFonts w:ascii="Times New Roman" w:hAnsi="Times New Roman" w:eastAsia="黑体"/>
                <w:b/>
                <w:color w:val="auto"/>
                <w:sz w:val="24"/>
              </w:rPr>
              <w:t>表7-2    施工场地洒水抑尘试验结果  单位：mg/m</w:t>
            </w:r>
            <w:r>
              <w:rPr>
                <w:rFonts w:ascii="Times New Roman" w:hAnsi="Times New Roman" w:eastAsia="黑体"/>
                <w:b/>
                <w:color w:val="auto"/>
                <w:sz w:val="24"/>
                <w:vertAlign w:val="superscript"/>
              </w:rPr>
              <w:t>3</w:t>
            </w:r>
          </w:p>
          <w:tbl>
            <w:tblPr>
              <w:tblStyle w:val="26"/>
              <w:tblW w:w="8783"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399"/>
              <w:gridCol w:w="1491"/>
              <w:gridCol w:w="1558"/>
              <w:gridCol w:w="1553"/>
              <w:gridCol w:w="1556"/>
              <w:gridCol w:w="1226"/>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2890" w:type="dxa"/>
                  <w:gridSpan w:val="2"/>
                  <w:vAlign w:val="center"/>
                </w:tcPr>
                <w:p>
                  <w:pPr>
                    <w:autoSpaceDE w:val="0"/>
                    <w:autoSpaceDN w:val="0"/>
                    <w:adjustRightInd w:val="0"/>
                    <w:spacing w:line="240" w:lineRule="atLeast"/>
                    <w:jc w:val="center"/>
                    <w:rPr>
                      <w:rFonts w:ascii="Times New Roman" w:hAnsi="Times New Roman"/>
                      <w:b/>
                      <w:color w:val="auto"/>
                      <w:kern w:val="0"/>
                      <w:sz w:val="28"/>
                      <w:szCs w:val="28"/>
                    </w:rPr>
                  </w:pPr>
                  <w:r>
                    <w:rPr>
                      <w:rFonts w:ascii="Times New Roman" w:hAnsi="Times New Roman"/>
                      <w:b/>
                      <w:color w:val="auto"/>
                      <w:kern w:val="0"/>
                      <w:szCs w:val="21"/>
                    </w:rPr>
                    <w:t>距离</w:t>
                  </w:r>
                </w:p>
              </w:tc>
              <w:tc>
                <w:tcPr>
                  <w:tcW w:w="1558" w:type="dxa"/>
                  <w:vAlign w:val="center"/>
                </w:tcPr>
                <w:p>
                  <w:pPr>
                    <w:autoSpaceDE w:val="0"/>
                    <w:autoSpaceDN w:val="0"/>
                    <w:adjustRightInd w:val="0"/>
                    <w:spacing w:line="240" w:lineRule="atLeast"/>
                    <w:jc w:val="center"/>
                    <w:rPr>
                      <w:rFonts w:ascii="Times New Roman" w:hAnsi="Times New Roman"/>
                      <w:b/>
                      <w:color w:val="auto"/>
                      <w:kern w:val="0"/>
                      <w:sz w:val="28"/>
                      <w:szCs w:val="28"/>
                    </w:rPr>
                  </w:pPr>
                  <w:r>
                    <w:rPr>
                      <w:rFonts w:ascii="Times New Roman" w:hAnsi="Times New Roman"/>
                      <w:b/>
                      <w:color w:val="auto"/>
                      <w:kern w:val="0"/>
                      <w:szCs w:val="21"/>
                    </w:rPr>
                    <w:t>5m</w:t>
                  </w:r>
                </w:p>
              </w:tc>
              <w:tc>
                <w:tcPr>
                  <w:tcW w:w="1553" w:type="dxa"/>
                  <w:vAlign w:val="center"/>
                </w:tcPr>
                <w:p>
                  <w:pPr>
                    <w:autoSpaceDE w:val="0"/>
                    <w:autoSpaceDN w:val="0"/>
                    <w:adjustRightInd w:val="0"/>
                    <w:spacing w:line="240" w:lineRule="atLeast"/>
                    <w:jc w:val="center"/>
                    <w:rPr>
                      <w:rFonts w:ascii="Times New Roman" w:hAnsi="Times New Roman"/>
                      <w:b/>
                      <w:color w:val="auto"/>
                      <w:kern w:val="0"/>
                      <w:sz w:val="28"/>
                      <w:szCs w:val="28"/>
                    </w:rPr>
                  </w:pPr>
                  <w:r>
                    <w:rPr>
                      <w:rFonts w:ascii="Times New Roman" w:hAnsi="Times New Roman"/>
                      <w:b/>
                      <w:color w:val="auto"/>
                      <w:kern w:val="0"/>
                      <w:szCs w:val="21"/>
                    </w:rPr>
                    <w:t>20m</w:t>
                  </w:r>
                </w:p>
              </w:tc>
              <w:tc>
                <w:tcPr>
                  <w:tcW w:w="1556" w:type="dxa"/>
                  <w:vAlign w:val="center"/>
                </w:tcPr>
                <w:p>
                  <w:pPr>
                    <w:autoSpaceDE w:val="0"/>
                    <w:autoSpaceDN w:val="0"/>
                    <w:adjustRightInd w:val="0"/>
                    <w:spacing w:line="240" w:lineRule="atLeast"/>
                    <w:jc w:val="center"/>
                    <w:rPr>
                      <w:rFonts w:ascii="Times New Roman" w:hAnsi="Times New Roman"/>
                      <w:b/>
                      <w:color w:val="auto"/>
                      <w:kern w:val="0"/>
                      <w:sz w:val="28"/>
                      <w:szCs w:val="28"/>
                    </w:rPr>
                  </w:pPr>
                  <w:r>
                    <w:rPr>
                      <w:rFonts w:ascii="Times New Roman" w:hAnsi="Times New Roman"/>
                      <w:b/>
                      <w:color w:val="auto"/>
                      <w:kern w:val="0"/>
                      <w:szCs w:val="21"/>
                    </w:rPr>
                    <w:t>50m</w:t>
                  </w:r>
                </w:p>
              </w:tc>
              <w:tc>
                <w:tcPr>
                  <w:tcW w:w="1226" w:type="dxa"/>
                  <w:vAlign w:val="center"/>
                </w:tcPr>
                <w:p>
                  <w:pPr>
                    <w:autoSpaceDE w:val="0"/>
                    <w:autoSpaceDN w:val="0"/>
                    <w:adjustRightInd w:val="0"/>
                    <w:spacing w:line="240" w:lineRule="atLeast"/>
                    <w:jc w:val="center"/>
                    <w:rPr>
                      <w:rFonts w:ascii="Times New Roman" w:hAnsi="Times New Roman"/>
                      <w:b/>
                      <w:color w:val="auto"/>
                      <w:kern w:val="0"/>
                      <w:sz w:val="28"/>
                      <w:szCs w:val="28"/>
                    </w:rPr>
                  </w:pPr>
                  <w:r>
                    <w:rPr>
                      <w:rFonts w:ascii="Times New Roman" w:hAnsi="Times New Roman"/>
                      <w:b/>
                      <w:color w:val="auto"/>
                      <w:kern w:val="0"/>
                      <w:szCs w:val="21"/>
                    </w:rPr>
                    <w:t>100m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1399" w:type="dxa"/>
                  <w:vMerge w:val="restart"/>
                  <w:vAlign w:val="center"/>
                </w:tcPr>
                <w:p>
                  <w:pPr>
                    <w:autoSpaceDE w:val="0"/>
                    <w:autoSpaceDN w:val="0"/>
                    <w:adjustRightInd w:val="0"/>
                    <w:spacing w:line="240" w:lineRule="atLeast"/>
                    <w:jc w:val="center"/>
                    <w:rPr>
                      <w:rFonts w:ascii="Times New Roman" w:hAnsi="Times New Roman"/>
                      <w:color w:val="auto"/>
                      <w:kern w:val="0"/>
                      <w:szCs w:val="21"/>
                    </w:rPr>
                  </w:pPr>
                  <w:r>
                    <w:rPr>
                      <w:rFonts w:ascii="Times New Roman" w:hAnsi="Times New Roman"/>
                      <w:color w:val="auto"/>
                      <w:kern w:val="0"/>
                      <w:szCs w:val="21"/>
                    </w:rPr>
                    <w:t>TSP小时</w:t>
                  </w:r>
                </w:p>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平均浓度</w:t>
                  </w:r>
                </w:p>
              </w:tc>
              <w:tc>
                <w:tcPr>
                  <w:tcW w:w="1491"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不洒水</w:t>
                  </w:r>
                </w:p>
              </w:tc>
              <w:tc>
                <w:tcPr>
                  <w:tcW w:w="1558"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10.14</w:t>
                  </w:r>
                </w:p>
              </w:tc>
              <w:tc>
                <w:tcPr>
                  <w:tcW w:w="1553"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2.89</w:t>
                  </w:r>
                </w:p>
              </w:tc>
              <w:tc>
                <w:tcPr>
                  <w:tcW w:w="1556"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1.15</w:t>
                  </w:r>
                </w:p>
              </w:tc>
              <w:tc>
                <w:tcPr>
                  <w:tcW w:w="1226"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0.86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86" w:hRule="atLeast"/>
              </w:trPr>
              <w:tc>
                <w:tcPr>
                  <w:tcW w:w="1399" w:type="dxa"/>
                  <w:vMerge w:val="continue"/>
                  <w:vAlign w:val="center"/>
                </w:tcPr>
                <w:p>
                  <w:pPr>
                    <w:widowControl/>
                    <w:jc w:val="left"/>
                    <w:rPr>
                      <w:rFonts w:ascii="Times New Roman" w:hAnsi="Times New Roman"/>
                      <w:color w:val="auto"/>
                      <w:kern w:val="0"/>
                      <w:sz w:val="28"/>
                      <w:szCs w:val="28"/>
                    </w:rPr>
                  </w:pPr>
                </w:p>
              </w:tc>
              <w:tc>
                <w:tcPr>
                  <w:tcW w:w="1491"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洒水</w:t>
                  </w:r>
                </w:p>
              </w:tc>
              <w:tc>
                <w:tcPr>
                  <w:tcW w:w="1558"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2.01</w:t>
                  </w:r>
                </w:p>
              </w:tc>
              <w:tc>
                <w:tcPr>
                  <w:tcW w:w="1553"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1.40</w:t>
                  </w:r>
                </w:p>
              </w:tc>
              <w:tc>
                <w:tcPr>
                  <w:tcW w:w="1556"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0.74</w:t>
                  </w:r>
                </w:p>
              </w:tc>
              <w:tc>
                <w:tcPr>
                  <w:tcW w:w="1226" w:type="dxa"/>
                  <w:vAlign w:val="center"/>
                </w:tcPr>
                <w:p>
                  <w:pPr>
                    <w:autoSpaceDE w:val="0"/>
                    <w:autoSpaceDN w:val="0"/>
                    <w:adjustRightInd w:val="0"/>
                    <w:spacing w:line="240" w:lineRule="atLeast"/>
                    <w:jc w:val="center"/>
                    <w:rPr>
                      <w:rFonts w:ascii="Times New Roman" w:hAnsi="Times New Roman"/>
                      <w:color w:val="auto"/>
                      <w:kern w:val="0"/>
                      <w:sz w:val="28"/>
                      <w:szCs w:val="28"/>
                    </w:rPr>
                  </w:pPr>
                  <w:r>
                    <w:rPr>
                      <w:rFonts w:ascii="Times New Roman" w:hAnsi="Times New Roman"/>
                      <w:color w:val="auto"/>
                      <w:kern w:val="0"/>
                      <w:szCs w:val="21"/>
                    </w:rPr>
                    <w:t>0.60</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施工期扬尘的另一个主要原因是露天堆场和裸露场地的风力扬尘，由于施工的需要，一些建材需露天堆放；一些施工点表层土壤需人工开挖、堆放，在气候干燥又有风的情况下，会产生扬尘。尘粒在空气中的传播扩散情况与风速等气象条件有关，也与尘粒本身的沉降速度有关，不同粒径的尘粒的沉降速度见表7-3。</w:t>
            </w:r>
          </w:p>
          <w:p>
            <w:pPr>
              <w:tabs>
                <w:tab w:val="left" w:pos="3828"/>
              </w:tabs>
              <w:spacing w:before="22"/>
              <w:ind w:left="3144"/>
              <w:rPr>
                <w:rFonts w:ascii="Times New Roman" w:hAnsi="Times New Roman" w:eastAsia="黑体"/>
                <w:b/>
                <w:color w:val="auto"/>
                <w:sz w:val="24"/>
              </w:rPr>
            </w:pPr>
            <w:r>
              <w:rPr>
                <w:rFonts w:ascii="Times New Roman" w:hAnsi="Times New Roman" w:eastAsia="黑体"/>
                <w:b/>
                <w:color w:val="auto"/>
                <w:sz w:val="24"/>
              </w:rPr>
              <w:t>表7-3   不同粒径尘粒的沉降速度</w:t>
            </w:r>
          </w:p>
          <w:tbl>
            <w:tblPr>
              <w:tblStyle w:val="26"/>
              <w:tblW w:w="8783"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508"/>
              <w:gridCol w:w="910"/>
              <w:gridCol w:w="1040"/>
              <w:gridCol w:w="1040"/>
              <w:gridCol w:w="1165"/>
              <w:gridCol w:w="1165"/>
              <w:gridCol w:w="1040"/>
              <w:gridCol w:w="91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5" w:hRule="atLeast"/>
              </w:trPr>
              <w:tc>
                <w:tcPr>
                  <w:tcW w:w="1508"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粒径(μm)</w:t>
                  </w:r>
                </w:p>
              </w:tc>
              <w:tc>
                <w:tcPr>
                  <w:tcW w:w="91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20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30</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40</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50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60</w:t>
                  </w:r>
                </w:p>
              </w:tc>
              <w:tc>
                <w:tcPr>
                  <w:tcW w:w="91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70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85" w:hRule="atLeast"/>
              </w:trPr>
              <w:tc>
                <w:tcPr>
                  <w:tcW w:w="1508"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沉降速(m/s)</w:t>
                  </w:r>
                </w:p>
              </w:tc>
              <w:tc>
                <w:tcPr>
                  <w:tcW w:w="91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0.003</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0.012</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0.027</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0.048</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0.075</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0.108</w:t>
                  </w:r>
                </w:p>
              </w:tc>
              <w:tc>
                <w:tcPr>
                  <w:tcW w:w="91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0.147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48" w:hRule="atLeast"/>
              </w:trPr>
              <w:tc>
                <w:tcPr>
                  <w:tcW w:w="1508"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粒径(μm)</w:t>
                  </w:r>
                </w:p>
              </w:tc>
              <w:tc>
                <w:tcPr>
                  <w:tcW w:w="91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80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90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100</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150</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200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250</w:t>
                  </w:r>
                </w:p>
              </w:tc>
              <w:tc>
                <w:tcPr>
                  <w:tcW w:w="91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350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4" w:hRule="atLeast"/>
              </w:trPr>
              <w:tc>
                <w:tcPr>
                  <w:tcW w:w="1508"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沉降速(m/s)</w:t>
                  </w:r>
                </w:p>
              </w:tc>
              <w:tc>
                <w:tcPr>
                  <w:tcW w:w="91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0.158</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0.170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0.182</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0.239</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0.804</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1.005</w:t>
                  </w:r>
                </w:p>
              </w:tc>
              <w:tc>
                <w:tcPr>
                  <w:tcW w:w="91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1.829</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86" w:hRule="atLeast"/>
              </w:trPr>
              <w:tc>
                <w:tcPr>
                  <w:tcW w:w="1508"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粒径(μm)</w:t>
                  </w:r>
                </w:p>
              </w:tc>
              <w:tc>
                <w:tcPr>
                  <w:tcW w:w="91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450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550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650</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750</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850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950</w:t>
                  </w:r>
                </w:p>
              </w:tc>
              <w:tc>
                <w:tcPr>
                  <w:tcW w:w="91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1050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4" w:hRule="atLeast"/>
              </w:trPr>
              <w:tc>
                <w:tcPr>
                  <w:tcW w:w="1508"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沉降速(m/s)</w:t>
                  </w:r>
                </w:p>
              </w:tc>
              <w:tc>
                <w:tcPr>
                  <w:tcW w:w="91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2.211</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2.614</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3.016</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3.418</w:t>
                  </w:r>
                </w:p>
              </w:tc>
              <w:tc>
                <w:tcPr>
                  <w:tcW w:w="116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3.820</w:t>
                  </w:r>
                </w:p>
              </w:tc>
              <w:tc>
                <w:tcPr>
                  <w:tcW w:w="1040"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4.222</w:t>
                  </w:r>
                </w:p>
              </w:tc>
              <w:tc>
                <w:tcPr>
                  <w:tcW w:w="915" w:type="dxa"/>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4.624</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由表7-3可知，尘粒的沉降速度随粒径的增大而迅速增大。当粒径为250μm时，沉降速度为1.0m/s，可认为当尘粒大于250μm时，主要影响范围在扬尘点下风向近距离范围内，而真正对外环境产生影响的是一些微小尘粒。</w:t>
            </w:r>
          </w:p>
          <w:p>
            <w:pPr>
              <w:spacing w:line="360" w:lineRule="auto"/>
              <w:ind w:firstLine="480" w:firstLineChars="200"/>
              <w:rPr>
                <w:rFonts w:ascii="Times New Roman" w:hAnsi="Times New Roman"/>
                <w:color w:val="auto"/>
                <w:sz w:val="24"/>
              </w:rPr>
            </w:pPr>
            <w:r>
              <w:rPr>
                <w:rFonts w:ascii="Times New Roman" w:hAnsi="Times New Roman"/>
                <w:color w:val="auto"/>
                <w:sz w:val="24"/>
              </w:rPr>
              <w:t>拟建项目所在地平均风速为2.31m/s，常年主导风向为SES，施工场周边大气环境会受到施工扬尘的影响。项目下风向敏感点为项目西北侧的屯庄村居民，施工过程产生的扬尘通过洒水、覆盖抑尘网等措施后，可将扬尘降到最低，减少对周围环境的影响。</w:t>
            </w:r>
          </w:p>
          <w:p>
            <w:pPr>
              <w:spacing w:line="360" w:lineRule="auto"/>
              <w:ind w:firstLine="480" w:firstLineChars="200"/>
              <w:rPr>
                <w:rFonts w:ascii="Times New Roman" w:hAnsi="Times New Roman"/>
                <w:color w:val="auto"/>
                <w:sz w:val="24"/>
              </w:rPr>
            </w:pPr>
            <w:r>
              <w:rPr>
                <w:rFonts w:ascii="Times New Roman" w:hAnsi="Times New Roman"/>
                <w:color w:val="auto"/>
                <w:sz w:val="24"/>
              </w:rPr>
              <w:t>（2）设备燃油废气影响分析</w:t>
            </w:r>
          </w:p>
          <w:p>
            <w:pPr>
              <w:pStyle w:val="23"/>
              <w:widowControl w:val="0"/>
              <w:spacing w:before="0" w:beforeAutospacing="0" w:after="0" w:afterAutospacing="0" w:line="360" w:lineRule="auto"/>
              <w:ind w:firstLine="480" w:firstLineChars="200"/>
              <w:jc w:val="both"/>
              <w:rPr>
                <w:rFonts w:ascii="Times New Roman" w:hAnsi="Times New Roman"/>
                <w:color w:val="auto"/>
                <w:szCs w:val="20"/>
              </w:rPr>
            </w:pPr>
            <w:r>
              <w:rPr>
                <w:rFonts w:ascii="Times New Roman" w:hAnsi="Times New Roman"/>
                <w:color w:val="auto"/>
                <w:kern w:val="2"/>
              </w:rPr>
              <w:t>拟建项目施工期间，施工机械及各种运输车辆多以柴油为原料，使用过程中会排放一定量的尾气，主要污染物为NO</w:t>
            </w:r>
            <w:r>
              <w:rPr>
                <w:rFonts w:ascii="Times New Roman" w:hAnsi="Times New Roman"/>
                <w:color w:val="auto"/>
                <w:kern w:val="2"/>
                <w:vertAlign w:val="subscript"/>
              </w:rPr>
              <w:t>x</w:t>
            </w:r>
            <w:r>
              <w:rPr>
                <w:rFonts w:ascii="Times New Roman" w:hAnsi="Times New Roman"/>
                <w:color w:val="auto"/>
                <w:kern w:val="2"/>
              </w:rPr>
              <w:t>、CO及THC等，分散在施工场地及运输道路沿线，尾气排放有限且分散，加之项目所在地区风速相对较大，扩散条件好，不会对周围环境造成明显不良影响。</w:t>
            </w:r>
          </w:p>
          <w:p>
            <w:pPr>
              <w:pStyle w:val="23"/>
              <w:widowControl w:val="0"/>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kern w:val="2"/>
              </w:rPr>
              <w:t>综上所述，施工期间对大气的环境影响较小，具有短暂性和临时性的特点，随着施工的结束上述影响将消失。</w:t>
            </w:r>
          </w:p>
          <w:p>
            <w:pPr>
              <w:pStyle w:val="2"/>
              <w:spacing w:line="360" w:lineRule="auto"/>
              <w:ind w:firstLine="512" w:firstLineChars="200"/>
              <w:rPr>
                <w:rFonts w:ascii="Times New Roman" w:hAnsi="Times New Roman" w:eastAsia="宋体"/>
                <w:color w:val="auto"/>
              </w:rPr>
            </w:pPr>
            <w:r>
              <w:rPr>
                <w:rFonts w:ascii="Times New Roman" w:hAnsi="Times New Roman" w:eastAsia="宋体"/>
                <w:color w:val="auto"/>
              </w:rPr>
              <w:t>二、水污染物影响分析</w:t>
            </w:r>
          </w:p>
          <w:p>
            <w:pPr>
              <w:pStyle w:val="4"/>
              <w:spacing w:line="360" w:lineRule="auto"/>
              <w:ind w:left="0" w:firstLine="480" w:firstLineChars="200"/>
              <w:jc w:val="left"/>
              <w:rPr>
                <w:rFonts w:ascii="Times New Roman" w:hAnsi="Times New Roman"/>
                <w:color w:val="auto"/>
                <w:sz w:val="24"/>
              </w:rPr>
            </w:pPr>
            <w:r>
              <w:rPr>
                <w:rFonts w:ascii="Times New Roman" w:hAnsi="Times New Roman"/>
                <w:color w:val="auto"/>
                <w:sz w:val="24"/>
              </w:rPr>
              <w:t>施工废水主要是施工过程中产生的含有泥浆或砂石的工程废水及施工人员产生的生活污水，施工废水中的主要污染物为 SS；生活污水主要污染物为COD、BOD</w:t>
            </w:r>
            <w:r>
              <w:rPr>
                <w:rFonts w:ascii="Times New Roman" w:hAnsi="Times New Roman"/>
                <w:color w:val="auto"/>
                <w:sz w:val="24"/>
                <w:vertAlign w:val="subscript"/>
              </w:rPr>
              <w:t>5</w:t>
            </w:r>
            <w:r>
              <w:rPr>
                <w:rFonts w:ascii="Times New Roman" w:hAnsi="Times New Roman"/>
                <w:color w:val="auto"/>
                <w:sz w:val="24"/>
              </w:rPr>
              <w:t xml:space="preserve"> 、氨氮和 SS，其浓度偏低。</w:t>
            </w:r>
            <w:r>
              <w:rPr>
                <w:rFonts w:hint="eastAsia" w:ascii="Times New Roman" w:hAnsi="Times New Roman"/>
                <w:color w:val="auto"/>
                <w:sz w:val="24"/>
              </w:rPr>
              <w:t>厂区设旱厕1座，施工废</w:t>
            </w:r>
            <w:r>
              <w:rPr>
                <w:rFonts w:ascii="Times New Roman" w:hAnsi="Times New Roman"/>
                <w:color w:val="auto"/>
                <w:sz w:val="24"/>
              </w:rPr>
              <w:t>水经临时沉淀池处理后循环使用或用于洒水降尘，不外排，本项目不设置施工营地。项目施工期生活污水对周围水环境影响较小。</w:t>
            </w:r>
          </w:p>
          <w:p>
            <w:pPr>
              <w:spacing w:line="360" w:lineRule="auto"/>
              <w:ind w:firstLine="480" w:firstLineChars="200"/>
              <w:rPr>
                <w:rFonts w:ascii="Times New Roman" w:hAnsi="Times New Roman"/>
                <w:color w:val="auto"/>
                <w:sz w:val="24"/>
              </w:rPr>
            </w:pPr>
            <w:r>
              <w:rPr>
                <w:rFonts w:ascii="Times New Roman" w:hAnsi="Times New Roman"/>
                <w:color w:val="auto"/>
                <w:sz w:val="24"/>
              </w:rPr>
              <w:t>三、声环境影响分析</w:t>
            </w:r>
          </w:p>
          <w:p>
            <w:pPr>
              <w:pStyle w:val="3"/>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施工期的噪声主要来自于工地施工机械和建筑材料的运输等。在施工期不同阶段施工活动所使用的机械设备各类不同，其产生的噪声强度、影响程度也各异。施工机械一般为推土机、挖掘机、装载机、压路机等高噪声设备，其声源强度范围在80～90dB(A)。运输车辆的行驶和施工设备的运转是分散的，噪声影响具有流动性和不稳定性。随着挖掘机等固定声源增多，功率大，运行时间长，对周围居民的影响明显。但影响的程度主要取决于施工机械与敏感点的距离。</w:t>
            </w:r>
          </w:p>
          <w:p>
            <w:pPr>
              <w:pStyle w:val="3"/>
              <w:spacing w:before="38"/>
              <w:ind w:left="647"/>
              <w:rPr>
                <w:rFonts w:ascii="Times New Roman" w:hAnsi="Times New Roman" w:eastAsia="宋体"/>
                <w:color w:val="auto"/>
                <w:sz w:val="24"/>
                <w:szCs w:val="24"/>
              </w:rPr>
            </w:pPr>
            <w:r>
              <w:rPr>
                <w:rFonts w:ascii="Times New Roman" w:hAnsi="Times New Roman" w:eastAsia="宋体"/>
                <w:color w:val="auto"/>
                <w:sz w:val="24"/>
                <w:szCs w:val="24"/>
              </w:rPr>
              <w:t>根据噪声衰减，声源传到距离r观测点的噪声级为：</w:t>
            </w:r>
          </w:p>
          <w:p>
            <w:pPr>
              <w:pStyle w:val="3"/>
              <w:spacing w:before="170"/>
              <w:ind w:right="116"/>
              <w:jc w:val="center"/>
              <w:rPr>
                <w:rFonts w:ascii="Times New Roman" w:hAnsi="Times New Roman" w:eastAsia="宋体"/>
                <w:color w:val="auto"/>
                <w:sz w:val="24"/>
                <w:szCs w:val="24"/>
              </w:rPr>
            </w:pPr>
            <w:r>
              <w:rPr>
                <w:rFonts w:ascii="Times New Roman" w:hAnsi="Times New Roman" w:eastAsia="宋体"/>
                <w:color w:val="auto"/>
                <w:sz w:val="24"/>
                <w:szCs w:val="24"/>
              </w:rPr>
              <w:t>L(r)=L(r0)-20lg(r/r0)</w:t>
            </w:r>
          </w:p>
          <w:p>
            <w:pPr>
              <w:spacing w:before="94"/>
              <w:ind w:left="647"/>
              <w:rPr>
                <w:rFonts w:ascii="Times New Roman" w:hAnsi="Times New Roman"/>
                <w:color w:val="auto"/>
                <w:sz w:val="24"/>
              </w:rPr>
            </w:pPr>
            <w:r>
              <w:rPr>
                <w:rFonts w:ascii="Times New Roman" w:hAnsi="Times New Roman"/>
                <w:color w:val="auto"/>
                <w:sz w:val="24"/>
              </w:rPr>
              <w:t>式中：L(r0)——声源r0处声级；</w:t>
            </w:r>
          </w:p>
          <w:p>
            <w:pPr>
              <w:spacing w:before="131" w:line="348" w:lineRule="auto"/>
              <w:ind w:left="647" w:right="34" w:firstLine="772"/>
              <w:rPr>
                <w:rFonts w:ascii="Times New Roman" w:hAnsi="Times New Roman"/>
                <w:color w:val="auto"/>
                <w:sz w:val="24"/>
              </w:rPr>
            </w:pPr>
            <w:r>
              <w:rPr>
                <w:rFonts w:ascii="Times New Roman" w:hAnsi="Times New Roman"/>
                <w:color w:val="auto"/>
                <w:sz w:val="24"/>
              </w:rPr>
              <w:t>r——噪声源到观测点的距离。</w:t>
            </w:r>
          </w:p>
          <w:p>
            <w:pPr>
              <w:spacing w:line="360" w:lineRule="auto"/>
              <w:ind w:firstLine="480" w:firstLineChars="200"/>
              <w:rPr>
                <w:rFonts w:ascii="Times New Roman" w:hAnsi="Times New Roman"/>
                <w:color w:val="auto"/>
                <w:sz w:val="24"/>
              </w:rPr>
            </w:pPr>
            <w:r>
              <w:rPr>
                <w:rFonts w:ascii="Times New Roman" w:hAnsi="Times New Roman"/>
                <w:color w:val="auto"/>
                <w:sz w:val="24"/>
              </w:rPr>
              <w:t>通过上式预测各施工阶段及要主施工机械噪声结果见表7-4。</w:t>
            </w:r>
          </w:p>
          <w:p>
            <w:pPr>
              <w:tabs>
                <w:tab w:val="left" w:pos="3828"/>
              </w:tabs>
              <w:spacing w:before="22"/>
              <w:ind w:left="3144"/>
              <w:rPr>
                <w:rFonts w:ascii="Times New Roman" w:hAnsi="Times New Roman" w:eastAsia="黑体"/>
                <w:b/>
                <w:color w:val="auto"/>
                <w:sz w:val="24"/>
              </w:rPr>
            </w:pPr>
            <w:r>
              <w:rPr>
                <w:rFonts w:ascii="Times New Roman" w:hAnsi="Times New Roman" w:eastAsia="黑体"/>
                <w:b/>
                <w:color w:val="auto"/>
                <w:sz w:val="24"/>
              </w:rPr>
              <w:t>表</w:t>
            </w:r>
            <w:r>
              <w:rPr>
                <w:rFonts w:ascii="Times New Roman" w:hAnsi="Times New Roman"/>
                <w:b/>
                <w:color w:val="auto"/>
                <w:sz w:val="24"/>
              </w:rPr>
              <w:t xml:space="preserve">7-4  </w:t>
            </w:r>
            <w:r>
              <w:rPr>
                <w:rFonts w:ascii="Times New Roman" w:hAnsi="Times New Roman" w:eastAsia="Times New Roman"/>
                <w:b/>
                <w:color w:val="auto"/>
                <w:sz w:val="24"/>
              </w:rPr>
              <w:tab/>
            </w:r>
            <w:r>
              <w:rPr>
                <w:rFonts w:ascii="Times New Roman" w:hAnsi="Times New Roman" w:eastAsia="黑体"/>
                <w:b/>
                <w:color w:val="auto"/>
                <w:spacing w:val="-2"/>
                <w:sz w:val="24"/>
              </w:rPr>
              <w:t>施工机械噪声随距离衰减情况</w:t>
            </w:r>
          </w:p>
          <w:tbl>
            <w:tblPr>
              <w:tblStyle w:val="26"/>
              <w:tblW w:w="8672" w:type="dxa"/>
              <w:tblInd w:w="97" w:type="dxa"/>
              <w:tblLayout w:type="fixed"/>
              <w:tblCellMar>
                <w:top w:w="0" w:type="dxa"/>
                <w:left w:w="0" w:type="dxa"/>
                <w:bottom w:w="0" w:type="dxa"/>
                <w:right w:w="0" w:type="dxa"/>
              </w:tblCellMar>
            </w:tblPr>
            <w:tblGrid>
              <w:gridCol w:w="1117"/>
              <w:gridCol w:w="1128"/>
              <w:gridCol w:w="1173"/>
              <w:gridCol w:w="749"/>
              <w:gridCol w:w="750"/>
              <w:gridCol w:w="749"/>
              <w:gridCol w:w="749"/>
              <w:gridCol w:w="750"/>
              <w:gridCol w:w="749"/>
              <w:gridCol w:w="758"/>
            </w:tblGrid>
            <w:tr>
              <w:tblPrEx>
                <w:tblCellMar>
                  <w:top w:w="0" w:type="dxa"/>
                  <w:left w:w="0" w:type="dxa"/>
                  <w:bottom w:w="0" w:type="dxa"/>
                  <w:right w:w="0" w:type="dxa"/>
                </w:tblCellMar>
              </w:tblPrEx>
              <w:trPr>
                <w:trHeight w:val="374" w:hRule="exact"/>
              </w:trPr>
              <w:tc>
                <w:tcPr>
                  <w:tcW w:w="1117" w:type="dxa"/>
                  <w:tcBorders>
                    <w:top w:val="single" w:color="000000" w:sz="8" w:space="0"/>
                    <w:left w:val="single" w:color="000000" w:sz="8" w:space="0"/>
                    <w:bottom w:val="single" w:color="000000" w:sz="6" w:space="0"/>
                    <w:right w:val="single" w:color="000000" w:sz="6" w:space="0"/>
                  </w:tcBorders>
                  <w:vAlign w:val="center"/>
                </w:tcPr>
                <w:p>
                  <w:pPr>
                    <w:pStyle w:val="71"/>
                    <w:jc w:val="center"/>
                    <w:rPr>
                      <w:rFonts w:ascii="Times New Roman" w:hAnsi="Times New Roman"/>
                      <w:color w:val="auto"/>
                      <w:sz w:val="21"/>
                      <w:szCs w:val="21"/>
                    </w:rPr>
                  </w:pPr>
                  <w:r>
                    <w:rPr>
                      <w:rFonts w:ascii="Times New Roman" w:hAnsi="Times New Roman"/>
                      <w:color w:val="auto"/>
                      <w:spacing w:val="-1"/>
                      <w:sz w:val="21"/>
                      <w:szCs w:val="21"/>
                    </w:rPr>
                    <w:t>施工阶段</w:t>
                  </w:r>
                </w:p>
              </w:tc>
              <w:tc>
                <w:tcPr>
                  <w:tcW w:w="1128" w:type="dxa"/>
                  <w:tcBorders>
                    <w:top w:val="single" w:color="000000" w:sz="8" w:space="0"/>
                    <w:left w:val="single" w:color="000000" w:sz="6" w:space="0"/>
                    <w:bottom w:val="single" w:color="000000" w:sz="6" w:space="0"/>
                    <w:right w:val="single" w:color="000000" w:sz="6" w:space="0"/>
                  </w:tcBorders>
                  <w:vAlign w:val="center"/>
                </w:tcPr>
                <w:p>
                  <w:pPr>
                    <w:pStyle w:val="71"/>
                    <w:jc w:val="center"/>
                    <w:rPr>
                      <w:rFonts w:ascii="Times New Roman" w:hAnsi="Times New Roman"/>
                      <w:color w:val="auto"/>
                      <w:sz w:val="21"/>
                      <w:szCs w:val="21"/>
                    </w:rPr>
                  </w:pPr>
                  <w:r>
                    <w:rPr>
                      <w:rFonts w:ascii="Times New Roman" w:hAnsi="Times New Roman"/>
                      <w:color w:val="auto"/>
                      <w:sz w:val="21"/>
                      <w:szCs w:val="21"/>
                    </w:rPr>
                    <w:t>噪声源</w:t>
                  </w:r>
                </w:p>
              </w:tc>
              <w:tc>
                <w:tcPr>
                  <w:tcW w:w="1173" w:type="dxa"/>
                  <w:tcBorders>
                    <w:top w:val="single" w:color="000000" w:sz="8" w:space="0"/>
                    <w:left w:val="single" w:color="000000" w:sz="6" w:space="0"/>
                    <w:bottom w:val="single" w:color="000000" w:sz="6" w:space="0"/>
                    <w:right w:val="single" w:color="000000" w:sz="6" w:space="0"/>
                  </w:tcBorders>
                  <w:vAlign w:val="center"/>
                </w:tcPr>
                <w:p>
                  <w:pPr>
                    <w:pStyle w:val="71"/>
                    <w:jc w:val="center"/>
                    <w:rPr>
                      <w:rFonts w:ascii="Times New Roman" w:hAnsi="Times New Roman"/>
                      <w:color w:val="auto"/>
                      <w:sz w:val="21"/>
                      <w:szCs w:val="21"/>
                    </w:rPr>
                  </w:pPr>
                  <w:r>
                    <w:rPr>
                      <w:rFonts w:ascii="Times New Roman" w:hAnsi="Times New Roman"/>
                      <w:color w:val="auto"/>
                      <w:spacing w:val="-1"/>
                      <w:sz w:val="21"/>
                      <w:szCs w:val="21"/>
                    </w:rPr>
                    <w:t>距离（</w:t>
                  </w:r>
                  <w:r>
                    <w:rPr>
                      <w:rFonts w:ascii="Times New Roman" w:hAnsi="Times New Roman" w:eastAsia="Times New Roman"/>
                      <w:color w:val="auto"/>
                      <w:spacing w:val="-1"/>
                      <w:sz w:val="21"/>
                      <w:szCs w:val="21"/>
                    </w:rPr>
                    <w:t>m</w:t>
                  </w:r>
                  <w:r>
                    <w:rPr>
                      <w:rFonts w:ascii="Times New Roman" w:hAnsi="Times New Roman"/>
                      <w:color w:val="auto"/>
                      <w:spacing w:val="-1"/>
                      <w:sz w:val="21"/>
                      <w:szCs w:val="21"/>
                    </w:rPr>
                    <w:t>）</w:t>
                  </w:r>
                </w:p>
              </w:tc>
              <w:tc>
                <w:tcPr>
                  <w:tcW w:w="749" w:type="dxa"/>
                  <w:tcBorders>
                    <w:top w:val="single" w:color="000000" w:sz="8"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rPr>
                  </w:pPr>
                  <w:r>
                    <w:rPr>
                      <w:rFonts w:ascii="Times New Roman" w:hAnsi="Times New Roman"/>
                      <w:color w:val="auto"/>
                      <w:sz w:val="21"/>
                    </w:rPr>
                    <w:t>5</w:t>
                  </w:r>
                </w:p>
              </w:tc>
              <w:tc>
                <w:tcPr>
                  <w:tcW w:w="750" w:type="dxa"/>
                  <w:tcBorders>
                    <w:top w:val="single" w:color="000000" w:sz="8"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rPr>
                  </w:pPr>
                  <w:r>
                    <w:rPr>
                      <w:rFonts w:ascii="Times New Roman" w:hAnsi="Times New Roman"/>
                      <w:color w:val="auto"/>
                      <w:sz w:val="21"/>
                    </w:rPr>
                    <w:t>10</w:t>
                  </w:r>
                </w:p>
              </w:tc>
              <w:tc>
                <w:tcPr>
                  <w:tcW w:w="749" w:type="dxa"/>
                  <w:tcBorders>
                    <w:top w:val="single" w:color="000000" w:sz="8"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rPr>
                  </w:pPr>
                  <w:r>
                    <w:rPr>
                      <w:rFonts w:ascii="Times New Roman" w:hAnsi="Times New Roman"/>
                      <w:color w:val="auto"/>
                      <w:sz w:val="21"/>
                    </w:rPr>
                    <w:t>20</w:t>
                  </w:r>
                </w:p>
              </w:tc>
              <w:tc>
                <w:tcPr>
                  <w:tcW w:w="749" w:type="dxa"/>
                  <w:tcBorders>
                    <w:top w:val="single" w:color="000000" w:sz="8"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rPr>
                  </w:pPr>
                  <w:r>
                    <w:rPr>
                      <w:rFonts w:ascii="Times New Roman" w:hAnsi="Times New Roman"/>
                      <w:color w:val="auto"/>
                      <w:sz w:val="21"/>
                    </w:rPr>
                    <w:t>30</w:t>
                  </w:r>
                </w:p>
              </w:tc>
              <w:tc>
                <w:tcPr>
                  <w:tcW w:w="750" w:type="dxa"/>
                  <w:tcBorders>
                    <w:top w:val="single" w:color="000000" w:sz="8"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rPr>
                  </w:pPr>
                  <w:r>
                    <w:rPr>
                      <w:rFonts w:ascii="Times New Roman" w:hAnsi="Times New Roman"/>
                      <w:color w:val="auto"/>
                      <w:sz w:val="21"/>
                    </w:rPr>
                    <w:t>50</w:t>
                  </w:r>
                </w:p>
              </w:tc>
              <w:tc>
                <w:tcPr>
                  <w:tcW w:w="749" w:type="dxa"/>
                  <w:tcBorders>
                    <w:top w:val="single" w:color="000000" w:sz="8"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rPr>
                  </w:pPr>
                  <w:r>
                    <w:rPr>
                      <w:rFonts w:ascii="Times New Roman" w:hAnsi="Times New Roman"/>
                      <w:color w:val="auto"/>
                      <w:sz w:val="21"/>
                    </w:rPr>
                    <w:t>80</w:t>
                  </w:r>
                </w:p>
              </w:tc>
              <w:tc>
                <w:tcPr>
                  <w:tcW w:w="758" w:type="dxa"/>
                  <w:tcBorders>
                    <w:top w:val="single" w:color="000000" w:sz="8" w:space="0"/>
                    <w:left w:val="single" w:color="000000" w:sz="6" w:space="0"/>
                    <w:bottom w:val="single" w:color="000000" w:sz="6" w:space="0"/>
                    <w:right w:val="single" w:color="000000" w:sz="8" w:space="0"/>
                  </w:tcBorders>
                  <w:vAlign w:val="center"/>
                </w:tcPr>
                <w:p>
                  <w:pPr>
                    <w:pStyle w:val="71"/>
                    <w:jc w:val="center"/>
                    <w:rPr>
                      <w:rFonts w:ascii="Times New Roman" w:hAnsi="Times New Roman" w:eastAsia="Times New Roman"/>
                      <w:color w:val="auto"/>
                      <w:sz w:val="21"/>
                      <w:szCs w:val="21"/>
                    </w:rPr>
                  </w:pPr>
                  <w:r>
                    <w:rPr>
                      <w:rFonts w:ascii="Times New Roman" w:hAnsi="Times New Roman"/>
                      <w:color w:val="auto"/>
                      <w:sz w:val="21"/>
                    </w:rPr>
                    <w:t>100</w:t>
                  </w:r>
                </w:p>
              </w:tc>
            </w:tr>
            <w:tr>
              <w:tblPrEx>
                <w:tblCellMar>
                  <w:top w:w="0" w:type="dxa"/>
                  <w:left w:w="0" w:type="dxa"/>
                  <w:bottom w:w="0" w:type="dxa"/>
                  <w:right w:w="0" w:type="dxa"/>
                </w:tblCellMar>
              </w:tblPrEx>
              <w:trPr>
                <w:trHeight w:val="454" w:hRule="exact"/>
              </w:trPr>
              <w:tc>
                <w:tcPr>
                  <w:tcW w:w="1117" w:type="dxa"/>
                  <w:vMerge w:val="restart"/>
                  <w:tcBorders>
                    <w:top w:val="single" w:color="000000" w:sz="6" w:space="0"/>
                    <w:left w:val="single" w:color="000000" w:sz="8" w:space="0"/>
                    <w:bottom w:val="single" w:color="000000" w:sz="8" w:space="0"/>
                    <w:right w:val="single" w:color="000000" w:sz="6" w:space="0"/>
                  </w:tcBorders>
                  <w:vAlign w:val="center"/>
                </w:tcPr>
                <w:p>
                  <w:pPr>
                    <w:pStyle w:val="71"/>
                    <w:jc w:val="center"/>
                    <w:rPr>
                      <w:rFonts w:ascii="Times New Roman" w:hAnsi="Times New Roman"/>
                      <w:color w:val="auto"/>
                      <w:sz w:val="21"/>
                      <w:szCs w:val="21"/>
                    </w:rPr>
                  </w:pPr>
                  <w:r>
                    <w:rPr>
                      <w:rFonts w:ascii="Times New Roman" w:hAnsi="Times New Roman"/>
                      <w:color w:val="auto"/>
                      <w:sz w:val="21"/>
                      <w:szCs w:val="21"/>
                    </w:rPr>
                    <w:t>开挖</w:t>
                  </w:r>
                </w:p>
              </w:tc>
              <w:tc>
                <w:tcPr>
                  <w:tcW w:w="1128"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color w:val="auto"/>
                      <w:sz w:val="21"/>
                      <w:szCs w:val="21"/>
                    </w:rPr>
                  </w:pPr>
                  <w:r>
                    <w:rPr>
                      <w:rFonts w:ascii="Times New Roman" w:hAnsi="Times New Roman"/>
                      <w:color w:val="auto"/>
                      <w:sz w:val="21"/>
                      <w:szCs w:val="21"/>
                    </w:rPr>
                    <w:t>装载机</w:t>
                  </w:r>
                </w:p>
              </w:tc>
              <w:tc>
                <w:tcPr>
                  <w:tcW w:w="1173" w:type="dxa"/>
                  <w:vMerge w:val="restart"/>
                  <w:tcBorders>
                    <w:top w:val="single" w:color="000000" w:sz="6" w:space="0"/>
                    <w:left w:val="single" w:color="000000" w:sz="6" w:space="0"/>
                    <w:bottom w:val="single" w:color="000000" w:sz="8" w:space="0"/>
                    <w:right w:val="single" w:color="000000" w:sz="6" w:space="0"/>
                  </w:tcBorders>
                  <w:vAlign w:val="center"/>
                </w:tcPr>
                <w:p>
                  <w:pPr>
                    <w:pStyle w:val="71"/>
                    <w:jc w:val="center"/>
                    <w:rPr>
                      <w:rFonts w:ascii="Times New Roman" w:hAnsi="Times New Roman"/>
                      <w:color w:val="auto"/>
                      <w:sz w:val="21"/>
                      <w:szCs w:val="21"/>
                      <w:lang w:eastAsia="zh-CN"/>
                    </w:rPr>
                  </w:pPr>
                  <w:r>
                    <w:rPr>
                      <w:rFonts w:ascii="Times New Roman" w:hAnsi="Times New Roman"/>
                      <w:color w:val="auto"/>
                      <w:spacing w:val="-1"/>
                      <w:sz w:val="21"/>
                      <w:szCs w:val="21"/>
                      <w:lang w:eastAsia="zh-CN"/>
                    </w:rPr>
                    <w:t>噪声预测</w:t>
                  </w:r>
                  <w:r>
                    <w:rPr>
                      <w:rFonts w:ascii="Times New Roman" w:hAnsi="Times New Roman"/>
                      <w:color w:val="auto"/>
                      <w:sz w:val="21"/>
                      <w:szCs w:val="21"/>
                      <w:lang w:eastAsia="zh-CN"/>
                    </w:rPr>
                    <w:t>值</w:t>
                  </w:r>
                  <w:r>
                    <w:rPr>
                      <w:rFonts w:ascii="Times New Roman" w:hAnsi="Times New Roman" w:eastAsia="Times New Roman"/>
                      <w:color w:val="auto"/>
                      <w:spacing w:val="-2"/>
                      <w:sz w:val="21"/>
                      <w:szCs w:val="21"/>
                      <w:lang w:eastAsia="zh-CN"/>
                    </w:rPr>
                    <w:t>dB</w:t>
                  </w:r>
                  <w:r>
                    <w:rPr>
                      <w:rFonts w:ascii="Times New Roman" w:hAnsi="Times New Roman"/>
                      <w:color w:val="auto"/>
                      <w:spacing w:val="-2"/>
                      <w:sz w:val="21"/>
                      <w:szCs w:val="21"/>
                      <w:lang w:eastAsia="zh-CN"/>
                    </w:rPr>
                    <w:t>（</w:t>
                  </w:r>
                  <w:r>
                    <w:rPr>
                      <w:rFonts w:ascii="Times New Roman" w:hAnsi="Times New Roman" w:eastAsia="Times New Roman"/>
                      <w:color w:val="auto"/>
                      <w:spacing w:val="-2"/>
                      <w:sz w:val="21"/>
                      <w:szCs w:val="21"/>
                      <w:lang w:eastAsia="zh-CN"/>
                    </w:rPr>
                    <w:t>A</w:t>
                  </w:r>
                  <w:r>
                    <w:rPr>
                      <w:rFonts w:ascii="Times New Roman" w:hAnsi="Times New Roman"/>
                      <w:color w:val="auto"/>
                      <w:spacing w:val="-2"/>
                      <w:sz w:val="21"/>
                      <w:szCs w:val="21"/>
                      <w:lang w:eastAsia="zh-CN"/>
                    </w:rPr>
                    <w:t>）</w:t>
                  </w:r>
                </w:p>
              </w:tc>
              <w:tc>
                <w:tcPr>
                  <w:tcW w:w="749"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90.0</w:t>
                  </w:r>
                </w:p>
              </w:tc>
              <w:tc>
                <w:tcPr>
                  <w:tcW w:w="750"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84</w:t>
                  </w:r>
                </w:p>
              </w:tc>
              <w:tc>
                <w:tcPr>
                  <w:tcW w:w="749"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78.0</w:t>
                  </w:r>
                </w:p>
              </w:tc>
              <w:tc>
                <w:tcPr>
                  <w:tcW w:w="749"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74.4</w:t>
                  </w:r>
                </w:p>
              </w:tc>
              <w:tc>
                <w:tcPr>
                  <w:tcW w:w="750"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70.0</w:t>
                  </w:r>
                </w:p>
              </w:tc>
              <w:tc>
                <w:tcPr>
                  <w:tcW w:w="749"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65.9</w:t>
                  </w:r>
                </w:p>
              </w:tc>
              <w:tc>
                <w:tcPr>
                  <w:tcW w:w="758" w:type="dxa"/>
                  <w:tcBorders>
                    <w:top w:val="single" w:color="000000" w:sz="6" w:space="0"/>
                    <w:left w:val="single" w:color="000000" w:sz="6" w:space="0"/>
                    <w:bottom w:val="single" w:color="000000" w:sz="6" w:space="0"/>
                    <w:right w:val="single" w:color="000000" w:sz="8"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64.0</w:t>
                  </w:r>
                </w:p>
              </w:tc>
            </w:tr>
            <w:tr>
              <w:tblPrEx>
                <w:tblCellMar>
                  <w:top w:w="0" w:type="dxa"/>
                  <w:left w:w="0" w:type="dxa"/>
                  <w:bottom w:w="0" w:type="dxa"/>
                  <w:right w:w="0" w:type="dxa"/>
                </w:tblCellMar>
              </w:tblPrEx>
              <w:trPr>
                <w:trHeight w:val="454" w:hRule="exact"/>
              </w:trPr>
              <w:tc>
                <w:tcPr>
                  <w:tcW w:w="1117" w:type="dxa"/>
                  <w:vMerge w:val="continue"/>
                  <w:tcBorders>
                    <w:top w:val="single" w:color="000000" w:sz="6" w:space="0"/>
                    <w:left w:val="single" w:color="000000" w:sz="8" w:space="0"/>
                    <w:bottom w:val="single" w:color="000000" w:sz="8" w:space="0"/>
                    <w:right w:val="single" w:color="000000" w:sz="6" w:space="0"/>
                  </w:tcBorders>
                  <w:vAlign w:val="center"/>
                </w:tcPr>
                <w:p>
                  <w:pPr>
                    <w:widowControl/>
                    <w:jc w:val="center"/>
                    <w:rPr>
                      <w:rFonts w:ascii="Times New Roman" w:hAnsi="Times New Roman"/>
                      <w:color w:val="auto"/>
                      <w:szCs w:val="21"/>
                    </w:rPr>
                  </w:pPr>
                </w:p>
              </w:tc>
              <w:tc>
                <w:tcPr>
                  <w:tcW w:w="1128"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color w:val="auto"/>
                      <w:sz w:val="21"/>
                      <w:szCs w:val="21"/>
                      <w:lang w:eastAsia="zh-CN"/>
                    </w:rPr>
                  </w:pPr>
                  <w:r>
                    <w:rPr>
                      <w:rFonts w:ascii="Times New Roman" w:hAnsi="Times New Roman"/>
                      <w:color w:val="auto"/>
                      <w:sz w:val="21"/>
                      <w:szCs w:val="21"/>
                      <w:lang w:eastAsia="zh-CN"/>
                    </w:rPr>
                    <w:t>推土机</w:t>
                  </w:r>
                </w:p>
              </w:tc>
              <w:tc>
                <w:tcPr>
                  <w:tcW w:w="1173" w:type="dxa"/>
                  <w:vMerge w:val="continue"/>
                  <w:tcBorders>
                    <w:top w:val="single" w:color="000000" w:sz="6" w:space="0"/>
                    <w:left w:val="single" w:color="000000" w:sz="6" w:space="0"/>
                    <w:bottom w:val="single" w:color="000000" w:sz="8" w:space="0"/>
                    <w:right w:val="single" w:color="000000" w:sz="6" w:space="0"/>
                  </w:tcBorders>
                  <w:vAlign w:val="center"/>
                </w:tcPr>
                <w:p>
                  <w:pPr>
                    <w:widowControl/>
                    <w:jc w:val="center"/>
                    <w:rPr>
                      <w:rFonts w:ascii="Times New Roman" w:hAnsi="Times New Roman"/>
                      <w:color w:val="auto"/>
                      <w:szCs w:val="21"/>
                    </w:rPr>
                  </w:pPr>
                </w:p>
              </w:tc>
              <w:tc>
                <w:tcPr>
                  <w:tcW w:w="749"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86.0</w:t>
                  </w:r>
                </w:p>
              </w:tc>
              <w:tc>
                <w:tcPr>
                  <w:tcW w:w="750"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80.1</w:t>
                  </w:r>
                </w:p>
              </w:tc>
              <w:tc>
                <w:tcPr>
                  <w:tcW w:w="749"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74.0</w:t>
                  </w:r>
                </w:p>
              </w:tc>
              <w:tc>
                <w:tcPr>
                  <w:tcW w:w="749"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70.4</w:t>
                  </w:r>
                </w:p>
              </w:tc>
              <w:tc>
                <w:tcPr>
                  <w:tcW w:w="750"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66.0</w:t>
                  </w:r>
                </w:p>
              </w:tc>
              <w:tc>
                <w:tcPr>
                  <w:tcW w:w="749" w:type="dxa"/>
                  <w:tcBorders>
                    <w:top w:val="single" w:color="000000" w:sz="6" w:space="0"/>
                    <w:left w:val="single" w:color="000000" w:sz="6" w:space="0"/>
                    <w:bottom w:val="single" w:color="000000" w:sz="6"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61.9</w:t>
                  </w:r>
                </w:p>
              </w:tc>
              <w:tc>
                <w:tcPr>
                  <w:tcW w:w="758" w:type="dxa"/>
                  <w:tcBorders>
                    <w:top w:val="single" w:color="000000" w:sz="6" w:space="0"/>
                    <w:left w:val="single" w:color="000000" w:sz="6" w:space="0"/>
                    <w:bottom w:val="single" w:color="000000" w:sz="6" w:space="0"/>
                    <w:right w:val="single" w:color="000000" w:sz="8"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60.0</w:t>
                  </w:r>
                </w:p>
              </w:tc>
            </w:tr>
            <w:tr>
              <w:tblPrEx>
                <w:tblCellMar>
                  <w:top w:w="0" w:type="dxa"/>
                  <w:left w:w="0" w:type="dxa"/>
                  <w:bottom w:w="0" w:type="dxa"/>
                  <w:right w:w="0" w:type="dxa"/>
                </w:tblCellMar>
              </w:tblPrEx>
              <w:trPr>
                <w:trHeight w:val="461" w:hRule="exact"/>
              </w:trPr>
              <w:tc>
                <w:tcPr>
                  <w:tcW w:w="1117" w:type="dxa"/>
                  <w:vMerge w:val="continue"/>
                  <w:tcBorders>
                    <w:top w:val="single" w:color="000000" w:sz="6" w:space="0"/>
                    <w:left w:val="single" w:color="000000" w:sz="8" w:space="0"/>
                    <w:bottom w:val="single" w:color="000000" w:sz="8" w:space="0"/>
                    <w:right w:val="single" w:color="000000" w:sz="6" w:space="0"/>
                  </w:tcBorders>
                  <w:vAlign w:val="center"/>
                </w:tcPr>
                <w:p>
                  <w:pPr>
                    <w:widowControl/>
                    <w:jc w:val="center"/>
                    <w:rPr>
                      <w:rFonts w:ascii="Times New Roman" w:hAnsi="Times New Roman"/>
                      <w:color w:val="auto"/>
                      <w:szCs w:val="21"/>
                    </w:rPr>
                  </w:pPr>
                </w:p>
              </w:tc>
              <w:tc>
                <w:tcPr>
                  <w:tcW w:w="1128" w:type="dxa"/>
                  <w:tcBorders>
                    <w:top w:val="single" w:color="000000" w:sz="6" w:space="0"/>
                    <w:left w:val="single" w:color="000000" w:sz="6" w:space="0"/>
                    <w:bottom w:val="single" w:color="000000" w:sz="8" w:space="0"/>
                    <w:right w:val="single" w:color="000000" w:sz="6" w:space="0"/>
                  </w:tcBorders>
                  <w:vAlign w:val="center"/>
                </w:tcPr>
                <w:p>
                  <w:pPr>
                    <w:pStyle w:val="71"/>
                    <w:jc w:val="center"/>
                    <w:rPr>
                      <w:rFonts w:ascii="Times New Roman" w:hAnsi="Times New Roman"/>
                      <w:color w:val="auto"/>
                      <w:sz w:val="21"/>
                      <w:szCs w:val="21"/>
                      <w:lang w:eastAsia="zh-CN"/>
                    </w:rPr>
                  </w:pPr>
                  <w:r>
                    <w:rPr>
                      <w:rFonts w:ascii="Times New Roman" w:hAnsi="Times New Roman"/>
                      <w:color w:val="auto"/>
                      <w:sz w:val="21"/>
                      <w:szCs w:val="21"/>
                      <w:lang w:eastAsia="zh-CN"/>
                    </w:rPr>
                    <w:t>挖掘机</w:t>
                  </w:r>
                </w:p>
              </w:tc>
              <w:tc>
                <w:tcPr>
                  <w:tcW w:w="1173" w:type="dxa"/>
                  <w:vMerge w:val="continue"/>
                  <w:tcBorders>
                    <w:top w:val="single" w:color="000000" w:sz="6" w:space="0"/>
                    <w:left w:val="single" w:color="000000" w:sz="6" w:space="0"/>
                    <w:bottom w:val="single" w:color="000000" w:sz="8" w:space="0"/>
                    <w:right w:val="single" w:color="000000" w:sz="6" w:space="0"/>
                  </w:tcBorders>
                  <w:vAlign w:val="center"/>
                </w:tcPr>
                <w:p>
                  <w:pPr>
                    <w:widowControl/>
                    <w:jc w:val="center"/>
                    <w:rPr>
                      <w:rFonts w:ascii="Times New Roman" w:hAnsi="Times New Roman"/>
                      <w:color w:val="auto"/>
                      <w:szCs w:val="21"/>
                    </w:rPr>
                  </w:pPr>
                </w:p>
              </w:tc>
              <w:tc>
                <w:tcPr>
                  <w:tcW w:w="749" w:type="dxa"/>
                  <w:tcBorders>
                    <w:top w:val="single" w:color="000000" w:sz="6" w:space="0"/>
                    <w:left w:val="single" w:color="000000" w:sz="6" w:space="0"/>
                    <w:bottom w:val="single" w:color="000000" w:sz="8"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84.0</w:t>
                  </w:r>
                </w:p>
              </w:tc>
              <w:tc>
                <w:tcPr>
                  <w:tcW w:w="750" w:type="dxa"/>
                  <w:tcBorders>
                    <w:top w:val="single" w:color="000000" w:sz="6" w:space="0"/>
                    <w:left w:val="single" w:color="000000" w:sz="6" w:space="0"/>
                    <w:bottom w:val="single" w:color="000000" w:sz="8"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78.0</w:t>
                  </w:r>
                </w:p>
              </w:tc>
              <w:tc>
                <w:tcPr>
                  <w:tcW w:w="749" w:type="dxa"/>
                  <w:tcBorders>
                    <w:top w:val="single" w:color="000000" w:sz="6" w:space="0"/>
                    <w:left w:val="single" w:color="000000" w:sz="6" w:space="0"/>
                    <w:bottom w:val="single" w:color="000000" w:sz="8"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72.0</w:t>
                  </w:r>
                </w:p>
              </w:tc>
              <w:tc>
                <w:tcPr>
                  <w:tcW w:w="749" w:type="dxa"/>
                  <w:tcBorders>
                    <w:top w:val="single" w:color="000000" w:sz="6" w:space="0"/>
                    <w:left w:val="single" w:color="000000" w:sz="6" w:space="0"/>
                    <w:bottom w:val="single" w:color="000000" w:sz="8"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68.4</w:t>
                  </w:r>
                </w:p>
              </w:tc>
              <w:tc>
                <w:tcPr>
                  <w:tcW w:w="750" w:type="dxa"/>
                  <w:tcBorders>
                    <w:top w:val="single" w:color="000000" w:sz="6" w:space="0"/>
                    <w:left w:val="single" w:color="000000" w:sz="6" w:space="0"/>
                    <w:bottom w:val="single" w:color="000000" w:sz="8"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64.0</w:t>
                  </w:r>
                </w:p>
              </w:tc>
              <w:tc>
                <w:tcPr>
                  <w:tcW w:w="749" w:type="dxa"/>
                  <w:tcBorders>
                    <w:top w:val="single" w:color="000000" w:sz="6" w:space="0"/>
                    <w:left w:val="single" w:color="000000" w:sz="6" w:space="0"/>
                    <w:bottom w:val="single" w:color="000000" w:sz="8" w:space="0"/>
                    <w:right w:val="single" w:color="000000" w:sz="6"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59.9</w:t>
                  </w:r>
                </w:p>
              </w:tc>
              <w:tc>
                <w:tcPr>
                  <w:tcW w:w="758" w:type="dxa"/>
                  <w:tcBorders>
                    <w:top w:val="single" w:color="000000" w:sz="6" w:space="0"/>
                    <w:left w:val="single" w:color="000000" w:sz="6" w:space="0"/>
                    <w:bottom w:val="single" w:color="000000" w:sz="8" w:space="0"/>
                    <w:right w:val="single" w:color="000000" w:sz="8" w:space="0"/>
                  </w:tcBorders>
                  <w:vAlign w:val="center"/>
                </w:tcPr>
                <w:p>
                  <w:pPr>
                    <w:pStyle w:val="71"/>
                    <w:jc w:val="center"/>
                    <w:rPr>
                      <w:rFonts w:ascii="Times New Roman" w:hAnsi="Times New Roman" w:eastAsia="Times New Roman"/>
                      <w:color w:val="auto"/>
                      <w:sz w:val="21"/>
                      <w:szCs w:val="21"/>
                      <w:lang w:eastAsia="zh-CN"/>
                    </w:rPr>
                  </w:pPr>
                  <w:r>
                    <w:rPr>
                      <w:rFonts w:ascii="Times New Roman" w:hAnsi="Times New Roman"/>
                      <w:color w:val="auto"/>
                      <w:sz w:val="21"/>
                      <w:lang w:eastAsia="zh-CN"/>
                    </w:rPr>
                    <w:t>58.9.9</w:t>
                  </w:r>
                </w:p>
              </w:tc>
            </w:tr>
          </w:tbl>
          <w:p>
            <w:pPr>
              <w:pStyle w:val="3"/>
              <w:spacing w:before="29" w:line="340" w:lineRule="auto"/>
              <w:ind w:firstLine="540"/>
              <w:rPr>
                <w:rFonts w:ascii="Times New Roman" w:hAnsi="Times New Roman" w:eastAsia="宋体"/>
                <w:color w:val="auto"/>
                <w:sz w:val="24"/>
                <w:szCs w:val="24"/>
              </w:rPr>
            </w:pPr>
            <w:r>
              <w:rPr>
                <w:rFonts w:ascii="Times New Roman" w:hAnsi="Times New Roman" w:eastAsia="宋体"/>
                <w:color w:val="auto"/>
                <w:sz w:val="24"/>
                <w:szCs w:val="24"/>
              </w:rPr>
              <w:t>由上表可知，项目施工期各施工机械所产生的噪声值在50m处约为62～70dB(A)，满足《建筑施工场界环境噪声排放标准》（GB12523-2011）中昼间噪声限值要求。施工噪声对施工场地附近50m范围内产生较大影响。项目夜间不施工，不会对周围声环境产生影响。</w:t>
            </w:r>
          </w:p>
          <w:p>
            <w:pPr>
              <w:pStyle w:val="2"/>
              <w:spacing w:line="360" w:lineRule="auto"/>
              <w:ind w:firstLine="512" w:firstLineChars="200"/>
              <w:rPr>
                <w:rFonts w:ascii="Times New Roman" w:hAnsi="Times New Roman" w:eastAsia="宋体"/>
                <w:color w:val="auto"/>
              </w:rPr>
            </w:pPr>
            <w:r>
              <w:rPr>
                <w:rFonts w:ascii="Times New Roman" w:hAnsi="Times New Roman" w:eastAsia="宋体"/>
                <w:color w:val="auto"/>
              </w:rPr>
              <w:t>四、固体废物影响分析</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施工产生的固体废物主要包括施工人员的生活垃圾、施工过程产生的弃土及建筑垃圾等一般固体废物。项目施工过程中挖方大部分用于回填，其余60.72t外运至城管相关部门指定的合法堆放场地。项目施工过程中产生的建筑垃圾约87.6t，全部外运至市政相关部门指定的合法堆放场地。</w:t>
            </w:r>
          </w:p>
          <w:p>
            <w:pPr>
              <w:spacing w:line="360" w:lineRule="auto"/>
              <w:ind w:firstLine="480" w:firstLineChars="200"/>
              <w:rPr>
                <w:rFonts w:ascii="Times New Roman" w:hAnsi="Times New Roman"/>
                <w:color w:val="auto"/>
                <w:sz w:val="24"/>
              </w:rPr>
            </w:pPr>
            <w:r>
              <w:rPr>
                <w:rFonts w:ascii="Times New Roman" w:hAnsi="Times New Roman"/>
                <w:color w:val="auto"/>
                <w:sz w:val="24"/>
              </w:rPr>
              <w:t>施工人员产生的生活垃圾按0.5kg/人.d计算，生活垃圾产生量共计约2.5kg。生活垃圾委托环卫部门日产日清。</w:t>
            </w:r>
          </w:p>
          <w:p>
            <w:pPr>
              <w:pStyle w:val="2"/>
              <w:spacing w:line="360" w:lineRule="auto"/>
              <w:ind w:firstLine="512" w:firstLineChars="200"/>
              <w:rPr>
                <w:rFonts w:ascii="Times New Roman" w:hAnsi="Times New Roman" w:eastAsia="宋体"/>
                <w:color w:val="auto"/>
              </w:rPr>
            </w:pPr>
            <w:r>
              <w:rPr>
                <w:rFonts w:ascii="Times New Roman" w:hAnsi="Times New Roman" w:eastAsia="宋体"/>
                <w:color w:val="auto"/>
              </w:rPr>
              <w:t>五、生态环境影响分析</w:t>
            </w:r>
          </w:p>
          <w:p>
            <w:pPr>
              <w:pStyle w:val="3"/>
              <w:spacing w:before="37"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本项目在现有空地进行建设，施工过程中因工程建设，在降雨时可能会产生一定量的水土流失，主要表现在以下几个方面：</w:t>
            </w:r>
          </w:p>
          <w:p>
            <w:pPr>
              <w:pStyle w:val="3"/>
              <w:spacing w:line="360" w:lineRule="auto"/>
              <w:ind w:firstLine="480" w:firstLineChars="200"/>
              <w:rPr>
                <w:rFonts w:ascii="Times New Roman" w:hAnsi="Times New Roman" w:eastAsia="宋体"/>
                <w:color w:val="auto"/>
                <w:sz w:val="24"/>
                <w:szCs w:val="24"/>
              </w:rPr>
            </w:pPr>
            <w:r>
              <w:rPr>
                <w:rFonts w:hint="eastAsia" w:ascii="宋体" w:hAnsi="宋体" w:eastAsia="宋体" w:cs="宋体"/>
                <w:color w:val="auto"/>
                <w:sz w:val="24"/>
                <w:szCs w:val="24"/>
              </w:rPr>
              <w:t>①</w:t>
            </w:r>
            <w:r>
              <w:rPr>
                <w:rFonts w:ascii="Times New Roman" w:hAnsi="Times New Roman" w:eastAsia="宋体"/>
                <w:color w:val="auto"/>
                <w:sz w:val="24"/>
                <w:szCs w:val="24"/>
              </w:rPr>
              <w:t>地面开挖产生水土流失；</w:t>
            </w:r>
          </w:p>
          <w:p>
            <w:pPr>
              <w:pStyle w:val="3"/>
              <w:spacing w:line="360" w:lineRule="auto"/>
              <w:ind w:firstLine="480" w:firstLineChars="200"/>
              <w:jc w:val="left"/>
              <w:rPr>
                <w:rFonts w:ascii="Times New Roman" w:hAnsi="Times New Roman" w:eastAsia="宋体"/>
                <w:color w:val="auto"/>
                <w:sz w:val="24"/>
                <w:szCs w:val="24"/>
              </w:rPr>
            </w:pPr>
            <w:r>
              <w:rPr>
                <w:rFonts w:hint="eastAsia" w:ascii="宋体" w:hAnsi="宋体" w:eastAsia="宋体" w:cs="宋体"/>
                <w:color w:val="auto"/>
                <w:sz w:val="24"/>
                <w:szCs w:val="24"/>
              </w:rPr>
              <w:t>②</w:t>
            </w:r>
            <w:r>
              <w:rPr>
                <w:rFonts w:ascii="Times New Roman" w:hAnsi="Times New Roman" w:eastAsia="宋体"/>
                <w:color w:val="auto"/>
                <w:sz w:val="24"/>
                <w:szCs w:val="24"/>
              </w:rPr>
              <w:t xml:space="preserve">工程取弃土处置不当产生水土流失； </w:t>
            </w:r>
          </w:p>
          <w:p>
            <w:pPr>
              <w:pStyle w:val="3"/>
              <w:spacing w:line="360" w:lineRule="auto"/>
              <w:ind w:firstLine="480" w:firstLineChars="200"/>
              <w:jc w:val="left"/>
              <w:rPr>
                <w:rFonts w:ascii="Times New Roman" w:hAnsi="Times New Roman" w:eastAsia="宋体"/>
                <w:color w:val="auto"/>
                <w:sz w:val="24"/>
                <w:szCs w:val="24"/>
              </w:rPr>
            </w:pPr>
            <w:r>
              <w:rPr>
                <w:rFonts w:ascii="Times New Roman" w:hAnsi="Times New Roman" w:eastAsia="宋体"/>
                <w:color w:val="auto"/>
                <w:sz w:val="24"/>
                <w:szCs w:val="24"/>
              </w:rPr>
              <w:t>施工期水土流失原因主要是施工期挖土、填土和堆土场地的表土较为疏松，降雨期间很容易使松散的表土随雨水径流流失。施工完毕后，对地面进行恢复、压实，不再造 成水土流失。随着施工期的结束，上述影响也将随之消失。</w:t>
            </w:r>
          </w:p>
          <w:p>
            <w:pPr>
              <w:spacing w:line="360" w:lineRule="auto"/>
              <w:rPr>
                <w:rFonts w:ascii="Times New Roman" w:hAnsi="Times New Roman"/>
                <w:b/>
                <w:color w:val="auto"/>
                <w:sz w:val="24"/>
              </w:rPr>
            </w:pPr>
            <w:r>
              <w:rPr>
                <w:rFonts w:ascii="Times New Roman" w:hAnsi="Times New Roman"/>
                <w:b/>
                <w:color w:val="auto"/>
                <w:sz w:val="24"/>
              </w:rPr>
              <w:t>运营期环境影响分析：</w:t>
            </w:r>
          </w:p>
          <w:p>
            <w:pPr>
              <w:numPr>
                <w:ilvl w:val="0"/>
                <w:numId w:val="2"/>
              </w:numPr>
              <w:spacing w:line="360" w:lineRule="auto"/>
              <w:ind w:firstLine="482" w:firstLineChars="200"/>
              <w:rPr>
                <w:rFonts w:ascii="Times New Roman" w:hAnsi="Times New Roman"/>
                <w:b/>
                <w:color w:val="auto"/>
                <w:sz w:val="24"/>
                <w:highlight w:val="yellow"/>
              </w:rPr>
            </w:pPr>
            <w:r>
              <w:rPr>
                <w:rFonts w:ascii="Times New Roman" w:hAnsi="Times New Roman"/>
                <w:b/>
                <w:color w:val="auto"/>
                <w:sz w:val="24"/>
                <w:highlight w:val="yellow"/>
              </w:rPr>
              <w:t>地表水环境影响分析</w:t>
            </w:r>
          </w:p>
          <w:p>
            <w:pPr>
              <w:adjustRightInd w:val="0"/>
              <w:snapToGrid w:val="0"/>
              <w:spacing w:line="360" w:lineRule="auto"/>
              <w:ind w:firstLine="480" w:firstLineChars="200"/>
              <w:jc w:val="left"/>
              <w:rPr>
                <w:rFonts w:ascii="Times New Roman" w:hAnsi="Times New Roman"/>
                <w:snapToGrid w:val="0"/>
                <w:color w:val="auto"/>
                <w:sz w:val="24"/>
                <w:highlight w:val="yellow"/>
              </w:rPr>
            </w:pPr>
            <w:r>
              <w:rPr>
                <w:rFonts w:ascii="Times New Roman" w:hAnsi="Times New Roman"/>
                <w:snapToGrid w:val="0"/>
                <w:color w:val="auto"/>
                <w:sz w:val="24"/>
                <w:highlight w:val="yellow"/>
              </w:rPr>
              <w:t>项目营运期废水包括地面及设备清洗废水、垃圾渗滤液以及职工生活污水。</w:t>
            </w:r>
          </w:p>
          <w:p>
            <w:pPr>
              <w:pStyle w:val="2"/>
              <w:spacing w:line="360" w:lineRule="auto"/>
              <w:ind w:firstLine="480" w:firstLineChars="200"/>
              <w:jc w:val="left"/>
              <w:rPr>
                <w:rFonts w:ascii="Times New Roman" w:hAnsi="Times New Roman" w:eastAsia="宋体"/>
                <w:snapToGrid w:val="0"/>
                <w:color w:val="auto"/>
                <w:spacing w:val="0"/>
                <w:kern w:val="2"/>
                <w:szCs w:val="24"/>
                <w:highlight w:val="yellow"/>
              </w:rPr>
            </w:pPr>
            <w:r>
              <w:rPr>
                <w:rFonts w:ascii="Times New Roman" w:hAnsi="Times New Roman" w:eastAsia="宋体"/>
                <w:snapToGrid w:val="0"/>
                <w:color w:val="auto"/>
                <w:spacing w:val="0"/>
                <w:kern w:val="2"/>
                <w:szCs w:val="24"/>
                <w:highlight w:val="yellow"/>
              </w:rPr>
              <w:t>地面及设备冲洗水、垃圾渗滤液的主要污染因子为COD、SS、氨氮、石油类等，渗滤液、地面及设备冲洗水暂存在渗滤液暂存池后有密闭的收集容器运至宁县污水处理厂；生活污水成分简单，</w:t>
            </w:r>
            <w:r>
              <w:rPr>
                <w:rFonts w:hint="eastAsia" w:ascii="Times New Roman" w:hAnsi="Times New Roman" w:eastAsia="宋体"/>
                <w:snapToGrid w:val="0"/>
                <w:color w:val="auto"/>
                <w:spacing w:val="0"/>
                <w:kern w:val="2"/>
                <w:szCs w:val="24"/>
                <w:highlight w:val="yellow"/>
              </w:rPr>
              <w:t>经沉淀池沉淀后</w:t>
            </w:r>
            <w:r>
              <w:rPr>
                <w:rFonts w:ascii="Times New Roman" w:hAnsi="Times New Roman" w:eastAsia="宋体"/>
                <w:snapToGrid w:val="0"/>
                <w:color w:val="auto"/>
                <w:spacing w:val="0"/>
                <w:kern w:val="2"/>
                <w:szCs w:val="24"/>
                <w:highlight w:val="yellow"/>
              </w:rPr>
              <w:t>用于厂区泼洒抑尘。</w:t>
            </w:r>
            <w:r>
              <w:rPr>
                <w:rFonts w:hint="eastAsia" w:ascii="Times New Roman" w:hAnsi="Times New Roman" w:eastAsia="宋体"/>
                <w:snapToGrid w:val="0"/>
                <w:color w:val="auto"/>
                <w:spacing w:val="0"/>
                <w:kern w:val="2"/>
                <w:szCs w:val="24"/>
                <w:highlight w:val="yellow"/>
              </w:rPr>
              <w:t>运营期沿用施工期的旱厕。</w:t>
            </w:r>
          </w:p>
          <w:p>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highlight w:val="yellow"/>
              </w:rPr>
              <w:t>厂内设有1座10m</w:t>
            </w:r>
            <w:r>
              <w:rPr>
                <w:rFonts w:ascii="Times New Roman" w:hAnsi="Times New Roman"/>
                <w:snapToGrid w:val="0"/>
                <w:color w:val="auto"/>
                <w:sz w:val="24"/>
                <w:highlight w:val="yellow"/>
                <w:vertAlign w:val="superscript"/>
              </w:rPr>
              <w:t>3</w:t>
            </w:r>
            <w:r>
              <w:rPr>
                <w:rFonts w:ascii="Times New Roman" w:hAnsi="Times New Roman"/>
                <w:snapToGrid w:val="0"/>
                <w:color w:val="auto"/>
                <w:sz w:val="24"/>
                <w:highlight w:val="yellow"/>
              </w:rPr>
              <w:t>渗滤液暂存池，渗滤液暂存池采取防渗措施，避免事故状态下废水溢出下渗，事故状态下，该部分废水在废水池中收集，不外排。</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二、大气环境影响分析</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项目营运期废气主要为垃圾卸料、压缩产生的恶臭气体以及运输车辆产生的汽车尾气。</w:t>
            </w:r>
          </w:p>
          <w:p>
            <w:pPr>
              <w:spacing w:line="360" w:lineRule="auto"/>
              <w:ind w:firstLine="470" w:firstLineChars="196"/>
              <w:textAlignment w:val="baseline"/>
              <w:rPr>
                <w:rFonts w:ascii="Times New Roman" w:hAnsi="Times New Roman"/>
                <w:color w:val="auto"/>
                <w:sz w:val="24"/>
              </w:rPr>
            </w:pPr>
            <w:r>
              <w:rPr>
                <w:rFonts w:ascii="Times New Roman" w:hAnsi="Times New Roman"/>
                <w:color w:val="auto"/>
                <w:sz w:val="24"/>
              </w:rPr>
              <w:t>1、恶臭气体</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生活垃圾中含有各类易发酵的有机物，尤其是在夏季气温较高时，生活垃圾在压装、运输过程中会散发出较难闻的恶臭气体，这些恶臭物质主要包括氨、硫化氢等异味气体。恶臭污染主要是通过人的嗅觉来影响</w:t>
            </w:r>
            <w:r>
              <w:rPr>
                <w:rFonts w:hint="eastAsia" w:ascii="Times New Roman" w:hAnsi="Times New Roman"/>
                <w:color w:val="auto"/>
                <w:sz w:val="24"/>
                <w:lang w:eastAsia="zh-CN"/>
              </w:rPr>
              <w:t>环境</w:t>
            </w:r>
            <w:r>
              <w:rPr>
                <w:rFonts w:ascii="Times New Roman" w:hAnsi="Times New Roman"/>
                <w:color w:val="auto"/>
                <w:sz w:val="24"/>
              </w:rPr>
              <w:t>。根据对国内现有垃圾中转站污染物排放情况调査，中转站的恶臭主要来自于垃圾倾倒和压缩等过程，恶臭中主要污染物为和NH</w:t>
            </w:r>
            <w:r>
              <w:rPr>
                <w:rFonts w:ascii="Times New Roman" w:hAnsi="Times New Roman"/>
                <w:color w:val="auto"/>
                <w:sz w:val="24"/>
                <w:vertAlign w:val="subscript"/>
              </w:rPr>
              <w:t>3</w:t>
            </w:r>
            <w:r>
              <w:rPr>
                <w:rFonts w:ascii="Times New Roman" w:hAnsi="Times New Roman"/>
                <w:color w:val="auto"/>
                <w:sz w:val="24"/>
              </w:rPr>
              <w:t>、H</w:t>
            </w:r>
            <w:r>
              <w:rPr>
                <w:rFonts w:ascii="Times New Roman" w:hAnsi="Times New Roman"/>
                <w:color w:val="auto"/>
                <w:sz w:val="24"/>
                <w:vertAlign w:val="subscript"/>
              </w:rPr>
              <w:t>2</w:t>
            </w:r>
            <w:r>
              <w:rPr>
                <w:rFonts w:ascii="Times New Roman" w:hAnsi="Times New Roman"/>
                <w:color w:val="auto"/>
                <w:sz w:val="24"/>
              </w:rPr>
              <w:t>S及臭气浓度。</w:t>
            </w:r>
          </w:p>
          <w:p>
            <w:pPr>
              <w:spacing w:line="360" w:lineRule="auto"/>
              <w:ind w:firstLine="480" w:firstLineChars="200"/>
              <w:rPr>
                <w:rFonts w:ascii="Times New Roman" w:hAnsi="Times New Roman"/>
                <w:color w:val="auto"/>
                <w:sz w:val="24"/>
              </w:rPr>
            </w:pPr>
            <w:r>
              <w:rPr>
                <w:rFonts w:ascii="Times New Roman" w:hAnsi="Times New Roman"/>
                <w:color w:val="auto"/>
                <w:sz w:val="24"/>
              </w:rPr>
              <w:t>2、汽车尾气</w:t>
            </w:r>
          </w:p>
          <w:p>
            <w:pPr>
              <w:spacing w:line="360" w:lineRule="auto"/>
              <w:ind w:firstLine="480" w:firstLineChars="200"/>
              <w:rPr>
                <w:rFonts w:ascii="Times New Roman" w:hAnsi="Times New Roman"/>
                <w:color w:val="auto"/>
                <w:sz w:val="24"/>
              </w:rPr>
            </w:pPr>
            <w:r>
              <w:rPr>
                <w:rFonts w:ascii="Times New Roman" w:hAnsi="Times New Roman"/>
                <w:color w:val="auto"/>
                <w:sz w:val="24"/>
              </w:rPr>
              <w:t>运输车辆发动机排放的烟气，主要含有氮氧化物、一氧化碳、THC等污染物。一般情况下，这种污染源较分散且有一定的流动性，各种污染物的排放量不打，且为间断排放，对周围环境空质量的影响较小。</w:t>
            </w:r>
          </w:p>
          <w:p>
            <w:pPr>
              <w:spacing w:line="360" w:lineRule="auto"/>
              <w:ind w:firstLine="480" w:firstLineChars="200"/>
              <w:rPr>
                <w:rFonts w:ascii="Times New Roman" w:hAnsi="Times New Roman"/>
                <w:color w:val="auto"/>
                <w:sz w:val="24"/>
              </w:rPr>
            </w:pPr>
            <w:r>
              <w:rPr>
                <w:rFonts w:ascii="Times New Roman" w:hAnsi="Times New Roman"/>
                <w:color w:val="auto"/>
                <w:sz w:val="24"/>
              </w:rPr>
              <w:t>3、大气环境影响评价与预测</w:t>
            </w:r>
          </w:p>
          <w:p>
            <w:pPr>
              <w:spacing w:line="360" w:lineRule="auto"/>
              <w:ind w:firstLine="480" w:firstLineChars="200"/>
              <w:rPr>
                <w:rFonts w:ascii="Times New Roman" w:hAnsi="Times New Roman"/>
                <w:color w:val="auto"/>
                <w:sz w:val="24"/>
              </w:rPr>
            </w:pPr>
            <w:r>
              <w:rPr>
                <w:rFonts w:ascii="Times New Roman" w:hAnsi="Times New Roman"/>
                <w:color w:val="auto"/>
                <w:sz w:val="24"/>
              </w:rPr>
              <w:t>（1）污染物评价标准</w:t>
            </w:r>
          </w:p>
          <w:p>
            <w:pPr>
              <w:adjustRightInd w:val="0"/>
              <w:snapToGrid w:val="0"/>
              <w:jc w:val="center"/>
              <w:rPr>
                <w:rFonts w:ascii="Times New Roman" w:hAnsi="Times New Roman"/>
                <w:b/>
                <w:bCs/>
                <w:color w:val="auto"/>
                <w:kern w:val="0"/>
                <w:sz w:val="24"/>
              </w:rPr>
            </w:pPr>
            <w:r>
              <w:rPr>
                <w:rFonts w:ascii="Times New Roman" w:hAnsi="Times New Roman"/>
                <w:b/>
                <w:bCs/>
                <w:color w:val="auto"/>
                <w:kern w:val="0"/>
                <w:sz w:val="24"/>
              </w:rPr>
              <w:t>表7-5   污染物评价标准</w:t>
            </w:r>
          </w:p>
          <w:tbl>
            <w:tblPr>
              <w:tblStyle w:val="26"/>
              <w:tblW w:w="878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7"/>
              <w:gridCol w:w="1129"/>
              <w:gridCol w:w="1270"/>
              <w:gridCol w:w="1006"/>
              <w:gridCol w:w="45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847" w:type="dxa"/>
                  <w:vAlign w:val="center"/>
                </w:tcPr>
                <w:p>
                  <w:pPr>
                    <w:pStyle w:val="72"/>
                    <w:rPr>
                      <w:rFonts w:ascii="Times New Roman" w:hAnsi="Times New Roman"/>
                      <w:b/>
                      <w:bCs/>
                      <w:color w:val="auto"/>
                    </w:rPr>
                  </w:pPr>
                  <w:r>
                    <w:rPr>
                      <w:rFonts w:ascii="Times New Roman" w:hAnsi="Times New Roman"/>
                      <w:b/>
                      <w:bCs/>
                      <w:color w:val="auto"/>
                    </w:rPr>
                    <w:t>污染物</w:t>
                  </w:r>
                </w:p>
              </w:tc>
              <w:tc>
                <w:tcPr>
                  <w:tcW w:w="1129" w:type="dxa"/>
                  <w:vAlign w:val="center"/>
                </w:tcPr>
                <w:p>
                  <w:pPr>
                    <w:pStyle w:val="72"/>
                    <w:rPr>
                      <w:rFonts w:ascii="Times New Roman" w:hAnsi="Times New Roman"/>
                      <w:b/>
                      <w:bCs/>
                      <w:color w:val="auto"/>
                    </w:rPr>
                  </w:pPr>
                  <w:r>
                    <w:rPr>
                      <w:rFonts w:ascii="Times New Roman" w:hAnsi="Times New Roman"/>
                      <w:b/>
                      <w:bCs/>
                      <w:color w:val="auto"/>
                    </w:rPr>
                    <w:t>功能区</w:t>
                  </w:r>
                </w:p>
              </w:tc>
              <w:tc>
                <w:tcPr>
                  <w:tcW w:w="1270" w:type="dxa"/>
                  <w:vAlign w:val="center"/>
                </w:tcPr>
                <w:p>
                  <w:pPr>
                    <w:pStyle w:val="72"/>
                    <w:rPr>
                      <w:rFonts w:ascii="Times New Roman" w:hAnsi="Times New Roman"/>
                      <w:b/>
                      <w:bCs/>
                      <w:color w:val="auto"/>
                    </w:rPr>
                  </w:pPr>
                  <w:r>
                    <w:rPr>
                      <w:rFonts w:ascii="Times New Roman" w:hAnsi="Times New Roman"/>
                      <w:b/>
                      <w:bCs/>
                      <w:color w:val="auto"/>
                    </w:rPr>
                    <w:t>平均时段</w:t>
                  </w:r>
                </w:p>
              </w:tc>
              <w:tc>
                <w:tcPr>
                  <w:tcW w:w="1006" w:type="dxa"/>
                  <w:vAlign w:val="center"/>
                </w:tcPr>
                <w:p>
                  <w:pPr>
                    <w:pStyle w:val="72"/>
                    <w:rPr>
                      <w:rFonts w:ascii="Times New Roman" w:hAnsi="Times New Roman"/>
                      <w:b/>
                      <w:bCs/>
                      <w:color w:val="auto"/>
                    </w:rPr>
                  </w:pPr>
                  <w:bookmarkStart w:id="16" w:name="OLE_LINK5"/>
                  <w:bookmarkStart w:id="17" w:name="OLE_LINK4"/>
                  <w:r>
                    <w:rPr>
                      <w:rFonts w:ascii="Times New Roman" w:hAnsi="Times New Roman"/>
                      <w:b/>
                      <w:bCs/>
                      <w:color w:val="auto"/>
                    </w:rPr>
                    <w:t>标准值</w:t>
                  </w:r>
                  <w:bookmarkEnd w:id="16"/>
                  <w:bookmarkEnd w:id="17"/>
                  <w:bookmarkStart w:id="18" w:name="OLE_LINK14"/>
                  <w:r>
                    <w:rPr>
                      <w:rFonts w:ascii="Times New Roman" w:hAnsi="Times New Roman"/>
                      <w:b/>
                      <w:bCs/>
                      <w:color w:val="auto"/>
                    </w:rPr>
                    <w:t>(μg/m</w:t>
                  </w:r>
                  <w:r>
                    <w:rPr>
                      <w:rFonts w:ascii="Times New Roman" w:hAnsi="Times New Roman"/>
                      <w:b/>
                      <w:bCs/>
                      <w:color w:val="auto"/>
                      <w:vertAlign w:val="superscript"/>
                    </w:rPr>
                    <w:t>3</w:t>
                  </w:r>
                  <w:r>
                    <w:rPr>
                      <w:rFonts w:ascii="Times New Roman" w:hAnsi="Times New Roman"/>
                      <w:b/>
                      <w:bCs/>
                      <w:color w:val="auto"/>
                    </w:rPr>
                    <w:t>)</w:t>
                  </w:r>
                  <w:bookmarkEnd w:id="18"/>
                </w:p>
              </w:tc>
              <w:tc>
                <w:tcPr>
                  <w:tcW w:w="4535" w:type="dxa"/>
                  <w:vAlign w:val="center"/>
                </w:tcPr>
                <w:p>
                  <w:pPr>
                    <w:pStyle w:val="72"/>
                    <w:rPr>
                      <w:rFonts w:ascii="Times New Roman" w:hAnsi="Times New Roman"/>
                      <w:b/>
                      <w:bCs/>
                      <w:color w:val="auto"/>
                    </w:rPr>
                  </w:pPr>
                  <w:r>
                    <w:rPr>
                      <w:rFonts w:ascii="Times New Roman" w:hAnsi="Times New Roman"/>
                      <w:b/>
                      <w:bCs/>
                      <w:color w:val="auto"/>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847" w:type="dxa"/>
                  <w:vAlign w:val="center"/>
                </w:tcPr>
                <w:p>
                  <w:pPr>
                    <w:pStyle w:val="58"/>
                    <w:textAlignment w:val="baseline"/>
                    <w:rPr>
                      <w:rFonts w:ascii="Times New Roman" w:hAnsi="Times New Roman"/>
                      <w:color w:val="auto"/>
                      <w:sz w:val="21"/>
                    </w:rPr>
                  </w:pPr>
                  <w:r>
                    <w:rPr>
                      <w:rFonts w:ascii="Times New Roman" w:hAnsi="Times New Roman"/>
                      <w:color w:val="auto"/>
                      <w:kern w:val="0"/>
                      <w:sz w:val="21"/>
                      <w:szCs w:val="21"/>
                    </w:rPr>
                    <w:t>氨</w:t>
                  </w:r>
                </w:p>
              </w:tc>
              <w:tc>
                <w:tcPr>
                  <w:tcW w:w="1129" w:type="dxa"/>
                  <w:vAlign w:val="center"/>
                </w:tcPr>
                <w:p>
                  <w:pPr>
                    <w:pStyle w:val="72"/>
                    <w:rPr>
                      <w:rFonts w:ascii="Times New Roman" w:hAnsi="Times New Roman"/>
                      <w:color w:val="auto"/>
                    </w:rPr>
                  </w:pPr>
                  <w:r>
                    <w:rPr>
                      <w:rFonts w:ascii="Times New Roman" w:hAnsi="Times New Roman"/>
                      <w:color w:val="auto"/>
                    </w:rPr>
                    <w:t>二类限区</w:t>
                  </w:r>
                </w:p>
              </w:tc>
              <w:tc>
                <w:tcPr>
                  <w:tcW w:w="1270" w:type="dxa"/>
                  <w:vAlign w:val="center"/>
                </w:tcPr>
                <w:p>
                  <w:pPr>
                    <w:pStyle w:val="58"/>
                    <w:spacing w:before="24" w:after="24"/>
                    <w:textAlignment w:val="baseline"/>
                    <w:rPr>
                      <w:rFonts w:ascii="Times New Roman" w:hAnsi="Times New Roman"/>
                      <w:color w:val="auto"/>
                      <w:sz w:val="21"/>
                    </w:rPr>
                  </w:pPr>
                  <w:r>
                    <w:rPr>
                      <w:rFonts w:ascii="Times New Roman" w:hAnsi="Times New Roman"/>
                      <w:color w:val="auto"/>
                      <w:kern w:val="0"/>
                      <w:sz w:val="21"/>
                      <w:szCs w:val="21"/>
                    </w:rPr>
                    <w:t>小时平均</w:t>
                  </w:r>
                </w:p>
              </w:tc>
              <w:tc>
                <w:tcPr>
                  <w:tcW w:w="1006" w:type="dxa"/>
                  <w:vAlign w:val="center"/>
                </w:tcPr>
                <w:p>
                  <w:pPr>
                    <w:pStyle w:val="58"/>
                    <w:spacing w:before="24" w:after="24"/>
                    <w:textAlignment w:val="baseline"/>
                    <w:rPr>
                      <w:rFonts w:ascii="Times New Roman" w:hAnsi="Times New Roman"/>
                      <w:color w:val="auto"/>
                      <w:sz w:val="21"/>
                    </w:rPr>
                  </w:pPr>
                  <w:r>
                    <w:rPr>
                      <w:rFonts w:ascii="Times New Roman" w:hAnsi="Times New Roman"/>
                      <w:color w:val="auto"/>
                      <w:kern w:val="0"/>
                      <w:sz w:val="21"/>
                      <w:szCs w:val="21"/>
                    </w:rPr>
                    <w:t>200</w:t>
                  </w:r>
                </w:p>
              </w:tc>
              <w:tc>
                <w:tcPr>
                  <w:tcW w:w="4535" w:type="dxa"/>
                  <w:vMerge w:val="restart"/>
                  <w:vAlign w:val="center"/>
                </w:tcPr>
                <w:p>
                  <w:pPr>
                    <w:pStyle w:val="72"/>
                    <w:rPr>
                      <w:rFonts w:ascii="Times New Roman" w:hAnsi="Times New Roman"/>
                      <w:color w:val="auto"/>
                    </w:rPr>
                  </w:pPr>
                  <w:r>
                    <w:rPr>
                      <w:rFonts w:ascii="Times New Roman" w:hAnsi="Times New Roman"/>
                      <w:color w:val="auto"/>
                    </w:rPr>
                    <w:t>《环境影响评价技术导则-大气环境》（HJ 2.2-2018）附录D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847" w:type="dxa"/>
                  <w:vAlign w:val="center"/>
                </w:tcPr>
                <w:p>
                  <w:pPr>
                    <w:pStyle w:val="58"/>
                    <w:textAlignment w:val="baseline"/>
                    <w:rPr>
                      <w:rFonts w:ascii="Times New Roman" w:hAnsi="Times New Roman"/>
                      <w:color w:val="auto"/>
                      <w:sz w:val="21"/>
                    </w:rPr>
                  </w:pPr>
                  <w:r>
                    <w:rPr>
                      <w:rFonts w:ascii="Times New Roman" w:hAnsi="Times New Roman"/>
                      <w:color w:val="auto"/>
                      <w:sz w:val="21"/>
                      <w:szCs w:val="21"/>
                    </w:rPr>
                    <w:t>硫化氢</w:t>
                  </w:r>
                </w:p>
              </w:tc>
              <w:tc>
                <w:tcPr>
                  <w:tcW w:w="1129" w:type="dxa"/>
                  <w:vAlign w:val="center"/>
                </w:tcPr>
                <w:p>
                  <w:pPr>
                    <w:jc w:val="center"/>
                    <w:rPr>
                      <w:rFonts w:ascii="Times New Roman" w:hAnsi="Times New Roman"/>
                      <w:color w:val="auto"/>
                    </w:rPr>
                  </w:pPr>
                  <w:r>
                    <w:rPr>
                      <w:rFonts w:ascii="Times New Roman" w:hAnsi="Times New Roman"/>
                      <w:color w:val="auto"/>
                    </w:rPr>
                    <w:t>二类限区</w:t>
                  </w:r>
                </w:p>
              </w:tc>
              <w:tc>
                <w:tcPr>
                  <w:tcW w:w="1270" w:type="dxa"/>
                  <w:vAlign w:val="center"/>
                </w:tcPr>
                <w:p>
                  <w:pPr>
                    <w:spacing w:before="24" w:after="24"/>
                    <w:jc w:val="center"/>
                    <w:textAlignment w:val="baseline"/>
                    <w:rPr>
                      <w:rFonts w:ascii="Times New Roman" w:hAnsi="Times New Roman"/>
                      <w:color w:val="auto"/>
                      <w:kern w:val="0"/>
                      <w:szCs w:val="21"/>
                    </w:rPr>
                  </w:pPr>
                  <w:r>
                    <w:rPr>
                      <w:rFonts w:ascii="Times New Roman" w:hAnsi="Times New Roman"/>
                      <w:color w:val="auto"/>
                      <w:kern w:val="0"/>
                      <w:szCs w:val="21"/>
                    </w:rPr>
                    <w:t>小时平均</w:t>
                  </w:r>
                </w:p>
              </w:tc>
              <w:tc>
                <w:tcPr>
                  <w:tcW w:w="1006" w:type="dxa"/>
                  <w:vAlign w:val="center"/>
                </w:tcPr>
                <w:p>
                  <w:pPr>
                    <w:pStyle w:val="58"/>
                    <w:spacing w:before="24" w:after="24"/>
                    <w:textAlignment w:val="baseline"/>
                    <w:rPr>
                      <w:rFonts w:ascii="Times New Roman" w:hAnsi="Times New Roman"/>
                      <w:color w:val="auto"/>
                      <w:kern w:val="0"/>
                      <w:sz w:val="21"/>
                      <w:szCs w:val="21"/>
                    </w:rPr>
                  </w:pPr>
                  <w:r>
                    <w:rPr>
                      <w:rFonts w:ascii="Times New Roman" w:hAnsi="Times New Roman"/>
                      <w:color w:val="auto"/>
                      <w:kern w:val="0"/>
                      <w:sz w:val="21"/>
                      <w:szCs w:val="21"/>
                    </w:rPr>
                    <w:t>10</w:t>
                  </w:r>
                </w:p>
              </w:tc>
              <w:tc>
                <w:tcPr>
                  <w:tcW w:w="4535" w:type="dxa"/>
                  <w:vMerge w:val="continue"/>
                  <w:vAlign w:val="center"/>
                </w:tcPr>
                <w:p>
                  <w:pPr>
                    <w:pStyle w:val="72"/>
                    <w:rPr>
                      <w:rFonts w:ascii="Times New Roman" w:hAnsi="Times New Roman"/>
                      <w:color w:val="auto"/>
                    </w:rPr>
                  </w:pPr>
                </w:p>
              </w:tc>
            </w:tr>
          </w:tbl>
          <w:p>
            <w:pPr>
              <w:adjustRightInd w:val="0"/>
              <w:snapToGrid w:val="0"/>
              <w:jc w:val="center"/>
              <w:rPr>
                <w:rFonts w:ascii="Times New Roman" w:hAnsi="Times New Roman"/>
                <w:b/>
                <w:bCs/>
                <w:color w:val="auto"/>
                <w:kern w:val="0"/>
                <w:sz w:val="24"/>
              </w:rPr>
            </w:pPr>
            <w:r>
              <w:rPr>
                <w:rFonts w:ascii="Times New Roman" w:hAnsi="Times New Roman"/>
                <w:b/>
                <w:bCs/>
                <w:color w:val="auto"/>
                <w:kern w:val="0"/>
                <w:sz w:val="24"/>
              </w:rPr>
              <w:t>表7-6   估算模型参数表</w:t>
            </w:r>
          </w:p>
          <w:tbl>
            <w:tblPr>
              <w:tblStyle w:val="26"/>
              <w:tblW w:w="87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23"/>
              <w:gridCol w:w="2925"/>
              <w:gridCol w:w="29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848" w:type="dxa"/>
                  <w:gridSpan w:val="2"/>
                  <w:vAlign w:val="center"/>
                </w:tcPr>
                <w:p>
                  <w:pPr>
                    <w:autoSpaceDE w:val="0"/>
                    <w:autoSpaceDN w:val="0"/>
                    <w:adjustRightInd w:val="0"/>
                    <w:jc w:val="center"/>
                    <w:rPr>
                      <w:rFonts w:ascii="Times New Roman" w:hAnsi="Times New Roman"/>
                      <w:color w:val="auto"/>
                      <w:szCs w:val="21"/>
                    </w:rPr>
                  </w:pPr>
                  <w:r>
                    <w:rPr>
                      <w:rFonts w:ascii="Times New Roman" w:hAnsi="Times New Roman"/>
                      <w:b/>
                      <w:bCs/>
                      <w:color w:val="auto"/>
                      <w:kern w:val="0"/>
                      <w:szCs w:val="21"/>
                    </w:rPr>
                    <w:t>参数</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b/>
                      <w:bCs/>
                      <w:color w:val="auto"/>
                      <w:kern w:val="0"/>
                      <w:szCs w:val="21"/>
                    </w:rPr>
                    <w:t>取值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3" w:type="dxa"/>
                  <w:vMerge w:val="restart"/>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城市/农村选项</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城市/农村</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农村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3" w:type="dxa"/>
                  <w:vMerge w:val="continue"/>
                  <w:vAlign w:val="center"/>
                </w:tcPr>
                <w:p>
                  <w:pPr>
                    <w:autoSpaceDE w:val="0"/>
                    <w:autoSpaceDN w:val="0"/>
                    <w:adjustRightInd w:val="0"/>
                    <w:jc w:val="center"/>
                    <w:rPr>
                      <w:rFonts w:ascii="Times New Roman" w:hAnsi="Times New Roman"/>
                      <w:color w:val="auto"/>
                      <w:szCs w:val="21"/>
                    </w:rPr>
                  </w:pP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人口数(城市选项时)</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848" w:type="dxa"/>
                  <w:gridSpan w:val="2"/>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最高环境温度</w:t>
                  </w:r>
                  <w:r>
                    <w:rPr>
                      <w:rFonts w:hint="eastAsia" w:ascii="宋体" w:hAnsi="宋体" w:cs="宋体"/>
                      <w:color w:val="auto"/>
                      <w:kern w:val="0"/>
                      <w:szCs w:val="21"/>
                    </w:rPr>
                    <w:t>℃</w:t>
                  </w:r>
                </w:p>
              </w:tc>
              <w:tc>
                <w:tcPr>
                  <w:tcW w:w="2925" w:type="dxa"/>
                  <w:vAlign w:val="center"/>
                </w:tcPr>
                <w:p>
                  <w:pPr>
                    <w:jc w:val="center"/>
                    <w:rPr>
                      <w:rFonts w:ascii="Times New Roman" w:hAnsi="Times New Roman"/>
                      <w:color w:val="auto"/>
                      <w:szCs w:val="21"/>
                    </w:rPr>
                  </w:pPr>
                  <w:r>
                    <w:rPr>
                      <w:rFonts w:ascii="Times New Roman" w:hAnsi="Times New Roman"/>
                      <w:color w:val="auto"/>
                      <w:szCs w:val="21"/>
                    </w:rPr>
                    <w:t>38.9 °C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848" w:type="dxa"/>
                  <w:gridSpan w:val="2"/>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最低环境温度</w:t>
                  </w:r>
                  <w:r>
                    <w:rPr>
                      <w:rFonts w:hint="eastAsia" w:ascii="宋体" w:hAnsi="宋体" w:cs="宋体"/>
                      <w:color w:val="auto"/>
                      <w:kern w:val="0"/>
                      <w:szCs w:val="21"/>
                    </w:rPr>
                    <w:t>℃</w:t>
                  </w:r>
                </w:p>
              </w:tc>
              <w:tc>
                <w:tcPr>
                  <w:tcW w:w="2925" w:type="dxa"/>
                  <w:vAlign w:val="center"/>
                </w:tcPr>
                <w:p>
                  <w:pPr>
                    <w:jc w:val="center"/>
                    <w:rPr>
                      <w:rFonts w:ascii="Times New Roman" w:hAnsi="Times New Roman"/>
                      <w:color w:val="auto"/>
                      <w:szCs w:val="21"/>
                    </w:rPr>
                  </w:pPr>
                  <w:r>
                    <w:rPr>
                      <w:rFonts w:ascii="Times New Roman" w:hAnsi="Times New Roman"/>
                      <w:color w:val="auto"/>
                      <w:szCs w:val="21"/>
                    </w:rPr>
                    <w:t>-25.4 °C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848" w:type="dxa"/>
                  <w:gridSpan w:val="2"/>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土地利用类型</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农作地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848" w:type="dxa"/>
                  <w:gridSpan w:val="2"/>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区域湿度条件</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干燥气候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3" w:type="dxa"/>
                  <w:vMerge w:val="restart"/>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是否考虑地形</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考虑地形</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sym w:font="Wingdings" w:char="00A8"/>
                  </w:r>
                  <w:r>
                    <w:rPr>
                      <w:rFonts w:ascii="Times New Roman" w:hAnsi="Times New Roman"/>
                      <w:color w:val="auto"/>
                      <w:kern w:val="0"/>
                      <w:szCs w:val="21"/>
                    </w:rPr>
                    <w:t xml:space="preserve">是   </w:t>
                  </w:r>
                  <w:r>
                    <w:rPr>
                      <w:rFonts w:ascii="Times New Roman" w:hAnsi="Times New Roman"/>
                      <w:color w:val="auto"/>
                      <w:kern w:val="0"/>
                      <w:szCs w:val="21"/>
                    </w:rPr>
                    <w:sym w:font="Wingdings" w:char="00FE"/>
                  </w:r>
                  <w:r>
                    <w:rPr>
                      <w:rFonts w:ascii="Times New Roman" w:hAnsi="Times New Roman"/>
                      <w:color w:val="auto"/>
                      <w:kern w:val="0"/>
                      <w:szCs w:val="21"/>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3" w:type="dxa"/>
                  <w:vMerge w:val="continue"/>
                  <w:vAlign w:val="center"/>
                </w:tcPr>
                <w:p>
                  <w:pPr>
                    <w:autoSpaceDE w:val="0"/>
                    <w:autoSpaceDN w:val="0"/>
                    <w:adjustRightInd w:val="0"/>
                    <w:jc w:val="center"/>
                    <w:rPr>
                      <w:rFonts w:ascii="Times New Roman" w:hAnsi="Times New Roman"/>
                      <w:color w:val="auto"/>
                      <w:szCs w:val="21"/>
                    </w:rPr>
                  </w:pP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地形数据分辨率m</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3" w:type="dxa"/>
                  <w:vMerge w:val="restart"/>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是否考虑岸线熏烟</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考虑岸线熏烟</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sym w:font="Wingdings" w:char="00A8"/>
                  </w:r>
                  <w:r>
                    <w:rPr>
                      <w:rFonts w:ascii="Times New Roman" w:hAnsi="Times New Roman"/>
                      <w:color w:val="auto"/>
                      <w:kern w:val="0"/>
                      <w:szCs w:val="21"/>
                    </w:rPr>
                    <w:t xml:space="preserve">是   </w:t>
                  </w:r>
                  <w:r>
                    <w:rPr>
                      <w:rFonts w:ascii="Times New Roman" w:hAnsi="Times New Roman"/>
                      <w:color w:val="auto"/>
                      <w:kern w:val="0"/>
                      <w:szCs w:val="21"/>
                    </w:rPr>
                    <w:sym w:font="Wingdings" w:char="00FE"/>
                  </w:r>
                  <w:r>
                    <w:rPr>
                      <w:rFonts w:ascii="Times New Roman" w:hAnsi="Times New Roman"/>
                      <w:color w:val="auto"/>
                      <w:kern w:val="0"/>
                      <w:szCs w:val="21"/>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3" w:type="dxa"/>
                  <w:vMerge w:val="continue"/>
                  <w:vAlign w:val="center"/>
                </w:tcPr>
                <w:p>
                  <w:pPr>
                    <w:autoSpaceDE w:val="0"/>
                    <w:autoSpaceDN w:val="0"/>
                    <w:adjustRightInd w:val="0"/>
                    <w:jc w:val="center"/>
                    <w:rPr>
                      <w:rFonts w:ascii="Times New Roman" w:hAnsi="Times New Roman"/>
                      <w:color w:val="auto"/>
                      <w:szCs w:val="21"/>
                    </w:rPr>
                  </w:pP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岸线距离km</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3" w:type="dxa"/>
                  <w:vMerge w:val="continue"/>
                  <w:vAlign w:val="center"/>
                </w:tcPr>
                <w:p>
                  <w:pPr>
                    <w:autoSpaceDE w:val="0"/>
                    <w:autoSpaceDN w:val="0"/>
                    <w:adjustRightInd w:val="0"/>
                    <w:jc w:val="center"/>
                    <w:rPr>
                      <w:rFonts w:ascii="Times New Roman" w:hAnsi="Times New Roman"/>
                      <w:color w:val="auto"/>
                      <w:szCs w:val="21"/>
                    </w:rPr>
                  </w:pP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岸线方向</w:t>
                  </w:r>
                  <w:r>
                    <w:rPr>
                      <w:rFonts w:ascii="Times New Roman" w:hAnsi="Times New Roman"/>
                      <w:color w:val="auto"/>
                      <w:kern w:val="0"/>
                      <w:szCs w:val="21"/>
                      <w:vertAlign w:val="superscript"/>
                    </w:rPr>
                    <w:t>°</w:t>
                  </w:r>
                </w:p>
              </w:tc>
              <w:tc>
                <w:tcPr>
                  <w:tcW w:w="2925" w:type="dxa"/>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kern w:val="0"/>
                      <w:szCs w:val="21"/>
                    </w:rPr>
                    <w:t>/</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 xml:space="preserve">（2）等级及评价范围 </w:t>
            </w:r>
          </w:p>
          <w:p>
            <w:pPr>
              <w:spacing w:line="360" w:lineRule="auto"/>
              <w:ind w:firstLine="480" w:firstLineChars="200"/>
              <w:rPr>
                <w:rFonts w:ascii="Times New Roman" w:hAnsi="Times New Roman"/>
                <w:color w:val="auto"/>
                <w:sz w:val="24"/>
              </w:rPr>
            </w:pPr>
            <w:r>
              <w:rPr>
                <w:rFonts w:ascii="Times New Roman" w:hAnsi="Times New Roman"/>
                <w:color w:val="auto"/>
                <w:sz w:val="24"/>
              </w:rPr>
              <w:t>选择项目污染源正常排放的主要污染物及排放参数，采用《环境影响评价技术导则 大气环境》（HJ2.2-2018）A推荐模型中估算模型分别计算项目污染源的最大环境影响，根据项目污染源初步调查结果，分别计算项目主要污染物的最大地面空气质量浓度占标率Pi，及第i个污染物的地面空气质量浓度达到标准值的10%所对应的最远距离D10%。项目无组织排放源参数见表7-7，评价等级计算结果见表7-8。</w:t>
            </w:r>
          </w:p>
          <w:p>
            <w:pPr>
              <w:adjustRightInd w:val="0"/>
              <w:snapToGrid w:val="0"/>
              <w:jc w:val="center"/>
              <w:rPr>
                <w:rFonts w:ascii="Times New Roman" w:hAnsi="Times New Roman"/>
                <w:b/>
                <w:bCs/>
                <w:color w:val="auto"/>
                <w:kern w:val="0"/>
                <w:sz w:val="24"/>
              </w:rPr>
            </w:pPr>
            <w:r>
              <w:rPr>
                <w:rFonts w:ascii="Times New Roman" w:hAnsi="Times New Roman"/>
                <w:b/>
                <w:bCs/>
                <w:color w:val="auto"/>
                <w:kern w:val="0"/>
                <w:sz w:val="24"/>
              </w:rPr>
              <w:t>表7-7  无组织排放源参数表</w:t>
            </w:r>
          </w:p>
          <w:tbl>
            <w:tblPr>
              <w:tblStyle w:val="26"/>
              <w:tblW w:w="878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86"/>
              <w:gridCol w:w="1214"/>
              <w:gridCol w:w="1109"/>
              <w:gridCol w:w="1033"/>
              <w:gridCol w:w="827"/>
              <w:gridCol w:w="827"/>
              <w:gridCol w:w="1010"/>
              <w:gridCol w:w="1005"/>
              <w:gridCol w:w="8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0" w:hRule="atLeast"/>
              </w:trPr>
              <w:tc>
                <w:tcPr>
                  <w:tcW w:w="886"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污染源名称</w:t>
                  </w:r>
                </w:p>
              </w:tc>
              <w:tc>
                <w:tcPr>
                  <w:tcW w:w="2323"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坐标(°)</w:t>
                  </w:r>
                </w:p>
              </w:tc>
              <w:tc>
                <w:tcPr>
                  <w:tcW w:w="1033"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海拔高度(m)</w:t>
                  </w:r>
                </w:p>
              </w:tc>
              <w:tc>
                <w:tcPr>
                  <w:tcW w:w="2664"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矩形面源</w:t>
                  </w:r>
                </w:p>
              </w:tc>
              <w:tc>
                <w:tcPr>
                  <w:tcW w:w="1877"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污染物排放速率(kg/h)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0" w:hRule="atLeast"/>
              </w:trPr>
              <w:tc>
                <w:tcPr>
                  <w:tcW w:w="886" w:type="dxa"/>
                  <w:vMerge w:val="continue"/>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Cs w:val="21"/>
                    </w:rPr>
                  </w:pPr>
                </w:p>
              </w:tc>
              <w:tc>
                <w:tcPr>
                  <w:tcW w:w="1214"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经度</w:t>
                  </w:r>
                </w:p>
              </w:tc>
              <w:tc>
                <w:tcPr>
                  <w:tcW w:w="110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纬度</w:t>
                  </w:r>
                </w:p>
              </w:tc>
              <w:tc>
                <w:tcPr>
                  <w:tcW w:w="1033" w:type="dxa"/>
                  <w:vMerge w:val="continue"/>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Cs w:val="21"/>
                    </w:rPr>
                  </w:pP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长度(m)</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宽度(m)</w:t>
                  </w:r>
                </w:p>
              </w:tc>
              <w:tc>
                <w:tcPr>
                  <w:tcW w:w="101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有效高度(m)</w:t>
                  </w:r>
                </w:p>
              </w:tc>
              <w:tc>
                <w:tcPr>
                  <w:tcW w:w="1005"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872"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8" w:hRule="atLeast"/>
              </w:trPr>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矩形面源</w:t>
                  </w:r>
                </w:p>
              </w:tc>
              <w:tc>
                <w:tcPr>
                  <w:tcW w:w="1214"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108.320757</w:t>
                  </w:r>
                </w:p>
              </w:tc>
              <w:tc>
                <w:tcPr>
                  <w:tcW w:w="110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35.581388</w:t>
                  </w:r>
                </w:p>
              </w:tc>
              <w:tc>
                <w:tcPr>
                  <w:tcW w:w="1033"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1273</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14.74</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78.88</w:t>
                  </w:r>
                </w:p>
              </w:tc>
              <w:tc>
                <w:tcPr>
                  <w:tcW w:w="101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8.00</w:t>
                  </w:r>
                </w:p>
              </w:tc>
              <w:tc>
                <w:tcPr>
                  <w:tcW w:w="1005"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0.0001</w:t>
                  </w:r>
                </w:p>
              </w:tc>
              <w:tc>
                <w:tcPr>
                  <w:tcW w:w="872"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0.001</w:t>
                  </w:r>
                </w:p>
              </w:tc>
            </w:tr>
          </w:tbl>
          <w:p>
            <w:pPr>
              <w:adjustRightInd w:val="0"/>
              <w:snapToGrid w:val="0"/>
              <w:jc w:val="center"/>
              <w:rPr>
                <w:rFonts w:ascii="Times New Roman" w:hAnsi="Times New Roman"/>
                <w:b/>
                <w:bCs/>
                <w:color w:val="auto"/>
                <w:kern w:val="0"/>
                <w:sz w:val="24"/>
              </w:rPr>
            </w:pPr>
            <w:r>
              <w:rPr>
                <w:rFonts w:ascii="Times New Roman" w:hAnsi="Times New Roman"/>
                <w:b/>
                <w:bCs/>
                <w:color w:val="auto"/>
                <w:kern w:val="0"/>
                <w:szCs w:val="21"/>
              </w:rPr>
              <w:t xml:space="preserve">  </w:t>
            </w:r>
            <w:r>
              <w:rPr>
                <w:rFonts w:ascii="Times New Roman" w:hAnsi="Times New Roman"/>
                <w:b/>
                <w:bCs/>
                <w:color w:val="auto"/>
                <w:kern w:val="0"/>
                <w:sz w:val="24"/>
              </w:rPr>
              <w:t xml:space="preserve">   表7-8  大气预测结果表</w:t>
            </w:r>
          </w:p>
          <w:tbl>
            <w:tblPr>
              <w:tblStyle w:val="26"/>
              <w:tblW w:w="878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50"/>
              <w:gridCol w:w="1377"/>
              <w:gridCol w:w="1456"/>
              <w:gridCol w:w="1751"/>
              <w:gridCol w:w="164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下风向距离</w:t>
                  </w:r>
                </w:p>
              </w:tc>
              <w:tc>
                <w:tcPr>
                  <w:tcW w:w="6233"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矩形面源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vMerge w:val="continue"/>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Cs w:val="21"/>
                    </w:rPr>
                  </w:pP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浓度(μg/m³)</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占标率(%)</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S浓度(μg/m³)</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S占标率(%)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50.0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1.45990</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0.72995</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0.14599</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1.45990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0.92707</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0.46353</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0.09271</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0.92707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200.0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0.60732</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0.30366</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0.06073</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0.60732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300.0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0.47990</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0.23995</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0.04799</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0.47990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400.0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0.40639</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0.20319</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0.04064</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0.40639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500.0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0.35820</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0.17910</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0.03582</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0.35820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600.0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0.32148</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0.16074</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0.03215</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0.32148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700.0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0.29279</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0.14639</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0.02928</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0.29279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800.0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0.26948</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0.13474</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0.02695</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0.26948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900.0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0.24999</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0.12499</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0.02500</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0.24999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0.23336</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0.11668</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0.02334</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0.23336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1200.0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0.20626</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0.10313</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0.02063</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0.20626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1400.0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0.18494</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0.09247</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0.01849</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0.18494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1600.0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0.16762</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0.08381</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0.01676</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0.16762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1800.0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0.15323</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0.07662</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0.01532</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0.15323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2000.0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0.14149</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0.07075</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0.01415</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0.14149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2500.0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0.11947</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0.05974</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0.01195</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0.11947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3000.0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0.10346</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0.05173</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0.01035</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0.10346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3500.0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0.09110</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0.04555</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0.00911</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0.09110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4000.0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0.08215</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0.04108</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0.00822</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0.08215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4500.0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0.07562</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0.03781</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0.00756</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0.07562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5000.0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0.07007</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0.03503</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0.00701</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0.07007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10000.0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0.04119</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0.02059</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0.00412</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0.04119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11000.0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0.03818</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0.01909</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0.00382</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0.03818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12000.0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0.03557</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0.01778</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0.00356</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13000.0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0.03327</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0.01664</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0.00333</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0.03327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14000.0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0.03124</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0.01562</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0.00312</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0.03124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15000.0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0.02944</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0.01472</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0.00294</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0.02944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20000.0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0.02271</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0.01136</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0.00227</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0.02272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25000.0</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0.01837</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0.00919</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0.00184</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0.01837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下风向最大浓度</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1.62830</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0.81415</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0.16283</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1.62830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下风向最大浓度出现距离</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40.0</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40.0</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40.0</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2"/>
                    </w:rPr>
                  </w:pPr>
                  <w:r>
                    <w:rPr>
                      <w:rFonts w:ascii="Times New Roman" w:hAnsi="Times New Roman"/>
                      <w:color w:val="auto"/>
                      <w:sz w:val="23"/>
                      <w:szCs w:val="23"/>
                    </w:rPr>
                    <w:t>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255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D10%最远距离</w:t>
                  </w:r>
                </w:p>
              </w:tc>
              <w:tc>
                <w:tcPr>
                  <w:tcW w:w="137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45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75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6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w:t>
                  </w:r>
                </w:p>
              </w:tc>
            </w:tr>
          </w:tbl>
          <w:p>
            <w:pPr>
              <w:spacing w:line="360" w:lineRule="auto"/>
              <w:rPr>
                <w:rFonts w:ascii="Times New Roman" w:hAnsi="Times New Roman"/>
                <w:color w:val="auto"/>
                <w:sz w:val="24"/>
              </w:rPr>
            </w:pPr>
            <w:r>
              <w:rPr>
                <w:rFonts w:ascii="Times New Roman" w:hAnsi="Times New Roman"/>
                <w:color w:val="auto"/>
                <w:sz w:val="24"/>
              </w:rPr>
              <w:pict>
                <v:shape id="_x0000_i1037" o:spt="75" type="#_x0000_t75" style="height:159.75pt;width:439.5pt;" filled="f" o:preferrelative="t" stroked="f" coordsize="21600,21600">
                  <v:path/>
                  <v:fill on="f" focussize="0,0"/>
                  <v:stroke on="f" joinstyle="miter"/>
                  <v:imagedata r:id="rId22" o:title=""/>
                  <o:lock v:ext="edit" aspectratio="t"/>
                  <w10:wrap type="none"/>
                  <w10:anchorlock/>
                </v:shape>
              </w:pict>
            </w:r>
          </w:p>
          <w:p>
            <w:pPr>
              <w:pStyle w:val="2"/>
              <w:jc w:val="center"/>
              <w:rPr>
                <w:rFonts w:ascii="Times New Roman" w:hAnsi="Times New Roman" w:eastAsia="宋体"/>
                <w:color w:val="auto"/>
                <w:spacing w:val="0"/>
                <w:kern w:val="2"/>
                <w:szCs w:val="24"/>
              </w:rPr>
            </w:pPr>
            <w:r>
              <w:rPr>
                <w:rFonts w:ascii="Times New Roman" w:hAnsi="Times New Roman" w:eastAsia="宋体"/>
                <w:color w:val="auto"/>
                <w:spacing w:val="0"/>
                <w:kern w:val="2"/>
                <w:szCs w:val="24"/>
              </w:rPr>
              <w:t>图7-1  预测结果浓度占标折线图</w:t>
            </w:r>
          </w:p>
          <w:p>
            <w:pPr>
              <w:spacing w:line="480" w:lineRule="exact"/>
              <w:jc w:val="center"/>
              <w:rPr>
                <w:rFonts w:ascii="Times New Roman" w:hAnsi="Times New Roman"/>
                <w:color w:val="auto"/>
              </w:rPr>
            </w:pPr>
            <w:r>
              <w:rPr>
                <w:rFonts w:ascii="Times New Roman" w:hAnsi="Times New Roman"/>
                <w:color w:val="auto"/>
                <w:sz w:val="24"/>
              </w:rPr>
              <w:t>表7-7  Pmax和D10%预测和计算结果一览表</w:t>
            </w:r>
          </w:p>
          <w:tbl>
            <w:tblPr>
              <w:tblStyle w:val="26"/>
              <w:tblW w:w="878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3"/>
              <w:gridCol w:w="1221"/>
              <w:gridCol w:w="2192"/>
              <w:gridCol w:w="1707"/>
              <w:gridCol w:w="1100"/>
              <w:gridCol w:w="11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463"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污染源名称</w:t>
                  </w:r>
                </w:p>
              </w:tc>
              <w:tc>
                <w:tcPr>
                  <w:tcW w:w="122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评价因子</w:t>
                  </w:r>
                </w:p>
              </w:tc>
              <w:tc>
                <w:tcPr>
                  <w:tcW w:w="2192"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评价标准(μg/m³)</w:t>
                  </w:r>
                </w:p>
              </w:tc>
              <w:tc>
                <w:tcPr>
                  <w:tcW w:w="170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Cmax(μg/m³)</w:t>
                  </w:r>
                </w:p>
              </w:tc>
              <w:tc>
                <w:tcPr>
                  <w:tcW w:w="110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Pmax(%)</w:t>
                  </w:r>
                </w:p>
              </w:tc>
              <w:tc>
                <w:tcPr>
                  <w:tcW w:w="110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D10%(m)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463"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矩形面源</w:t>
                  </w:r>
                </w:p>
              </w:tc>
              <w:tc>
                <w:tcPr>
                  <w:tcW w:w="122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2192"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200.0</w:t>
                  </w:r>
                </w:p>
              </w:tc>
              <w:tc>
                <w:tcPr>
                  <w:tcW w:w="170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1.62830</w:t>
                  </w:r>
                </w:p>
              </w:tc>
              <w:tc>
                <w:tcPr>
                  <w:tcW w:w="110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0.81415</w:t>
                  </w:r>
                </w:p>
              </w:tc>
              <w:tc>
                <w:tcPr>
                  <w:tcW w:w="110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463"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矩形面源</w:t>
                  </w:r>
                </w:p>
              </w:tc>
              <w:tc>
                <w:tcPr>
                  <w:tcW w:w="122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2192"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10.0</w:t>
                  </w:r>
                </w:p>
              </w:tc>
              <w:tc>
                <w:tcPr>
                  <w:tcW w:w="170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0.16283</w:t>
                  </w:r>
                </w:p>
              </w:tc>
              <w:tc>
                <w:tcPr>
                  <w:tcW w:w="110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1.62830</w:t>
                  </w:r>
                </w:p>
              </w:tc>
              <w:tc>
                <w:tcPr>
                  <w:tcW w:w="110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Cs w:val="21"/>
                    </w:rPr>
                  </w:pPr>
                  <w:r>
                    <w:rPr>
                      <w:rFonts w:ascii="Times New Roman" w:hAnsi="Times New Roman"/>
                      <w:color w:val="auto"/>
                      <w:szCs w:val="21"/>
                    </w:rPr>
                    <w:t>/</w:t>
                  </w:r>
                </w:p>
              </w:tc>
            </w:tr>
          </w:tbl>
          <w:p>
            <w:pPr>
              <w:spacing w:line="360" w:lineRule="auto"/>
              <w:ind w:firstLine="480" w:firstLineChars="200"/>
              <w:rPr>
                <w:rFonts w:ascii="Times New Roman" w:hAnsi="Times New Roman"/>
                <w:color w:val="auto"/>
                <w:sz w:val="24"/>
              </w:rPr>
            </w:pPr>
            <w:r>
              <w:rPr>
                <w:rFonts w:ascii="Times New Roman" w:hAnsi="Times New Roman"/>
                <w:color w:val="auto"/>
                <w:kern w:val="0"/>
                <w:sz w:val="24"/>
              </w:rPr>
              <w:t>本项目Pmax最大值出现为矩形面源排放的H</w:t>
            </w:r>
            <w:r>
              <w:rPr>
                <w:rFonts w:ascii="Times New Roman" w:hAnsi="Times New Roman"/>
                <w:color w:val="auto"/>
                <w:kern w:val="0"/>
                <w:sz w:val="24"/>
                <w:vertAlign w:val="subscript"/>
              </w:rPr>
              <w:t>2</w:t>
            </w:r>
            <w:r>
              <w:rPr>
                <w:rFonts w:ascii="Times New Roman" w:hAnsi="Times New Roman"/>
                <w:color w:val="auto"/>
                <w:kern w:val="0"/>
                <w:sz w:val="24"/>
              </w:rPr>
              <w:t>SPmax值为1.6283%,Cmax为0.16283μg/m³，根据《环境影响评价技术导则 大气环境》（HJ2.2-2018）分级判据，确定本项目大气环境影响评价工作等级为二级。</w:t>
            </w:r>
            <w:r>
              <w:rPr>
                <w:rFonts w:ascii="Times New Roman" w:hAnsi="Times New Roman"/>
                <w:color w:val="auto"/>
                <w:sz w:val="24"/>
              </w:rPr>
              <w:t>由以上预测结果可以看出，无组织颗粒物排放浓度满足《大气污染物综合排放标准》（GB16297-1996）表2中排放监控浓度限值要求，无组织氨、硫化氢、臭气浓度排放满足《恶臭污染物排放标准》(GB14554-1993) 表1二级新改扩建标准限值要求，说明本项目正常工况下，本项目对周围大气环境影响较小，项目的建设从大气环境影响的角度分析是可行的。</w:t>
            </w:r>
          </w:p>
          <w:p>
            <w:pPr>
              <w:spacing w:line="360" w:lineRule="auto"/>
              <w:ind w:firstLine="480" w:firstLineChars="200"/>
              <w:rPr>
                <w:rFonts w:ascii="Times New Roman" w:hAnsi="Times New Roman"/>
                <w:color w:val="auto"/>
                <w:sz w:val="24"/>
              </w:rPr>
            </w:pPr>
            <w:r>
              <w:rPr>
                <w:rFonts w:ascii="Times New Roman" w:hAnsi="Times New Roman"/>
                <w:color w:val="auto"/>
                <w:sz w:val="24"/>
              </w:rPr>
              <w:t>4、大气环境防护距离</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szCs w:val="20"/>
              </w:rPr>
              <w:t>项目大气评价等级为三级，各污染物厂界外大气污染物短期贡献浓度均不超过环境质量浓度限值，无需设置大气防护距离。</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5、卫生防护距离</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依据《制定地方大气污染物排放标准的技术方法》（GB/T13201-91）的规定，卫生防护距离的计算公式如下：</w:t>
            </w:r>
          </w:p>
          <w:p>
            <w:pPr>
              <w:pStyle w:val="11"/>
              <w:ind w:left="420" w:firstLine="1588" w:firstLineChars="662"/>
              <w:rPr>
                <w:rStyle w:val="29"/>
                <w:rFonts w:ascii="Times New Roman" w:hAnsi="Times New Roman"/>
                <w:color w:val="auto"/>
                <w:sz w:val="24"/>
              </w:rPr>
            </w:pPr>
            <w:r>
              <w:rPr>
                <w:rFonts w:ascii="Times New Roman" w:hAnsi="Times New Roman"/>
                <w:color w:val="auto"/>
                <w:sz w:val="24"/>
              </w:rPr>
              <w:pict>
                <v:shape id="_x0000_i1038" o:spt="75" type="#_x0000_t75" style="height:39pt;width:156.75pt;" filled="f" o:preferrelative="t" stroked="f" coordsize="21600,21600">
                  <v:path/>
                  <v:fill on="f" focussize="0,0"/>
                  <v:stroke on="f" joinstyle="miter"/>
                  <v:imagedata r:id="rId23" o:title=""/>
                  <o:lock v:ext="edit" aspectratio="t"/>
                  <w10:wrap type="none"/>
                  <w10:anchorlock/>
                </v:shape>
              </w:pict>
            </w:r>
          </w:p>
          <w:p>
            <w:pPr>
              <w:pStyle w:val="11"/>
              <w:ind w:left="420" w:firstLine="480" w:firstLineChars="200"/>
              <w:rPr>
                <w:rStyle w:val="29"/>
                <w:rFonts w:ascii="Times New Roman" w:hAnsi="Times New Roman"/>
                <w:color w:val="auto"/>
                <w:sz w:val="24"/>
              </w:rPr>
            </w:pPr>
            <w:r>
              <w:rPr>
                <w:rStyle w:val="29"/>
                <w:rFonts w:ascii="Times New Roman" w:hAnsi="Times New Roman"/>
                <w:color w:val="auto"/>
                <w:sz w:val="24"/>
              </w:rPr>
              <w:t>式中：Cm—标准浓度限值（mg/m</w:t>
            </w:r>
            <w:r>
              <w:rPr>
                <w:rStyle w:val="29"/>
                <w:rFonts w:ascii="Times New Roman" w:hAnsi="Times New Roman"/>
                <w:color w:val="auto"/>
                <w:sz w:val="24"/>
                <w:vertAlign w:val="superscript"/>
              </w:rPr>
              <w:t>3</w:t>
            </w:r>
            <w:r>
              <w:rPr>
                <w:rStyle w:val="29"/>
                <w:rFonts w:ascii="Times New Roman" w:hAnsi="Times New Roman"/>
                <w:color w:val="auto"/>
                <w:sz w:val="24"/>
              </w:rPr>
              <w:t>）；</w:t>
            </w:r>
          </w:p>
          <w:p>
            <w:pPr>
              <w:pStyle w:val="11"/>
              <w:ind w:left="420" w:firstLine="1200" w:firstLineChars="500"/>
              <w:rPr>
                <w:rStyle w:val="29"/>
                <w:rFonts w:ascii="Times New Roman" w:hAnsi="Times New Roman"/>
                <w:color w:val="auto"/>
                <w:sz w:val="24"/>
              </w:rPr>
            </w:pPr>
            <w:r>
              <w:rPr>
                <w:rStyle w:val="29"/>
                <w:rFonts w:ascii="Times New Roman" w:hAnsi="Times New Roman"/>
                <w:color w:val="auto"/>
                <w:sz w:val="24"/>
              </w:rPr>
              <w:t>Qc—工业企业有害气体无组织排放量可以达到的控制水平（kg/h）；</w:t>
            </w:r>
          </w:p>
          <w:p>
            <w:pPr>
              <w:pStyle w:val="11"/>
              <w:ind w:left="420" w:firstLine="1200" w:firstLineChars="500"/>
              <w:rPr>
                <w:rStyle w:val="29"/>
                <w:rFonts w:ascii="Times New Roman" w:hAnsi="Times New Roman"/>
                <w:color w:val="auto"/>
                <w:sz w:val="24"/>
              </w:rPr>
            </w:pPr>
            <w:r>
              <w:rPr>
                <w:rStyle w:val="29"/>
                <w:rFonts w:ascii="Times New Roman" w:hAnsi="Times New Roman"/>
                <w:color w:val="auto"/>
                <w:sz w:val="24"/>
              </w:rPr>
              <w:t>L—工业企业所需的卫生防护距离（m）；</w:t>
            </w:r>
          </w:p>
          <w:p>
            <w:pPr>
              <w:pStyle w:val="11"/>
              <w:ind w:left="420" w:firstLine="1200" w:firstLineChars="500"/>
              <w:rPr>
                <w:rStyle w:val="29"/>
                <w:rFonts w:ascii="Times New Roman" w:hAnsi="Times New Roman"/>
                <w:color w:val="auto"/>
                <w:sz w:val="24"/>
              </w:rPr>
            </w:pPr>
            <w:r>
              <w:rPr>
                <w:rStyle w:val="29"/>
                <w:rFonts w:ascii="Times New Roman" w:hAnsi="Times New Roman"/>
                <w:color w:val="auto"/>
                <w:sz w:val="24"/>
              </w:rPr>
              <w:t>r—有害气体无组织排放浓度所产生单位的等效半径（m）；</w:t>
            </w:r>
          </w:p>
          <w:p>
            <w:pPr>
              <w:pStyle w:val="11"/>
              <w:ind w:left="420" w:firstLine="1200" w:firstLineChars="500"/>
              <w:rPr>
                <w:rStyle w:val="29"/>
                <w:rFonts w:ascii="Times New Roman" w:hAnsi="Times New Roman"/>
                <w:color w:val="auto"/>
                <w:sz w:val="24"/>
              </w:rPr>
            </w:pPr>
            <w:r>
              <w:rPr>
                <w:rStyle w:val="29"/>
                <w:rFonts w:ascii="Times New Roman" w:hAnsi="Times New Roman"/>
                <w:color w:val="auto"/>
                <w:sz w:val="24"/>
              </w:rPr>
              <w:t>A、B、C、D—卫生防护距离计算参数，无因次。</w:t>
            </w:r>
          </w:p>
          <w:p>
            <w:pPr>
              <w:pStyle w:val="71"/>
              <w:spacing w:line="362" w:lineRule="auto"/>
              <w:ind w:left="107" w:right="89" w:firstLine="480"/>
              <w:jc w:val="both"/>
              <w:rPr>
                <w:rFonts w:ascii="Times New Roman" w:hAnsi="Times New Roman"/>
                <w:color w:val="auto"/>
                <w:position w:val="2"/>
                <w:sz w:val="24"/>
                <w:lang w:eastAsia="zh-CN"/>
              </w:rPr>
            </w:pPr>
            <w:r>
              <w:rPr>
                <w:rFonts w:ascii="Times New Roman" w:hAnsi="Times New Roman"/>
                <w:color w:val="auto"/>
                <w:position w:val="2"/>
                <w:sz w:val="24"/>
                <w:lang w:eastAsia="zh-CN"/>
              </w:rPr>
              <w:t>（2）参数选取</w:t>
            </w:r>
          </w:p>
          <w:p>
            <w:pPr>
              <w:spacing w:line="360" w:lineRule="auto"/>
              <w:ind w:firstLine="480" w:firstLineChars="200"/>
              <w:rPr>
                <w:rFonts w:ascii="Times New Roman" w:hAnsi="Times New Roman"/>
                <w:color w:val="auto"/>
              </w:rPr>
            </w:pPr>
            <w:r>
              <w:rPr>
                <w:rFonts w:ascii="Times New Roman" w:hAnsi="Times New Roman"/>
                <w:color w:val="auto"/>
                <w:position w:val="2"/>
                <w:sz w:val="24"/>
              </w:rPr>
              <w:t>该地区的全年平均风速为1.8m/s，A、B、C、D 值的选取见下表；卫生防护距离按照技改项目建成后全厂无组织废气排放计算，计算结果见下表</w:t>
            </w:r>
            <w:r>
              <w:rPr>
                <w:rFonts w:ascii="Times New Roman" w:hAnsi="Times New Roman"/>
                <w:color w:val="auto"/>
                <w:sz w:val="24"/>
              </w:rPr>
              <w:t>7-10。</w:t>
            </w:r>
          </w:p>
          <w:p>
            <w:pPr>
              <w:pStyle w:val="37"/>
              <w:spacing w:line="360" w:lineRule="auto"/>
              <w:jc w:val="center"/>
              <w:rPr>
                <w:rFonts w:ascii="Times New Roman"/>
                <w:b/>
                <w:bCs/>
                <w:color w:val="auto"/>
                <w:kern w:val="24"/>
              </w:rPr>
            </w:pPr>
            <w:r>
              <w:rPr>
                <w:rFonts w:ascii="Times New Roman"/>
                <w:b/>
                <w:bCs/>
                <w:color w:val="auto"/>
                <w:kern w:val="24"/>
              </w:rPr>
              <w:t>表7-9  卫生防护距离计算系数表</w:t>
            </w:r>
          </w:p>
          <w:tbl>
            <w:tblPr>
              <w:tblStyle w:val="26"/>
              <w:tblW w:w="8681"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636"/>
              <w:gridCol w:w="833"/>
              <w:gridCol w:w="1035"/>
              <w:gridCol w:w="769"/>
              <w:gridCol w:w="773"/>
              <w:gridCol w:w="61"/>
              <w:gridCol w:w="708"/>
              <w:gridCol w:w="769"/>
              <w:gridCol w:w="774"/>
              <w:gridCol w:w="769"/>
              <w:gridCol w:w="769"/>
              <w:gridCol w:w="785"/>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restart"/>
                  <w:vAlign w:val="center"/>
                </w:tcPr>
                <w:p>
                  <w:pPr>
                    <w:pStyle w:val="71"/>
                    <w:jc w:val="center"/>
                    <w:rPr>
                      <w:rFonts w:ascii="Times New Roman" w:hAnsi="Times New Roman"/>
                      <w:color w:val="auto"/>
                      <w:kern w:val="2"/>
                      <w:position w:val="2"/>
                      <w:sz w:val="24"/>
                    </w:rPr>
                  </w:pPr>
                  <w:r>
                    <w:rPr>
                      <w:rFonts w:ascii="Times New Roman" w:hAnsi="Times New Roman"/>
                      <w:color w:val="auto"/>
                      <w:kern w:val="2"/>
                      <w:position w:val="2"/>
                      <w:sz w:val="24"/>
                    </w:rPr>
                    <w:t>计算系数</w:t>
                  </w:r>
                </w:p>
              </w:tc>
              <w:tc>
                <w:tcPr>
                  <w:tcW w:w="833" w:type="dxa"/>
                  <w:vMerge w:val="restart"/>
                  <w:vAlign w:val="center"/>
                </w:tcPr>
                <w:p>
                  <w:pPr>
                    <w:pStyle w:val="71"/>
                    <w:jc w:val="center"/>
                    <w:rPr>
                      <w:rFonts w:ascii="Times New Roman" w:hAnsi="Times New Roman"/>
                      <w:color w:val="auto"/>
                      <w:kern w:val="2"/>
                      <w:position w:val="2"/>
                      <w:sz w:val="24"/>
                    </w:rPr>
                  </w:pPr>
                  <w:r>
                    <w:rPr>
                      <w:rFonts w:ascii="Times New Roman" w:hAnsi="Times New Roman"/>
                      <w:color w:val="auto"/>
                      <w:kern w:val="2"/>
                      <w:position w:val="2"/>
                      <w:sz w:val="24"/>
                    </w:rPr>
                    <w:t>5 年平均风 速 m/s</w:t>
                  </w:r>
                </w:p>
              </w:tc>
              <w:tc>
                <w:tcPr>
                  <w:tcW w:w="7212" w:type="dxa"/>
                  <w:gridSpan w:val="10"/>
                  <w:vAlign w:val="center"/>
                </w:tcPr>
                <w:p>
                  <w:pPr>
                    <w:pStyle w:val="71"/>
                    <w:jc w:val="center"/>
                    <w:rPr>
                      <w:rFonts w:ascii="Times New Roman" w:hAnsi="Times New Roman"/>
                      <w:color w:val="auto"/>
                      <w:kern w:val="2"/>
                      <w:position w:val="2"/>
                      <w:sz w:val="24"/>
                    </w:rPr>
                  </w:pPr>
                  <w:r>
                    <w:rPr>
                      <w:rFonts w:ascii="Times New Roman" w:hAnsi="Times New Roman"/>
                      <w:color w:val="auto"/>
                      <w:kern w:val="2"/>
                      <w:position w:val="2"/>
                      <w:sz w:val="24"/>
                    </w:rPr>
                    <w:t>卫生防护距离 L，m</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continue"/>
                  <w:vAlign w:val="center"/>
                </w:tcPr>
                <w:p>
                  <w:pPr>
                    <w:widowControl/>
                    <w:jc w:val="left"/>
                    <w:rPr>
                      <w:rFonts w:ascii="Times New Roman" w:hAnsi="Times New Roman"/>
                      <w:color w:val="auto"/>
                      <w:position w:val="2"/>
                      <w:sz w:val="24"/>
                      <w:szCs w:val="22"/>
                      <w:lang w:eastAsia="en-US"/>
                    </w:rPr>
                  </w:pPr>
                </w:p>
              </w:tc>
              <w:tc>
                <w:tcPr>
                  <w:tcW w:w="833" w:type="dxa"/>
                  <w:vMerge w:val="continue"/>
                  <w:vAlign w:val="center"/>
                </w:tcPr>
                <w:p>
                  <w:pPr>
                    <w:widowControl/>
                    <w:jc w:val="left"/>
                    <w:rPr>
                      <w:rFonts w:ascii="Times New Roman" w:hAnsi="Times New Roman"/>
                      <w:color w:val="auto"/>
                      <w:position w:val="2"/>
                      <w:sz w:val="24"/>
                      <w:szCs w:val="22"/>
                      <w:lang w:eastAsia="en-US"/>
                    </w:rPr>
                  </w:pPr>
                </w:p>
              </w:tc>
              <w:tc>
                <w:tcPr>
                  <w:tcW w:w="2638" w:type="dxa"/>
                  <w:gridSpan w:val="4"/>
                  <w:vAlign w:val="center"/>
                </w:tcPr>
                <w:p>
                  <w:pPr>
                    <w:pStyle w:val="71"/>
                    <w:jc w:val="center"/>
                    <w:rPr>
                      <w:rFonts w:ascii="Times New Roman" w:hAnsi="Times New Roman"/>
                      <w:color w:val="auto"/>
                      <w:kern w:val="2"/>
                      <w:position w:val="2"/>
                      <w:sz w:val="24"/>
                    </w:rPr>
                  </w:pPr>
                  <w:r>
                    <w:rPr>
                      <w:rFonts w:ascii="Times New Roman" w:hAnsi="Times New Roman"/>
                      <w:color w:val="auto"/>
                      <w:kern w:val="2"/>
                      <w:position w:val="2"/>
                      <w:sz w:val="24"/>
                    </w:rPr>
                    <w:t>L≤1000</w:t>
                  </w:r>
                </w:p>
              </w:tc>
              <w:tc>
                <w:tcPr>
                  <w:tcW w:w="2251" w:type="dxa"/>
                  <w:gridSpan w:val="3"/>
                  <w:vAlign w:val="center"/>
                </w:tcPr>
                <w:p>
                  <w:pPr>
                    <w:pStyle w:val="71"/>
                    <w:jc w:val="center"/>
                    <w:rPr>
                      <w:rFonts w:ascii="Times New Roman" w:hAnsi="Times New Roman"/>
                      <w:color w:val="auto"/>
                      <w:kern w:val="2"/>
                      <w:position w:val="2"/>
                      <w:sz w:val="24"/>
                    </w:rPr>
                  </w:pPr>
                  <w:r>
                    <w:rPr>
                      <w:rFonts w:ascii="Times New Roman" w:hAnsi="Times New Roman"/>
                      <w:color w:val="auto"/>
                      <w:kern w:val="2"/>
                      <w:position w:val="2"/>
                      <w:sz w:val="24"/>
                    </w:rPr>
                    <w:t>1000＜L≤2000</w:t>
                  </w:r>
                </w:p>
              </w:tc>
              <w:tc>
                <w:tcPr>
                  <w:tcW w:w="2323" w:type="dxa"/>
                  <w:gridSpan w:val="3"/>
                  <w:vAlign w:val="center"/>
                </w:tcPr>
                <w:p>
                  <w:pPr>
                    <w:pStyle w:val="71"/>
                    <w:jc w:val="center"/>
                    <w:rPr>
                      <w:rFonts w:ascii="Times New Roman" w:hAnsi="Times New Roman"/>
                      <w:color w:val="auto"/>
                      <w:kern w:val="2"/>
                      <w:position w:val="2"/>
                      <w:sz w:val="24"/>
                    </w:rPr>
                  </w:pPr>
                  <w:r>
                    <w:rPr>
                      <w:rFonts w:ascii="Times New Roman" w:hAnsi="Times New Roman"/>
                      <w:color w:val="auto"/>
                      <w:kern w:val="2"/>
                      <w:position w:val="2"/>
                      <w:sz w:val="24"/>
                    </w:rPr>
                    <w:t>L＞2000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continue"/>
                  <w:vAlign w:val="center"/>
                </w:tcPr>
                <w:p>
                  <w:pPr>
                    <w:widowControl/>
                    <w:jc w:val="left"/>
                    <w:rPr>
                      <w:rFonts w:ascii="Times New Roman" w:hAnsi="Times New Roman"/>
                      <w:color w:val="auto"/>
                      <w:position w:val="2"/>
                      <w:sz w:val="24"/>
                      <w:szCs w:val="22"/>
                      <w:lang w:eastAsia="en-US"/>
                    </w:rPr>
                  </w:pPr>
                </w:p>
              </w:tc>
              <w:tc>
                <w:tcPr>
                  <w:tcW w:w="833" w:type="dxa"/>
                  <w:vMerge w:val="continue"/>
                  <w:vAlign w:val="center"/>
                </w:tcPr>
                <w:p>
                  <w:pPr>
                    <w:widowControl/>
                    <w:jc w:val="left"/>
                    <w:rPr>
                      <w:rFonts w:ascii="Times New Roman" w:hAnsi="Times New Roman"/>
                      <w:color w:val="auto"/>
                      <w:position w:val="2"/>
                      <w:sz w:val="24"/>
                      <w:szCs w:val="22"/>
                      <w:lang w:eastAsia="en-US"/>
                    </w:rPr>
                  </w:pPr>
                </w:p>
              </w:tc>
              <w:tc>
                <w:tcPr>
                  <w:tcW w:w="7212" w:type="dxa"/>
                  <w:gridSpan w:val="10"/>
                  <w:vAlign w:val="center"/>
                </w:tcPr>
                <w:p>
                  <w:pPr>
                    <w:pStyle w:val="71"/>
                    <w:jc w:val="center"/>
                    <w:rPr>
                      <w:rFonts w:ascii="Times New Roman" w:hAnsi="Times New Roman"/>
                      <w:color w:val="auto"/>
                      <w:kern w:val="2"/>
                      <w:position w:val="2"/>
                      <w:sz w:val="24"/>
                      <w:lang w:eastAsia="zh-CN"/>
                    </w:rPr>
                  </w:pPr>
                  <w:r>
                    <w:rPr>
                      <w:rFonts w:ascii="Times New Roman" w:hAnsi="Times New Roman"/>
                      <w:color w:val="auto"/>
                      <w:kern w:val="2"/>
                      <w:position w:val="2"/>
                      <w:sz w:val="24"/>
                      <w:lang w:eastAsia="zh-CN"/>
                    </w:rPr>
                    <w:t>工业大气污染源构成类别</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continue"/>
                  <w:vAlign w:val="center"/>
                </w:tcPr>
                <w:p>
                  <w:pPr>
                    <w:widowControl/>
                    <w:jc w:val="left"/>
                    <w:rPr>
                      <w:rFonts w:ascii="Times New Roman" w:hAnsi="Times New Roman"/>
                      <w:color w:val="auto"/>
                      <w:position w:val="2"/>
                      <w:sz w:val="24"/>
                      <w:szCs w:val="22"/>
                    </w:rPr>
                  </w:pPr>
                </w:p>
              </w:tc>
              <w:tc>
                <w:tcPr>
                  <w:tcW w:w="833" w:type="dxa"/>
                  <w:vMerge w:val="continue"/>
                  <w:vAlign w:val="center"/>
                </w:tcPr>
                <w:p>
                  <w:pPr>
                    <w:widowControl/>
                    <w:jc w:val="left"/>
                    <w:rPr>
                      <w:rFonts w:ascii="Times New Roman" w:hAnsi="Times New Roman"/>
                      <w:color w:val="auto"/>
                      <w:position w:val="2"/>
                      <w:sz w:val="24"/>
                      <w:szCs w:val="22"/>
                    </w:rPr>
                  </w:pPr>
                </w:p>
              </w:tc>
              <w:tc>
                <w:tcPr>
                  <w:tcW w:w="1035" w:type="dxa"/>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Ⅰ</w:t>
                  </w:r>
                </w:p>
              </w:tc>
              <w:tc>
                <w:tcPr>
                  <w:tcW w:w="769" w:type="dxa"/>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Ⅱ</w:t>
                  </w:r>
                </w:p>
              </w:tc>
              <w:tc>
                <w:tcPr>
                  <w:tcW w:w="773" w:type="dxa"/>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Ⅲ</w:t>
                  </w:r>
                </w:p>
              </w:tc>
              <w:tc>
                <w:tcPr>
                  <w:tcW w:w="769" w:type="dxa"/>
                  <w:gridSpan w:val="2"/>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Ⅰ</w:t>
                  </w:r>
                </w:p>
              </w:tc>
              <w:tc>
                <w:tcPr>
                  <w:tcW w:w="769" w:type="dxa"/>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Ⅱ</w:t>
                  </w:r>
                </w:p>
              </w:tc>
              <w:tc>
                <w:tcPr>
                  <w:tcW w:w="774" w:type="dxa"/>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Ⅲ</w:t>
                  </w:r>
                </w:p>
              </w:tc>
              <w:tc>
                <w:tcPr>
                  <w:tcW w:w="769" w:type="dxa"/>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Ⅰ</w:t>
                  </w:r>
                </w:p>
              </w:tc>
              <w:tc>
                <w:tcPr>
                  <w:tcW w:w="769" w:type="dxa"/>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Ⅱ</w:t>
                  </w:r>
                </w:p>
              </w:tc>
              <w:tc>
                <w:tcPr>
                  <w:tcW w:w="785" w:type="dxa"/>
                  <w:vAlign w:val="center"/>
                </w:tcPr>
                <w:p>
                  <w:pPr>
                    <w:pStyle w:val="71"/>
                    <w:jc w:val="center"/>
                    <w:rPr>
                      <w:rFonts w:ascii="Times New Roman" w:hAnsi="Times New Roman"/>
                      <w:color w:val="auto"/>
                      <w:kern w:val="2"/>
                      <w:position w:val="2"/>
                      <w:sz w:val="24"/>
                      <w:lang w:eastAsia="zh-CN"/>
                    </w:rPr>
                  </w:pPr>
                  <w:r>
                    <w:rPr>
                      <w:rFonts w:hint="eastAsia" w:ascii="宋体" w:hAnsi="宋体" w:cs="宋体"/>
                      <w:color w:val="auto"/>
                      <w:kern w:val="2"/>
                      <w:position w:val="2"/>
                      <w:sz w:val="24"/>
                      <w:lang w:eastAsia="zh-CN"/>
                    </w:rPr>
                    <w:t>Ⅲ</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restart"/>
                  <w:shd w:val="clear" w:color="auto" w:fill="auto"/>
                  <w:vAlign w:val="center"/>
                </w:tcPr>
                <w:p>
                  <w:pPr>
                    <w:pStyle w:val="71"/>
                    <w:jc w:val="center"/>
                    <w:rPr>
                      <w:rFonts w:ascii="Times New Roman" w:hAnsi="Times New Roman"/>
                      <w:color w:val="auto"/>
                      <w:kern w:val="2"/>
                      <w:sz w:val="21"/>
                      <w:lang w:eastAsia="zh-CN"/>
                    </w:rPr>
                  </w:pPr>
                  <w:r>
                    <w:rPr>
                      <w:rFonts w:ascii="Times New Roman" w:hAnsi="Times New Roman"/>
                      <w:color w:val="auto"/>
                      <w:w w:val="99"/>
                      <w:kern w:val="2"/>
                      <w:sz w:val="21"/>
                      <w:lang w:eastAsia="zh-CN"/>
                    </w:rPr>
                    <w:t>A</w:t>
                  </w:r>
                </w:p>
              </w:tc>
              <w:tc>
                <w:tcPr>
                  <w:tcW w:w="833" w:type="dxa"/>
                  <w:shd w:val="clear" w:color="auto" w:fill="auto"/>
                  <w:vAlign w:val="center"/>
                </w:tcPr>
                <w:p>
                  <w:pPr>
                    <w:pStyle w:val="71"/>
                    <w:jc w:val="center"/>
                    <w:rPr>
                      <w:rFonts w:ascii="Times New Roman" w:hAnsi="Times New Roman" w:eastAsia="Times New Roman"/>
                      <w:color w:val="auto"/>
                      <w:kern w:val="2"/>
                      <w:sz w:val="21"/>
                      <w:lang w:eastAsia="zh-CN"/>
                    </w:rPr>
                  </w:pP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2</w:t>
                  </w:r>
                </w:p>
              </w:tc>
              <w:tc>
                <w:tcPr>
                  <w:tcW w:w="1035" w:type="dxa"/>
                  <w:shd w:val="clear" w:color="auto" w:fill="auto"/>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400</w:t>
                  </w:r>
                </w:p>
              </w:tc>
              <w:tc>
                <w:tcPr>
                  <w:tcW w:w="769" w:type="dxa"/>
                  <w:shd w:val="clear" w:color="auto" w:fill="auto"/>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400</w:t>
                  </w:r>
                </w:p>
              </w:tc>
              <w:tc>
                <w:tcPr>
                  <w:tcW w:w="773" w:type="dxa"/>
                  <w:shd w:val="clear" w:color="auto" w:fill="595959"/>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400</w:t>
                  </w:r>
                </w:p>
              </w:tc>
              <w:tc>
                <w:tcPr>
                  <w:tcW w:w="769" w:type="dxa"/>
                  <w:gridSpan w:val="2"/>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400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400</w:t>
                  </w:r>
                </w:p>
              </w:tc>
              <w:tc>
                <w:tcPr>
                  <w:tcW w:w="774"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400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80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80</w:t>
                  </w:r>
                </w:p>
              </w:tc>
              <w:tc>
                <w:tcPr>
                  <w:tcW w:w="785"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80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continue"/>
                  <w:shd w:val="clear" w:color="auto" w:fill="auto"/>
                  <w:vAlign w:val="center"/>
                </w:tcPr>
                <w:p>
                  <w:pPr>
                    <w:widowControl/>
                    <w:jc w:val="left"/>
                    <w:rPr>
                      <w:rFonts w:ascii="Times New Roman" w:hAnsi="Times New Roman"/>
                      <w:color w:val="auto"/>
                      <w:szCs w:val="22"/>
                    </w:rPr>
                  </w:pPr>
                </w:p>
              </w:tc>
              <w:tc>
                <w:tcPr>
                  <w:tcW w:w="833" w:type="dxa"/>
                  <w:shd w:val="clear" w:color="auto" w:fill="auto"/>
                  <w:vAlign w:val="center"/>
                </w:tcPr>
                <w:p>
                  <w:pPr>
                    <w:pStyle w:val="71"/>
                    <w:jc w:val="center"/>
                    <w:rPr>
                      <w:rFonts w:ascii="Times New Roman" w:hAnsi="Times New Roman" w:eastAsia="Times New Roman"/>
                      <w:color w:val="auto"/>
                      <w:kern w:val="2"/>
                      <w:sz w:val="21"/>
                      <w:lang w:eastAsia="zh-CN"/>
                    </w:rPr>
                  </w:pPr>
                  <w:r>
                    <w:rPr>
                      <w:rFonts w:ascii="Times New Roman" w:hAnsi="Times New Roman" w:eastAsia="Times New Roman"/>
                      <w:color w:val="auto"/>
                      <w:kern w:val="2"/>
                      <w:sz w:val="21"/>
                      <w:lang w:eastAsia="zh-CN"/>
                    </w:rPr>
                    <w:t>2</w:t>
                  </w: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4</w:t>
                  </w:r>
                </w:p>
              </w:tc>
              <w:tc>
                <w:tcPr>
                  <w:tcW w:w="1035" w:type="dxa"/>
                  <w:shd w:val="clear" w:color="auto" w:fill="auto"/>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700</w:t>
                  </w:r>
                </w:p>
              </w:tc>
              <w:tc>
                <w:tcPr>
                  <w:tcW w:w="769" w:type="dxa"/>
                  <w:shd w:val="clear" w:color="auto" w:fill="auto"/>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470</w:t>
                  </w:r>
                </w:p>
              </w:tc>
              <w:tc>
                <w:tcPr>
                  <w:tcW w:w="773" w:type="dxa"/>
                  <w:shd w:val="clear" w:color="auto" w:fill="FFFFFF"/>
                  <w:vAlign w:val="center"/>
                </w:tcPr>
                <w:p>
                  <w:pPr>
                    <w:pStyle w:val="71"/>
                    <w:jc w:val="center"/>
                    <w:rPr>
                      <w:rFonts w:ascii="Times New Roman" w:hAnsi="Times New Roman"/>
                      <w:color w:val="auto"/>
                      <w:kern w:val="2"/>
                      <w:sz w:val="21"/>
                      <w:shd w:val="clear" w:color="auto" w:fill="D9D9D9"/>
                      <w:lang w:eastAsia="zh-CN"/>
                    </w:rPr>
                  </w:pPr>
                  <w:r>
                    <w:rPr>
                      <w:rFonts w:ascii="Times New Roman" w:hAnsi="Times New Roman"/>
                      <w:color w:val="auto"/>
                      <w:kern w:val="2"/>
                      <w:sz w:val="21"/>
                      <w:lang w:eastAsia="zh-CN"/>
                    </w:rPr>
                    <w:t>350</w:t>
                  </w:r>
                </w:p>
              </w:tc>
              <w:tc>
                <w:tcPr>
                  <w:tcW w:w="769" w:type="dxa"/>
                  <w:gridSpan w:val="2"/>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700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470</w:t>
                  </w:r>
                </w:p>
              </w:tc>
              <w:tc>
                <w:tcPr>
                  <w:tcW w:w="774"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350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380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250</w:t>
                  </w:r>
                </w:p>
              </w:tc>
              <w:tc>
                <w:tcPr>
                  <w:tcW w:w="785"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190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continue"/>
                  <w:vAlign w:val="center"/>
                </w:tcPr>
                <w:p>
                  <w:pPr>
                    <w:widowControl/>
                    <w:jc w:val="left"/>
                    <w:rPr>
                      <w:rFonts w:ascii="Times New Roman" w:hAnsi="Times New Roman"/>
                      <w:color w:val="auto"/>
                      <w:szCs w:val="22"/>
                    </w:rPr>
                  </w:pPr>
                </w:p>
              </w:tc>
              <w:tc>
                <w:tcPr>
                  <w:tcW w:w="833" w:type="dxa"/>
                  <w:vAlign w:val="center"/>
                </w:tcPr>
                <w:p>
                  <w:pPr>
                    <w:pStyle w:val="71"/>
                    <w:jc w:val="center"/>
                    <w:rPr>
                      <w:rFonts w:ascii="Times New Roman" w:hAnsi="Times New Roman" w:eastAsia="Times New Roman"/>
                      <w:color w:val="auto"/>
                      <w:kern w:val="2"/>
                      <w:sz w:val="21"/>
                      <w:lang w:eastAsia="zh-CN"/>
                    </w:rPr>
                  </w:pP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4</w:t>
                  </w:r>
                </w:p>
              </w:tc>
              <w:tc>
                <w:tcPr>
                  <w:tcW w:w="1035"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530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350</w:t>
                  </w:r>
                </w:p>
              </w:tc>
              <w:tc>
                <w:tcPr>
                  <w:tcW w:w="773"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260</w:t>
                  </w:r>
                </w:p>
              </w:tc>
              <w:tc>
                <w:tcPr>
                  <w:tcW w:w="769" w:type="dxa"/>
                  <w:gridSpan w:val="2"/>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530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350</w:t>
                  </w:r>
                </w:p>
              </w:tc>
              <w:tc>
                <w:tcPr>
                  <w:tcW w:w="774"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260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290</w:t>
                  </w:r>
                </w:p>
              </w:tc>
              <w:tc>
                <w:tcPr>
                  <w:tcW w:w="769"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190</w:t>
                  </w:r>
                </w:p>
              </w:tc>
              <w:tc>
                <w:tcPr>
                  <w:tcW w:w="785" w:type="dxa"/>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140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restart"/>
                  <w:shd w:val="clear" w:color="auto" w:fill="auto"/>
                  <w:vAlign w:val="center"/>
                </w:tcPr>
                <w:p>
                  <w:pPr>
                    <w:pStyle w:val="71"/>
                    <w:jc w:val="center"/>
                    <w:rPr>
                      <w:rFonts w:ascii="Times New Roman" w:hAnsi="Times New Roman"/>
                      <w:color w:val="auto"/>
                      <w:kern w:val="2"/>
                      <w:sz w:val="21"/>
                      <w:lang w:eastAsia="zh-CN"/>
                    </w:rPr>
                  </w:pPr>
                  <w:r>
                    <w:rPr>
                      <w:rFonts w:ascii="Times New Roman" w:hAnsi="Times New Roman"/>
                      <w:color w:val="auto"/>
                      <w:w w:val="99"/>
                      <w:kern w:val="2"/>
                      <w:sz w:val="21"/>
                      <w:lang w:eastAsia="zh-CN"/>
                    </w:rPr>
                    <w:t>B</w:t>
                  </w:r>
                </w:p>
              </w:tc>
              <w:tc>
                <w:tcPr>
                  <w:tcW w:w="833" w:type="dxa"/>
                  <w:shd w:val="clear" w:color="auto" w:fill="auto"/>
                  <w:vAlign w:val="center"/>
                </w:tcPr>
                <w:p>
                  <w:pPr>
                    <w:pStyle w:val="71"/>
                    <w:jc w:val="center"/>
                    <w:rPr>
                      <w:rFonts w:ascii="Times New Roman" w:hAnsi="Times New Roman" w:eastAsia="Times New Roman"/>
                      <w:color w:val="auto"/>
                      <w:kern w:val="2"/>
                      <w:sz w:val="21"/>
                      <w:lang w:eastAsia="zh-CN"/>
                    </w:rPr>
                  </w:pP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2</w:t>
                  </w:r>
                </w:p>
              </w:tc>
              <w:tc>
                <w:tcPr>
                  <w:tcW w:w="2577" w:type="dxa"/>
                  <w:gridSpan w:val="3"/>
                  <w:shd w:val="clear" w:color="auto" w:fill="DDD9C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0.01</w:t>
                  </w:r>
                </w:p>
              </w:tc>
              <w:tc>
                <w:tcPr>
                  <w:tcW w:w="2312" w:type="dxa"/>
                  <w:gridSpan w:val="4"/>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0.015</w:t>
                  </w:r>
                </w:p>
              </w:tc>
              <w:tc>
                <w:tcPr>
                  <w:tcW w:w="2323" w:type="dxa"/>
                  <w:gridSpan w:val="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0.015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continue"/>
                  <w:shd w:val="clear" w:color="auto" w:fill="auto"/>
                  <w:vAlign w:val="center"/>
                </w:tcPr>
                <w:p>
                  <w:pPr>
                    <w:widowControl/>
                    <w:jc w:val="left"/>
                    <w:rPr>
                      <w:rFonts w:ascii="Times New Roman" w:hAnsi="Times New Roman"/>
                      <w:color w:val="auto"/>
                      <w:szCs w:val="22"/>
                    </w:rPr>
                  </w:pPr>
                </w:p>
              </w:tc>
              <w:tc>
                <w:tcPr>
                  <w:tcW w:w="833" w:type="dxa"/>
                  <w:shd w:val="clear" w:color="auto" w:fill="auto"/>
                  <w:vAlign w:val="center"/>
                </w:tcPr>
                <w:p>
                  <w:pPr>
                    <w:pStyle w:val="71"/>
                    <w:jc w:val="center"/>
                    <w:rPr>
                      <w:rFonts w:ascii="Times New Roman" w:hAnsi="Times New Roman" w:eastAsia="Times New Roman"/>
                      <w:color w:val="auto"/>
                      <w:kern w:val="2"/>
                      <w:sz w:val="21"/>
                      <w:lang w:eastAsia="zh-CN"/>
                    </w:rPr>
                  </w:pP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2</w:t>
                  </w:r>
                </w:p>
              </w:tc>
              <w:tc>
                <w:tcPr>
                  <w:tcW w:w="2577" w:type="dxa"/>
                  <w:gridSpan w:val="3"/>
                  <w:shd w:val="clear" w:color="auto" w:fill="FFFFFF"/>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0.021</w:t>
                  </w:r>
                </w:p>
              </w:tc>
              <w:tc>
                <w:tcPr>
                  <w:tcW w:w="2312" w:type="dxa"/>
                  <w:gridSpan w:val="4"/>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0.036</w:t>
                  </w:r>
                </w:p>
              </w:tc>
              <w:tc>
                <w:tcPr>
                  <w:tcW w:w="2323" w:type="dxa"/>
                  <w:gridSpan w:val="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0.036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restart"/>
                  <w:shd w:val="clear" w:color="auto" w:fill="auto"/>
                  <w:vAlign w:val="center"/>
                </w:tcPr>
                <w:p>
                  <w:pPr>
                    <w:pStyle w:val="71"/>
                    <w:jc w:val="center"/>
                    <w:rPr>
                      <w:rFonts w:ascii="Times New Roman" w:hAnsi="Times New Roman"/>
                      <w:color w:val="auto"/>
                      <w:kern w:val="2"/>
                      <w:sz w:val="21"/>
                      <w:lang w:eastAsia="zh-CN"/>
                    </w:rPr>
                  </w:pPr>
                  <w:r>
                    <w:rPr>
                      <w:rFonts w:ascii="Times New Roman" w:hAnsi="Times New Roman"/>
                      <w:color w:val="auto"/>
                      <w:w w:val="99"/>
                      <w:kern w:val="2"/>
                      <w:sz w:val="21"/>
                      <w:lang w:eastAsia="zh-CN"/>
                    </w:rPr>
                    <w:t>C</w:t>
                  </w:r>
                </w:p>
              </w:tc>
              <w:tc>
                <w:tcPr>
                  <w:tcW w:w="833" w:type="dxa"/>
                  <w:shd w:val="clear" w:color="auto" w:fill="auto"/>
                  <w:vAlign w:val="center"/>
                </w:tcPr>
                <w:p>
                  <w:pPr>
                    <w:pStyle w:val="71"/>
                    <w:jc w:val="center"/>
                    <w:rPr>
                      <w:rFonts w:ascii="Times New Roman" w:hAnsi="Times New Roman" w:eastAsia="Times New Roman"/>
                      <w:color w:val="auto"/>
                      <w:kern w:val="2"/>
                      <w:sz w:val="21"/>
                      <w:lang w:eastAsia="zh-CN"/>
                    </w:rPr>
                  </w:pP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2</w:t>
                  </w:r>
                </w:p>
              </w:tc>
              <w:tc>
                <w:tcPr>
                  <w:tcW w:w="2577" w:type="dxa"/>
                  <w:gridSpan w:val="3"/>
                  <w:shd w:val="clear" w:color="auto" w:fill="DDD9C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1.85</w:t>
                  </w:r>
                </w:p>
              </w:tc>
              <w:tc>
                <w:tcPr>
                  <w:tcW w:w="2312" w:type="dxa"/>
                  <w:gridSpan w:val="4"/>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1.79</w:t>
                  </w:r>
                </w:p>
              </w:tc>
              <w:tc>
                <w:tcPr>
                  <w:tcW w:w="2323" w:type="dxa"/>
                  <w:gridSpan w:val="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1.79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 w:type="dxa"/>
                  <w:vMerge w:val="continue"/>
                  <w:shd w:val="clear" w:color="auto" w:fill="auto"/>
                  <w:vAlign w:val="center"/>
                </w:tcPr>
                <w:p>
                  <w:pPr>
                    <w:widowControl/>
                    <w:jc w:val="left"/>
                    <w:rPr>
                      <w:rFonts w:ascii="Times New Roman" w:hAnsi="Times New Roman"/>
                      <w:color w:val="auto"/>
                      <w:szCs w:val="22"/>
                    </w:rPr>
                  </w:pPr>
                </w:p>
              </w:tc>
              <w:tc>
                <w:tcPr>
                  <w:tcW w:w="833" w:type="dxa"/>
                  <w:shd w:val="clear" w:color="auto" w:fill="auto"/>
                  <w:vAlign w:val="center"/>
                </w:tcPr>
                <w:p>
                  <w:pPr>
                    <w:pStyle w:val="71"/>
                    <w:jc w:val="center"/>
                    <w:rPr>
                      <w:rFonts w:ascii="Times New Roman" w:hAnsi="Times New Roman" w:eastAsia="Times New Roman"/>
                      <w:color w:val="auto"/>
                      <w:kern w:val="2"/>
                      <w:sz w:val="21"/>
                      <w:lang w:eastAsia="zh-CN"/>
                    </w:rPr>
                  </w:pP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2</w:t>
                  </w:r>
                </w:p>
              </w:tc>
              <w:tc>
                <w:tcPr>
                  <w:tcW w:w="2577" w:type="dxa"/>
                  <w:gridSpan w:val="3"/>
                  <w:shd w:val="clear" w:color="auto" w:fill="FFFFFF"/>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1.85</w:t>
                  </w:r>
                </w:p>
              </w:tc>
              <w:tc>
                <w:tcPr>
                  <w:tcW w:w="2312" w:type="dxa"/>
                  <w:gridSpan w:val="4"/>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1.77</w:t>
                  </w:r>
                </w:p>
              </w:tc>
              <w:tc>
                <w:tcPr>
                  <w:tcW w:w="2323" w:type="dxa"/>
                  <w:gridSpan w:val="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1.77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636" w:type="dxa"/>
                  <w:vMerge w:val="restart"/>
                  <w:shd w:val="clear" w:color="auto" w:fill="auto"/>
                  <w:vAlign w:val="center"/>
                </w:tcPr>
                <w:p>
                  <w:pPr>
                    <w:pStyle w:val="71"/>
                    <w:jc w:val="center"/>
                    <w:rPr>
                      <w:rFonts w:ascii="Times New Roman" w:hAnsi="Times New Roman"/>
                      <w:color w:val="auto"/>
                      <w:kern w:val="2"/>
                      <w:sz w:val="21"/>
                      <w:lang w:eastAsia="zh-CN"/>
                    </w:rPr>
                  </w:pPr>
                  <w:r>
                    <w:rPr>
                      <w:rFonts w:ascii="Times New Roman" w:hAnsi="Times New Roman"/>
                      <w:color w:val="auto"/>
                      <w:w w:val="99"/>
                      <w:kern w:val="2"/>
                      <w:sz w:val="21"/>
                      <w:lang w:eastAsia="zh-CN"/>
                    </w:rPr>
                    <w:t>D</w:t>
                  </w:r>
                </w:p>
              </w:tc>
              <w:tc>
                <w:tcPr>
                  <w:tcW w:w="833" w:type="dxa"/>
                  <w:shd w:val="clear" w:color="auto" w:fill="auto"/>
                  <w:vAlign w:val="center"/>
                </w:tcPr>
                <w:p>
                  <w:pPr>
                    <w:pStyle w:val="71"/>
                    <w:jc w:val="center"/>
                    <w:rPr>
                      <w:rFonts w:ascii="Times New Roman" w:hAnsi="Times New Roman" w:eastAsia="Times New Roman"/>
                      <w:color w:val="auto"/>
                      <w:kern w:val="2"/>
                      <w:sz w:val="21"/>
                      <w:lang w:eastAsia="zh-CN"/>
                    </w:rPr>
                  </w:pP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2</w:t>
                  </w:r>
                </w:p>
              </w:tc>
              <w:tc>
                <w:tcPr>
                  <w:tcW w:w="2577" w:type="dxa"/>
                  <w:gridSpan w:val="3"/>
                  <w:shd w:val="clear" w:color="auto" w:fill="DDD9C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0.78</w:t>
                  </w:r>
                </w:p>
              </w:tc>
              <w:tc>
                <w:tcPr>
                  <w:tcW w:w="2312" w:type="dxa"/>
                  <w:gridSpan w:val="4"/>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0.78</w:t>
                  </w:r>
                </w:p>
              </w:tc>
              <w:tc>
                <w:tcPr>
                  <w:tcW w:w="2323" w:type="dxa"/>
                  <w:gridSpan w:val="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0.57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636" w:type="dxa"/>
                  <w:vMerge w:val="continue"/>
                  <w:shd w:val="clear" w:color="auto" w:fill="auto"/>
                  <w:vAlign w:val="center"/>
                </w:tcPr>
                <w:p>
                  <w:pPr>
                    <w:widowControl/>
                    <w:jc w:val="left"/>
                    <w:rPr>
                      <w:rFonts w:ascii="Times New Roman" w:hAnsi="Times New Roman"/>
                      <w:color w:val="auto"/>
                      <w:szCs w:val="22"/>
                    </w:rPr>
                  </w:pPr>
                </w:p>
              </w:tc>
              <w:tc>
                <w:tcPr>
                  <w:tcW w:w="833" w:type="dxa"/>
                  <w:shd w:val="clear" w:color="auto" w:fill="auto"/>
                  <w:vAlign w:val="center"/>
                </w:tcPr>
                <w:p>
                  <w:pPr>
                    <w:pStyle w:val="71"/>
                    <w:jc w:val="center"/>
                    <w:rPr>
                      <w:rFonts w:ascii="Times New Roman" w:hAnsi="Times New Roman" w:eastAsia="Times New Roman"/>
                      <w:color w:val="auto"/>
                      <w:kern w:val="2"/>
                      <w:sz w:val="21"/>
                      <w:lang w:eastAsia="zh-CN"/>
                    </w:rPr>
                  </w:pPr>
                  <w:r>
                    <w:rPr>
                      <w:rFonts w:ascii="Times New Roman" w:hAnsi="Times New Roman"/>
                      <w:color w:val="auto"/>
                      <w:kern w:val="2"/>
                      <w:sz w:val="21"/>
                      <w:lang w:eastAsia="zh-CN"/>
                    </w:rPr>
                    <w:t>＞</w:t>
                  </w:r>
                  <w:r>
                    <w:rPr>
                      <w:rFonts w:ascii="Times New Roman" w:hAnsi="Times New Roman" w:eastAsia="Times New Roman"/>
                      <w:color w:val="auto"/>
                      <w:kern w:val="2"/>
                      <w:sz w:val="21"/>
                      <w:lang w:eastAsia="zh-CN"/>
                    </w:rPr>
                    <w:t>2</w:t>
                  </w:r>
                </w:p>
              </w:tc>
              <w:tc>
                <w:tcPr>
                  <w:tcW w:w="2577" w:type="dxa"/>
                  <w:gridSpan w:val="3"/>
                  <w:shd w:val="clear" w:color="auto" w:fill="FFFFFF"/>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0.84</w:t>
                  </w:r>
                </w:p>
              </w:tc>
              <w:tc>
                <w:tcPr>
                  <w:tcW w:w="2312" w:type="dxa"/>
                  <w:gridSpan w:val="4"/>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0.84</w:t>
                  </w:r>
                </w:p>
              </w:tc>
              <w:tc>
                <w:tcPr>
                  <w:tcW w:w="2323" w:type="dxa"/>
                  <w:gridSpan w:val="3"/>
                  <w:vAlign w:val="center"/>
                </w:tcPr>
                <w:p>
                  <w:pPr>
                    <w:pStyle w:val="71"/>
                    <w:jc w:val="center"/>
                    <w:rPr>
                      <w:rFonts w:ascii="Times New Roman" w:hAnsi="Times New Roman"/>
                      <w:color w:val="auto"/>
                      <w:kern w:val="2"/>
                      <w:sz w:val="21"/>
                      <w:lang w:eastAsia="zh-CN"/>
                    </w:rPr>
                  </w:pPr>
                  <w:r>
                    <w:rPr>
                      <w:rFonts w:ascii="Times New Roman" w:hAnsi="Times New Roman"/>
                      <w:color w:val="auto"/>
                      <w:kern w:val="2"/>
                      <w:sz w:val="21"/>
                      <w:lang w:eastAsia="zh-CN"/>
                    </w:rPr>
                    <w:t>0.76</w:t>
                  </w:r>
                </w:p>
              </w:tc>
            </w:tr>
          </w:tbl>
          <w:p>
            <w:pPr>
              <w:adjustRightInd w:val="0"/>
              <w:snapToGrid w:val="0"/>
              <w:jc w:val="center"/>
              <w:rPr>
                <w:rFonts w:ascii="Times New Roman" w:hAnsi="Times New Roman"/>
                <w:b/>
                <w:bCs/>
                <w:color w:val="auto"/>
                <w:kern w:val="0"/>
                <w:sz w:val="24"/>
              </w:rPr>
            </w:pPr>
            <w:r>
              <w:rPr>
                <w:rFonts w:ascii="Times New Roman" w:hAnsi="Times New Roman"/>
                <w:b/>
                <w:bCs/>
                <w:color w:val="auto"/>
                <w:kern w:val="0"/>
                <w:sz w:val="24"/>
              </w:rPr>
              <w:t>表7-10  项目卫生防护距离计算参数一览表</w:t>
            </w:r>
          </w:p>
          <w:tbl>
            <w:tblPr>
              <w:tblStyle w:val="26"/>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87"/>
              <w:gridCol w:w="925"/>
              <w:gridCol w:w="1246"/>
              <w:gridCol w:w="1301"/>
              <w:gridCol w:w="608"/>
              <w:gridCol w:w="766"/>
              <w:gridCol w:w="615"/>
              <w:gridCol w:w="616"/>
              <w:gridCol w:w="1086"/>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tblHeader/>
                <w:jc w:val="center"/>
              </w:trPr>
              <w:tc>
                <w:tcPr>
                  <w:tcW w:w="687" w:type="dxa"/>
                  <w:vMerge w:val="restart"/>
                  <w:vAlign w:val="center"/>
                </w:tcPr>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排放源</w:t>
                  </w:r>
                </w:p>
              </w:tc>
              <w:tc>
                <w:tcPr>
                  <w:tcW w:w="925"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污染</w:t>
                  </w:r>
                </w:p>
                <w:p>
                  <w:pPr>
                    <w:adjustRightInd w:val="0"/>
                    <w:snapToGrid w:val="0"/>
                    <w:jc w:val="center"/>
                    <w:rPr>
                      <w:rFonts w:ascii="Times New Roman" w:hAnsi="Times New Roman"/>
                      <w:color w:val="auto"/>
                      <w:szCs w:val="21"/>
                    </w:rPr>
                  </w:pPr>
                  <w:r>
                    <w:rPr>
                      <w:rFonts w:ascii="Times New Roman" w:hAnsi="Times New Roman"/>
                      <w:color w:val="auto"/>
                      <w:szCs w:val="21"/>
                    </w:rPr>
                    <w:t>因子</w:t>
                  </w:r>
                </w:p>
              </w:tc>
              <w:tc>
                <w:tcPr>
                  <w:tcW w:w="1246"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排放速率Q</w:t>
                  </w:r>
                  <w:r>
                    <w:rPr>
                      <w:rFonts w:ascii="Times New Roman" w:hAnsi="Times New Roman"/>
                      <w:color w:val="auto"/>
                      <w:szCs w:val="21"/>
                      <w:vertAlign w:val="subscript"/>
                    </w:rPr>
                    <w:t>c</w:t>
                  </w:r>
                  <w:r>
                    <w:rPr>
                      <w:rFonts w:ascii="Times New Roman" w:hAnsi="Times New Roman"/>
                      <w:color w:val="auto"/>
                      <w:szCs w:val="21"/>
                    </w:rPr>
                    <w:t>（kg/h）</w:t>
                  </w:r>
                </w:p>
              </w:tc>
              <w:tc>
                <w:tcPr>
                  <w:tcW w:w="1301"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Cm标准</w:t>
                  </w:r>
                </w:p>
                <w:p>
                  <w:pPr>
                    <w:adjustRightInd w:val="0"/>
                    <w:snapToGrid w:val="0"/>
                    <w:jc w:val="center"/>
                    <w:rPr>
                      <w:rFonts w:ascii="Times New Roman" w:hAnsi="Times New Roman"/>
                      <w:color w:val="auto"/>
                      <w:szCs w:val="21"/>
                    </w:rPr>
                  </w:pPr>
                  <w:r>
                    <w:rPr>
                      <w:rFonts w:ascii="Times New Roman" w:hAnsi="Times New Roman"/>
                      <w:color w:val="auto"/>
                      <w:szCs w:val="21"/>
                    </w:rPr>
                    <w:t>（mg/m</w:t>
                  </w:r>
                  <w:r>
                    <w:rPr>
                      <w:rFonts w:ascii="Times New Roman" w:hAnsi="Times New Roman"/>
                      <w:color w:val="auto"/>
                      <w:szCs w:val="21"/>
                      <w:vertAlign w:val="superscript"/>
                    </w:rPr>
                    <w:t>3</w:t>
                  </w:r>
                  <w:r>
                    <w:rPr>
                      <w:rFonts w:ascii="Times New Roman" w:hAnsi="Times New Roman"/>
                      <w:color w:val="auto"/>
                      <w:szCs w:val="21"/>
                    </w:rPr>
                    <w:t>）</w:t>
                  </w:r>
                </w:p>
              </w:tc>
              <w:tc>
                <w:tcPr>
                  <w:tcW w:w="2605" w:type="dxa"/>
                  <w:gridSpan w:val="4"/>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参数</w:t>
                  </w:r>
                </w:p>
              </w:tc>
              <w:tc>
                <w:tcPr>
                  <w:tcW w:w="1086"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卫生防护距离L计算结果（m）</w:t>
                  </w:r>
                </w:p>
              </w:tc>
              <w:tc>
                <w:tcPr>
                  <w:tcW w:w="929"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取值（m）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tblHeader/>
                <w:jc w:val="center"/>
              </w:trPr>
              <w:tc>
                <w:tcPr>
                  <w:tcW w:w="687" w:type="dxa"/>
                  <w:vMerge w:val="continue"/>
                  <w:vAlign w:val="center"/>
                </w:tcPr>
                <w:p>
                  <w:pPr>
                    <w:adjustRightInd w:val="0"/>
                    <w:snapToGrid w:val="0"/>
                    <w:jc w:val="center"/>
                    <w:rPr>
                      <w:rFonts w:ascii="Times New Roman" w:hAnsi="Times New Roman"/>
                      <w:color w:val="auto"/>
                      <w:kern w:val="0"/>
                      <w:szCs w:val="21"/>
                    </w:rPr>
                  </w:pPr>
                </w:p>
              </w:tc>
              <w:tc>
                <w:tcPr>
                  <w:tcW w:w="925" w:type="dxa"/>
                  <w:vMerge w:val="continue"/>
                  <w:vAlign w:val="center"/>
                </w:tcPr>
                <w:p>
                  <w:pPr>
                    <w:adjustRightInd w:val="0"/>
                    <w:snapToGrid w:val="0"/>
                    <w:jc w:val="center"/>
                    <w:rPr>
                      <w:rFonts w:ascii="Times New Roman" w:hAnsi="Times New Roman"/>
                      <w:color w:val="auto"/>
                      <w:szCs w:val="21"/>
                    </w:rPr>
                  </w:pPr>
                </w:p>
              </w:tc>
              <w:tc>
                <w:tcPr>
                  <w:tcW w:w="1246" w:type="dxa"/>
                  <w:vMerge w:val="continue"/>
                  <w:vAlign w:val="center"/>
                </w:tcPr>
                <w:p>
                  <w:pPr>
                    <w:adjustRightInd w:val="0"/>
                    <w:snapToGrid w:val="0"/>
                    <w:jc w:val="center"/>
                    <w:rPr>
                      <w:rFonts w:ascii="Times New Roman" w:hAnsi="Times New Roman"/>
                      <w:color w:val="auto"/>
                      <w:szCs w:val="21"/>
                    </w:rPr>
                  </w:pPr>
                </w:p>
              </w:tc>
              <w:tc>
                <w:tcPr>
                  <w:tcW w:w="1301" w:type="dxa"/>
                  <w:vMerge w:val="continue"/>
                  <w:vAlign w:val="center"/>
                </w:tcPr>
                <w:p>
                  <w:pPr>
                    <w:adjustRightInd w:val="0"/>
                    <w:snapToGrid w:val="0"/>
                    <w:jc w:val="center"/>
                    <w:rPr>
                      <w:rFonts w:ascii="Times New Roman" w:hAnsi="Times New Roman"/>
                      <w:color w:val="auto"/>
                      <w:szCs w:val="21"/>
                    </w:rPr>
                  </w:pPr>
                </w:p>
              </w:tc>
              <w:tc>
                <w:tcPr>
                  <w:tcW w:w="608"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A</w:t>
                  </w:r>
                </w:p>
              </w:tc>
              <w:tc>
                <w:tcPr>
                  <w:tcW w:w="76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B</w:t>
                  </w:r>
                </w:p>
              </w:tc>
              <w:tc>
                <w:tcPr>
                  <w:tcW w:w="61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p>
              </w:tc>
              <w:tc>
                <w:tcPr>
                  <w:tcW w:w="61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D</w:t>
                  </w:r>
                </w:p>
              </w:tc>
              <w:tc>
                <w:tcPr>
                  <w:tcW w:w="1086" w:type="dxa"/>
                  <w:vMerge w:val="continue"/>
                  <w:vAlign w:val="center"/>
                </w:tcPr>
                <w:p>
                  <w:pPr>
                    <w:adjustRightInd w:val="0"/>
                    <w:snapToGrid w:val="0"/>
                    <w:jc w:val="center"/>
                    <w:rPr>
                      <w:rFonts w:ascii="Times New Roman" w:hAnsi="Times New Roman"/>
                      <w:color w:val="auto"/>
                      <w:szCs w:val="21"/>
                    </w:rPr>
                  </w:pPr>
                </w:p>
              </w:tc>
              <w:tc>
                <w:tcPr>
                  <w:tcW w:w="929" w:type="dxa"/>
                  <w:vMerge w:val="continue"/>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tblHeader/>
                <w:jc w:val="center"/>
              </w:trPr>
              <w:tc>
                <w:tcPr>
                  <w:tcW w:w="687" w:type="dxa"/>
                  <w:vMerge w:val="continue"/>
                  <w:vAlign w:val="center"/>
                </w:tcPr>
                <w:p>
                  <w:pPr>
                    <w:adjustRightInd w:val="0"/>
                    <w:snapToGrid w:val="0"/>
                    <w:jc w:val="center"/>
                    <w:rPr>
                      <w:rFonts w:ascii="Times New Roman" w:hAnsi="Times New Roman"/>
                      <w:color w:val="auto"/>
                      <w:kern w:val="0"/>
                      <w:szCs w:val="21"/>
                    </w:rPr>
                  </w:pPr>
                </w:p>
              </w:tc>
              <w:tc>
                <w:tcPr>
                  <w:tcW w:w="925" w:type="dxa"/>
                  <w:vAlign w:val="center"/>
                </w:tcPr>
                <w:p>
                  <w:pPr>
                    <w:pStyle w:val="58"/>
                    <w:textAlignment w:val="baseline"/>
                    <w:rPr>
                      <w:rFonts w:ascii="Times New Roman" w:hAnsi="Times New Roman"/>
                      <w:color w:val="auto"/>
                      <w:szCs w:val="21"/>
                    </w:rPr>
                  </w:pPr>
                  <w:r>
                    <w:rPr>
                      <w:rFonts w:ascii="Times New Roman" w:hAnsi="Times New Roman"/>
                      <w:color w:val="auto"/>
                      <w:kern w:val="0"/>
                      <w:sz w:val="21"/>
                      <w:szCs w:val="21"/>
                    </w:rPr>
                    <w:t>氨</w:t>
                  </w:r>
                </w:p>
              </w:tc>
              <w:tc>
                <w:tcPr>
                  <w:tcW w:w="1246" w:type="dxa"/>
                  <w:vAlign w:val="center"/>
                </w:tcPr>
                <w:p>
                  <w:pPr>
                    <w:jc w:val="center"/>
                    <w:rPr>
                      <w:rFonts w:ascii="Times New Roman" w:hAnsi="Times New Roman"/>
                      <w:color w:val="auto"/>
                      <w:szCs w:val="21"/>
                    </w:rPr>
                  </w:pPr>
                  <w:r>
                    <w:rPr>
                      <w:rFonts w:ascii="Times New Roman" w:hAnsi="Times New Roman"/>
                      <w:color w:val="auto"/>
                      <w:szCs w:val="21"/>
                    </w:rPr>
                    <w:t>0.00008</w:t>
                  </w:r>
                </w:p>
              </w:tc>
              <w:tc>
                <w:tcPr>
                  <w:tcW w:w="130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w:t>
                  </w:r>
                </w:p>
              </w:tc>
              <w:tc>
                <w:tcPr>
                  <w:tcW w:w="608"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400</w:t>
                  </w:r>
                </w:p>
              </w:tc>
              <w:tc>
                <w:tcPr>
                  <w:tcW w:w="76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0.010</w:t>
                  </w:r>
                </w:p>
              </w:tc>
              <w:tc>
                <w:tcPr>
                  <w:tcW w:w="61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1.85</w:t>
                  </w:r>
                </w:p>
              </w:tc>
              <w:tc>
                <w:tcPr>
                  <w:tcW w:w="61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0.78</w:t>
                  </w:r>
                </w:p>
              </w:tc>
              <w:tc>
                <w:tcPr>
                  <w:tcW w:w="108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0.009</w:t>
                  </w:r>
                </w:p>
              </w:tc>
              <w:tc>
                <w:tcPr>
                  <w:tcW w:w="929"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tblHeader/>
                <w:jc w:val="center"/>
              </w:trPr>
              <w:tc>
                <w:tcPr>
                  <w:tcW w:w="687" w:type="dxa"/>
                  <w:vMerge w:val="continue"/>
                  <w:vAlign w:val="center"/>
                </w:tcPr>
                <w:p>
                  <w:pPr>
                    <w:adjustRightInd w:val="0"/>
                    <w:snapToGrid w:val="0"/>
                    <w:jc w:val="center"/>
                    <w:rPr>
                      <w:rFonts w:ascii="Times New Roman" w:hAnsi="Times New Roman"/>
                      <w:color w:val="auto"/>
                      <w:kern w:val="0"/>
                      <w:szCs w:val="21"/>
                    </w:rPr>
                  </w:pPr>
                </w:p>
              </w:tc>
              <w:tc>
                <w:tcPr>
                  <w:tcW w:w="925" w:type="dxa"/>
                  <w:vAlign w:val="center"/>
                </w:tcPr>
                <w:p>
                  <w:pPr>
                    <w:pStyle w:val="58"/>
                    <w:textAlignment w:val="baseline"/>
                    <w:rPr>
                      <w:rFonts w:ascii="Times New Roman" w:hAnsi="Times New Roman"/>
                      <w:color w:val="auto"/>
                      <w:sz w:val="21"/>
                      <w:szCs w:val="21"/>
                    </w:rPr>
                  </w:pPr>
                  <w:r>
                    <w:rPr>
                      <w:rFonts w:ascii="Times New Roman" w:hAnsi="Times New Roman"/>
                      <w:color w:val="auto"/>
                      <w:sz w:val="21"/>
                      <w:szCs w:val="21"/>
                    </w:rPr>
                    <w:t>硫化氢</w:t>
                  </w:r>
                </w:p>
              </w:tc>
              <w:tc>
                <w:tcPr>
                  <w:tcW w:w="1246" w:type="dxa"/>
                  <w:vAlign w:val="center"/>
                </w:tcPr>
                <w:p>
                  <w:pPr>
                    <w:jc w:val="center"/>
                    <w:rPr>
                      <w:rFonts w:ascii="Times New Roman" w:hAnsi="Times New Roman"/>
                      <w:color w:val="auto"/>
                      <w:szCs w:val="21"/>
                    </w:rPr>
                  </w:pPr>
                  <w:r>
                    <w:rPr>
                      <w:rFonts w:ascii="Times New Roman" w:hAnsi="Times New Roman"/>
                      <w:color w:val="auto"/>
                      <w:szCs w:val="21"/>
                    </w:rPr>
                    <w:t>0.000004</w:t>
                  </w:r>
                </w:p>
              </w:tc>
              <w:tc>
                <w:tcPr>
                  <w:tcW w:w="130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w:t>
                  </w:r>
                </w:p>
              </w:tc>
              <w:tc>
                <w:tcPr>
                  <w:tcW w:w="608"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400</w:t>
                  </w:r>
                </w:p>
              </w:tc>
              <w:tc>
                <w:tcPr>
                  <w:tcW w:w="76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0.010</w:t>
                  </w:r>
                </w:p>
              </w:tc>
              <w:tc>
                <w:tcPr>
                  <w:tcW w:w="61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1.85</w:t>
                  </w:r>
                </w:p>
              </w:tc>
              <w:tc>
                <w:tcPr>
                  <w:tcW w:w="61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0.78</w:t>
                  </w:r>
                </w:p>
              </w:tc>
              <w:tc>
                <w:tcPr>
                  <w:tcW w:w="108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0.009</w:t>
                  </w:r>
                </w:p>
              </w:tc>
              <w:tc>
                <w:tcPr>
                  <w:tcW w:w="929"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50</w:t>
                  </w:r>
                </w:p>
              </w:tc>
            </w:tr>
          </w:tbl>
          <w:p>
            <w:pPr>
              <w:tabs>
                <w:tab w:val="left" w:pos="3360"/>
              </w:tabs>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按照《制定地方大气污染物排放标准的技术方法》（GB/T13201-91）关于级差的规定：“卫生防护距离在100m以内，级差为50m；超过100m，但小于或等于100m时，级差为100m”；“如果有两种污染物，单独计算并确定的卫生防护距离相同，则提一级。否则，取距离大的作为项目的卫生防护距离”，综合确定项目的卫生防护距离为以厂区50m范围。卫生防护距离包络图见图7-2。根据项目周围环境状况，厂界最近的石甲圪垯距离厂区434m，目前卫生防护距离范围内无居民等环境敏感点，满足卫生防护距离的要求。</w:t>
            </w:r>
          </w:p>
          <w:tbl>
            <w:tblPr>
              <w:tblStyle w:val="26"/>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9" w:type="dxa"/>
                </w:tcPr>
                <w:p>
                  <w:pPr>
                    <w:tabs>
                      <w:tab w:val="left" w:pos="3360"/>
                    </w:tabs>
                    <w:jc w:val="left"/>
                    <w:rPr>
                      <w:rFonts w:ascii="Times New Roman" w:hAnsi="Times New Roman"/>
                      <w:color w:val="auto"/>
                      <w:sz w:val="24"/>
                      <w:szCs w:val="20"/>
                    </w:rPr>
                  </w:pPr>
                  <w:r>
                    <w:rPr>
                      <w:rFonts w:ascii="Times New Roman" w:hAnsi="Times New Roman"/>
                      <w:color w:val="auto"/>
                      <w:sz w:val="24"/>
                      <w:szCs w:val="20"/>
                    </w:rPr>
                    <w:pict>
                      <v:shape id="_x0000_i1039" o:spt="75" type="#_x0000_t75" style="height:416.25pt;width:447pt;" filled="f" o:preferrelative="t" stroked="f" coordsize="21600,21600">
                        <v:path/>
                        <v:fill on="f" focussize="0,0"/>
                        <v:stroke on="f" joinstyle="miter"/>
                        <v:imagedata r:id="rId24"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9" w:type="dxa"/>
                </w:tcPr>
                <w:p>
                  <w:pPr>
                    <w:tabs>
                      <w:tab w:val="left" w:pos="3360"/>
                    </w:tabs>
                    <w:jc w:val="left"/>
                    <w:rPr>
                      <w:rFonts w:ascii="Times New Roman" w:hAnsi="Times New Roman"/>
                      <w:color w:val="auto"/>
                      <w:sz w:val="24"/>
                      <w:szCs w:val="20"/>
                    </w:rPr>
                  </w:pPr>
                  <w:r>
                    <w:rPr>
                      <w:rFonts w:ascii="Times New Roman" w:hAnsi="Times New Roman"/>
                      <w:color w:val="auto"/>
                      <w:sz w:val="24"/>
                      <w:szCs w:val="20"/>
                    </w:rPr>
                    <w:pict>
                      <v:rect id="_x0000_s2615" o:spid="_x0000_s2615" o:spt="1" style="position:absolute;left:0pt;margin-left:132.1pt;margin-top:2.9pt;height:9.5pt;width:35.7pt;z-index:251663360;mso-width-relative:page;mso-height-relative:page;" stroked="t" coordsize="21600,21600">
                        <v:path/>
                        <v:fill focussize="0,0"/>
                        <v:stroke weight="1.5pt" color="#FF0000"/>
                        <v:imagedata o:title=""/>
                        <o:lock v:ext="edit"/>
                      </v:rect>
                    </w:pict>
                  </w:r>
                  <w:r>
                    <w:rPr>
                      <w:rFonts w:ascii="Times New Roman" w:hAnsi="Times New Roman"/>
                      <w:color w:val="auto"/>
                      <w:sz w:val="24"/>
                      <w:szCs w:val="20"/>
                    </w:rPr>
                    <w:pict>
                      <v:rect id="_x0000_s2614" o:spid="_x0000_s2614" o:spt="1" style="position:absolute;left:0pt;margin-left:53.3pt;margin-top:2.9pt;height:9.5pt;width:35.7pt;z-index:251662336;mso-width-relative:page;mso-height-relative:page;" stroked="t" coordsize="21600,21600">
                        <v:path/>
                        <v:fill focussize="0,0"/>
                        <v:stroke weight="1.5pt" color="#92D050"/>
                        <v:imagedata o:title=""/>
                        <o:lock v:ext="edit"/>
                      </v:rect>
                    </w:pict>
                  </w:r>
                  <w:r>
                    <w:rPr>
                      <w:rFonts w:ascii="Times New Roman" w:hAnsi="Times New Roman"/>
                      <w:color w:val="auto"/>
                      <w:sz w:val="24"/>
                      <w:szCs w:val="20"/>
                    </w:rPr>
                    <w:t>防护距离         厂区</w:t>
                  </w:r>
                </w:p>
              </w:tc>
            </w:tr>
          </w:tbl>
          <w:p>
            <w:pPr>
              <w:tabs>
                <w:tab w:val="left" w:pos="3360"/>
              </w:tabs>
              <w:spacing w:line="360" w:lineRule="auto"/>
              <w:ind w:firstLine="482" w:firstLineChars="200"/>
              <w:jc w:val="center"/>
              <w:rPr>
                <w:rFonts w:ascii="Times New Roman" w:hAnsi="Times New Roman"/>
                <w:bCs/>
                <w:color w:val="auto"/>
                <w:sz w:val="24"/>
              </w:rPr>
            </w:pPr>
            <w:r>
              <w:rPr>
                <w:rFonts w:ascii="Times New Roman" w:hAnsi="Times New Roman"/>
                <w:b/>
                <w:color w:val="auto"/>
                <w:sz w:val="24"/>
              </w:rPr>
              <w:t xml:space="preserve">图7-2 </w:t>
            </w:r>
            <w:r>
              <w:rPr>
                <w:rFonts w:ascii="Times New Roman" w:hAnsi="Times New Roman"/>
                <w:b/>
                <w:snapToGrid w:val="0"/>
                <w:color w:val="auto"/>
                <w:sz w:val="24"/>
              </w:rPr>
              <w:t>卫生防护距离包络图</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三、地下水环境影响分析</w:t>
            </w:r>
          </w:p>
          <w:p>
            <w:pPr>
              <w:widowControl/>
              <w:spacing w:line="360" w:lineRule="auto"/>
              <w:ind w:firstLine="480" w:firstLineChars="200"/>
              <w:jc w:val="left"/>
              <w:rPr>
                <w:rFonts w:ascii="Times New Roman" w:hAnsi="Times New Roman"/>
                <w:bCs/>
                <w:color w:val="auto"/>
                <w:sz w:val="24"/>
                <w:szCs w:val="28"/>
              </w:rPr>
            </w:pPr>
            <w:r>
              <w:rPr>
                <w:rFonts w:ascii="Times New Roman" w:hAnsi="Times New Roman"/>
                <w:bCs/>
                <w:color w:val="auto"/>
                <w:sz w:val="24"/>
                <w:szCs w:val="28"/>
              </w:rPr>
              <w:t>（1）地形地貌</w:t>
            </w:r>
          </w:p>
          <w:p>
            <w:pPr>
              <w:widowControl/>
              <w:spacing w:line="360" w:lineRule="auto"/>
              <w:ind w:firstLine="480" w:firstLineChars="200"/>
              <w:jc w:val="left"/>
              <w:rPr>
                <w:rFonts w:ascii="Times New Roman" w:hAnsi="Times New Roman"/>
                <w:color w:val="auto"/>
                <w:sz w:val="24"/>
              </w:rPr>
            </w:pPr>
            <w:bookmarkStart w:id="19" w:name="_Toc505588516"/>
            <w:r>
              <w:rPr>
                <w:rFonts w:ascii="Times New Roman" w:hAnsi="Times New Roman"/>
                <w:color w:val="auto"/>
                <w:sz w:val="24"/>
              </w:rPr>
              <w:t>在地域上属于关山—六盘山褶皱带以东的鄂尔多斯地台区，地貌类型为黄土残塬，属于董志塬东南部的和盛塬西部边缘地带，工作区东北部塬面宽阔平坦，东西两侧为侵蚀、冲蚀形成的沟壑与黄土残塬相间的地貌形态，溯源侵蚀强烈，下切较深，切割深度一般为50～180m，沟坡一般30～160°，其中下游沟底较宽，白垩系环河组地层裸露于沟口底部两侧。项目区海拔1180m，呈“U”型谷，沟内土壤疏松多孔，富含碳酸钙等溶岩类，抗冲性微弱，湿陷性明显，易发生穴陷、滑坡等。</w:t>
            </w:r>
            <w:bookmarkEnd w:id="19"/>
          </w:p>
          <w:p>
            <w:pPr>
              <w:widowControl/>
              <w:spacing w:line="360" w:lineRule="auto"/>
              <w:ind w:firstLine="480" w:firstLineChars="200"/>
              <w:jc w:val="left"/>
              <w:rPr>
                <w:rFonts w:ascii="Times New Roman" w:hAnsi="Times New Roman"/>
                <w:bCs/>
                <w:color w:val="auto"/>
                <w:sz w:val="24"/>
                <w:szCs w:val="28"/>
              </w:rPr>
            </w:pPr>
            <w:r>
              <w:rPr>
                <w:rFonts w:ascii="Times New Roman" w:hAnsi="Times New Roman"/>
                <w:bCs/>
                <w:color w:val="auto"/>
                <w:sz w:val="24"/>
                <w:szCs w:val="28"/>
              </w:rPr>
              <w:t>（2）地层岩性</w:t>
            </w:r>
          </w:p>
          <w:p>
            <w:pPr>
              <w:widowControl/>
              <w:overflowPunct w:val="0"/>
              <w:autoSpaceDE w:val="0"/>
              <w:autoSpaceDN w:val="0"/>
              <w:adjustRightIn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工作区出露的地层较简单，主要为白垩系和第四系。地貌单元上划分属陇东黄土塬、梁、峁、沟壑地貌单元，根据勘探揭露，场地内地层主要由第四系风积成因的马兰黄土层、古土壤层和离石黄土层互层组成，现按岩性将地层结构自上而下分述如下：</w:t>
            </w:r>
          </w:p>
          <w:p>
            <w:pPr>
              <w:widowControl/>
              <w:overflowPunct w:val="0"/>
              <w:autoSpaceDE w:val="0"/>
              <w:autoSpaceDN w:val="0"/>
              <w:adjustRightIn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1）层马兰黄土（Q</w:t>
            </w:r>
            <w:r>
              <w:rPr>
                <w:rFonts w:ascii="Times New Roman" w:hAnsi="Times New Roman"/>
                <w:color w:val="auto"/>
                <w:kern w:val="0"/>
                <w:sz w:val="24"/>
                <w:vertAlign w:val="subscript"/>
              </w:rPr>
              <w:t>3</w:t>
            </w:r>
            <w:r>
              <w:rPr>
                <w:rFonts w:ascii="Times New Roman" w:hAnsi="Times New Roman"/>
                <w:color w:val="auto"/>
                <w:kern w:val="0"/>
                <w:sz w:val="24"/>
                <w:vertAlign w:val="superscript"/>
              </w:rPr>
              <w:t>eol</w:t>
            </w:r>
            <w:r>
              <w:rPr>
                <w:rFonts w:ascii="Times New Roman" w:hAnsi="Times New Roman"/>
                <w:color w:val="auto"/>
                <w:kern w:val="0"/>
                <w:sz w:val="24"/>
              </w:rPr>
              <w:t>）：该层遍布整个场地，黄褐色，稍湿，稍密，土质较均，虫孔孔隙一般发育，韧性差，干强度低，无光泽反应，其中上部0.30m为耕植土，含大量植物根系。层厚5.30～12.50m，平均8.71m，层面高程951.80～1041.19m。</w:t>
            </w:r>
          </w:p>
          <w:p>
            <w:pPr>
              <w:widowControl/>
              <w:overflowPunct w:val="0"/>
              <w:autoSpaceDE w:val="0"/>
              <w:autoSpaceDN w:val="0"/>
              <w:adjustRightIn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2）层马兰黄土（Q</w:t>
            </w:r>
            <w:r>
              <w:rPr>
                <w:rFonts w:ascii="Times New Roman" w:hAnsi="Times New Roman"/>
                <w:color w:val="auto"/>
                <w:kern w:val="0"/>
                <w:sz w:val="24"/>
                <w:vertAlign w:val="subscript"/>
              </w:rPr>
              <w:t>3</w:t>
            </w:r>
            <w:r>
              <w:rPr>
                <w:rFonts w:ascii="Times New Roman" w:hAnsi="Times New Roman"/>
                <w:color w:val="auto"/>
                <w:kern w:val="0"/>
                <w:sz w:val="24"/>
                <w:vertAlign w:val="superscript"/>
              </w:rPr>
              <w:t>eol</w:t>
            </w:r>
            <w:r>
              <w:rPr>
                <w:rFonts w:ascii="Times New Roman" w:hAnsi="Times New Roman"/>
                <w:color w:val="auto"/>
                <w:kern w:val="0"/>
                <w:sz w:val="24"/>
              </w:rPr>
              <w:t>）：该层遍布整个场地，黄褐色，稍湿，稍密，土质较均，虫孔孔隙较发育，韧性差，干强度低，无光泽反应，层厚5.00～16.80m，平均8.32m，该层埋深9.00～15.50m，层顶高程939.10～1026.89m。</w:t>
            </w:r>
          </w:p>
          <w:p>
            <w:pPr>
              <w:widowControl/>
              <w:overflowPunct w:val="0"/>
              <w:autoSpaceDE w:val="0"/>
              <w:autoSpaceDN w:val="0"/>
              <w:adjustRightIn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3）层古土壤（Q</w:t>
            </w:r>
            <w:r>
              <w:rPr>
                <w:rFonts w:ascii="Times New Roman" w:hAnsi="Times New Roman"/>
                <w:color w:val="auto"/>
                <w:kern w:val="0"/>
                <w:sz w:val="24"/>
                <w:vertAlign w:val="subscript"/>
              </w:rPr>
              <w:t>3</w:t>
            </w:r>
            <w:r>
              <w:rPr>
                <w:rFonts w:ascii="Times New Roman" w:hAnsi="Times New Roman"/>
                <w:color w:val="auto"/>
                <w:kern w:val="0"/>
                <w:sz w:val="24"/>
                <w:vertAlign w:val="superscript"/>
              </w:rPr>
              <w:t>eol</w:t>
            </w:r>
            <w:r>
              <w:rPr>
                <w:rFonts w:ascii="Times New Roman" w:hAnsi="Times New Roman"/>
                <w:color w:val="auto"/>
                <w:kern w:val="0"/>
                <w:sz w:val="24"/>
              </w:rPr>
              <w:t>）：该层遍布整个场地，红褐色，稍湿，中密，土质较均，虫孔孔隙较发育，韧性差，干强度低，无光泽反应，含白色钙质条纹，局部夹有少量的钙质结核。层厚1.30～11.50m，平均3.13m，该层埋深16.80～27.10m，层顶高程949.24～1016.49m。</w:t>
            </w:r>
          </w:p>
          <w:p>
            <w:pPr>
              <w:widowControl/>
              <w:overflowPunct w:val="0"/>
              <w:autoSpaceDE w:val="0"/>
              <w:autoSpaceDN w:val="0"/>
              <w:adjustRightIn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4）层离石黄土（Q</w:t>
            </w:r>
            <w:r>
              <w:rPr>
                <w:rFonts w:ascii="Times New Roman" w:hAnsi="Times New Roman"/>
                <w:color w:val="auto"/>
                <w:kern w:val="0"/>
                <w:sz w:val="24"/>
                <w:vertAlign w:val="subscript"/>
              </w:rPr>
              <w:t>2</w:t>
            </w:r>
            <w:r>
              <w:rPr>
                <w:rFonts w:ascii="Times New Roman" w:hAnsi="Times New Roman"/>
                <w:color w:val="auto"/>
                <w:kern w:val="0"/>
                <w:sz w:val="24"/>
                <w:vertAlign w:val="superscript"/>
              </w:rPr>
              <w:t>eol</w:t>
            </w:r>
            <w:r>
              <w:rPr>
                <w:rFonts w:ascii="Times New Roman" w:hAnsi="Times New Roman"/>
                <w:color w:val="auto"/>
                <w:kern w:val="0"/>
                <w:sz w:val="24"/>
              </w:rPr>
              <w:t>）：该层遍布整个场地，红褐色，稍湿，中密，土质较均，虫孔孔隙较发育，韧性差，干强度低，无光泽反应，含白色钙质条纹，局部夹有少量的钙质结核。层厚3.50～10.70m，平均7.54m，该层埋深20.50～29.60m，层顶高程944.34～1015.19m。</w:t>
            </w:r>
          </w:p>
          <w:p>
            <w:pPr>
              <w:widowControl/>
              <w:overflowPunct w:val="0"/>
              <w:autoSpaceDE w:val="0"/>
              <w:autoSpaceDN w:val="0"/>
              <w:adjustRightIn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5）层离石黄土（Q</w:t>
            </w:r>
            <w:r>
              <w:rPr>
                <w:rFonts w:ascii="Times New Roman" w:hAnsi="Times New Roman"/>
                <w:color w:val="auto"/>
                <w:kern w:val="0"/>
                <w:sz w:val="24"/>
                <w:vertAlign w:val="subscript"/>
              </w:rPr>
              <w:t>2</w:t>
            </w:r>
            <w:r>
              <w:rPr>
                <w:rFonts w:ascii="Times New Roman" w:hAnsi="Times New Roman"/>
                <w:color w:val="auto"/>
                <w:kern w:val="0"/>
                <w:sz w:val="24"/>
                <w:vertAlign w:val="superscript"/>
              </w:rPr>
              <w:t>eol</w:t>
            </w:r>
            <w:r>
              <w:rPr>
                <w:rFonts w:ascii="Times New Roman" w:hAnsi="Times New Roman"/>
                <w:color w:val="auto"/>
                <w:kern w:val="0"/>
                <w:sz w:val="24"/>
              </w:rPr>
              <w:t>）：该层遍布整个场地，红褐色，稍湿，密实，土质较均，虫孔孔隙较发育，韧性差，干强度低，无光泽反应，含白色钙质条纹，局部夹有少量的钙质结核。层厚7.20～7.30m，平均7.25m，该层埋深41.70～43.50m，层顶高程975.07～997.69m。</w:t>
            </w:r>
          </w:p>
          <w:p>
            <w:pPr>
              <w:widowControl/>
              <w:overflowPunct w:val="0"/>
              <w:autoSpaceDE w:val="0"/>
              <w:autoSpaceDN w:val="0"/>
              <w:adjustRightIn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6）层离石黄土（Q</w:t>
            </w:r>
            <w:r>
              <w:rPr>
                <w:rFonts w:ascii="Times New Roman" w:hAnsi="Times New Roman"/>
                <w:color w:val="auto"/>
                <w:kern w:val="0"/>
                <w:sz w:val="24"/>
                <w:vertAlign w:val="subscript"/>
              </w:rPr>
              <w:t>2</w:t>
            </w:r>
            <w:r>
              <w:rPr>
                <w:rFonts w:ascii="Times New Roman" w:hAnsi="Times New Roman"/>
                <w:color w:val="auto"/>
                <w:kern w:val="0"/>
                <w:sz w:val="24"/>
                <w:vertAlign w:val="superscript"/>
              </w:rPr>
              <w:t>eol</w:t>
            </w:r>
            <w:r>
              <w:rPr>
                <w:rFonts w:ascii="Times New Roman" w:hAnsi="Times New Roman"/>
                <w:color w:val="auto"/>
                <w:kern w:val="0"/>
                <w:sz w:val="24"/>
              </w:rPr>
              <w:t>）：该层遍布整个场地，红褐色，稍湿，密实，土质较均，虫孔孔隙较发育，韧性差，干强度低，无光泽反应，含白色钙质条纹，局部夹有少量的钙质结核。层厚11.20～12.30m，平均11.75m，该层埋深56.80～63.20m，层顶高程959.97～977.99m。</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kern w:val="0"/>
                <w:sz w:val="24"/>
              </w:rPr>
              <w:t>7）</w:t>
            </w:r>
            <w:r>
              <w:rPr>
                <w:rFonts w:ascii="Times New Roman" w:hAnsi="Times New Roman"/>
                <w:color w:val="auto"/>
                <w:sz w:val="24"/>
              </w:rPr>
              <w:t>下白垩统环河环河组（K</w:t>
            </w:r>
            <w:r>
              <w:rPr>
                <w:rFonts w:ascii="Times New Roman" w:hAnsi="Times New Roman"/>
                <w:color w:val="auto"/>
                <w:sz w:val="24"/>
                <w:vertAlign w:val="subscript"/>
              </w:rPr>
              <w:t>1</w:t>
            </w:r>
            <w:r>
              <w:rPr>
                <w:rFonts w:ascii="Times New Roman" w:hAnsi="Times New Roman"/>
                <w:color w:val="auto"/>
                <w:sz w:val="24"/>
              </w:rPr>
              <w:t>h）：为一套强风化杂色的泥质砂岩、粉砂岩与泥岩互层夹页岩、砂质及少量泥灰岩。出露于评价区南侧蒲河河谷两侧及一、二级支沟的沟底，蒲河二级阶段以北黄土塬陡坎坎脚一带，产状近水平，根据区内钻孔揭示最大厚度为13.30m（未穿透），该层埋深71.00～87.70m，层顶高程945.77～953.49m。</w:t>
            </w:r>
          </w:p>
          <w:p>
            <w:pPr>
              <w:widowControl/>
              <w:spacing w:line="360" w:lineRule="auto"/>
              <w:ind w:firstLine="480" w:firstLineChars="200"/>
              <w:jc w:val="left"/>
              <w:rPr>
                <w:rFonts w:ascii="Times New Roman" w:hAnsi="Times New Roman"/>
                <w:bCs/>
                <w:color w:val="auto"/>
                <w:sz w:val="24"/>
                <w:szCs w:val="28"/>
              </w:rPr>
            </w:pPr>
            <w:r>
              <w:rPr>
                <w:rFonts w:ascii="Times New Roman" w:hAnsi="Times New Roman"/>
                <w:bCs/>
                <w:color w:val="auto"/>
                <w:sz w:val="24"/>
                <w:szCs w:val="28"/>
              </w:rPr>
              <w:t>（3）地质构造</w:t>
            </w:r>
          </w:p>
          <w:p>
            <w:pPr>
              <w:widowControl/>
              <w:spacing w:line="360" w:lineRule="auto"/>
              <w:ind w:firstLine="480" w:firstLineChars="200"/>
              <w:jc w:val="left"/>
              <w:rPr>
                <w:rFonts w:ascii="Times New Roman" w:hAnsi="Times New Roman"/>
                <w:color w:val="auto"/>
                <w:sz w:val="24"/>
                <w:szCs w:val="20"/>
              </w:rPr>
            </w:pPr>
            <w:r>
              <w:rPr>
                <w:rFonts w:ascii="Times New Roman" w:hAnsi="Times New Roman"/>
                <w:color w:val="auto"/>
                <w:sz w:val="24"/>
              </w:rPr>
              <w:t>评价区区域上位于陕甘宁盆地中西部，为大面积的黄土所覆盖。该盆地是一个以中生代陆相沉积为主体的大型内陆坳陷盆地，呈近南北向矩形</w:t>
            </w:r>
            <w:r>
              <w:rPr>
                <w:rFonts w:hint="eastAsia" w:ascii="Times New Roman" w:hAnsi="Times New Roman"/>
                <w:color w:val="auto"/>
                <w:sz w:val="24"/>
                <w:lang w:eastAsia="zh-CN"/>
              </w:rPr>
              <w:t>轮廓</w:t>
            </w:r>
            <w:r>
              <w:rPr>
                <w:rFonts w:ascii="Times New Roman" w:hAnsi="Times New Roman"/>
                <w:color w:val="auto"/>
                <w:sz w:val="24"/>
              </w:rPr>
              <w:t>，周围被活动断裂所围限。</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评价区处在盆地内轴向为南北向的呈一极不对称的箕状向斜—天环向斜的近轴部东翼（图7-1），中生代地层整体西倾而产状平缓，而东侧形成南北向展布的一些宽缓的背斜，显示了盆地整体性构造特征及局部的构造形态。评价区内未见到影响至黄土层的断层及褶曲等构造形迹，总体上地质构造较为简单。</w:t>
            </w:r>
          </w:p>
          <w:p>
            <w:pPr>
              <w:widowControl/>
              <w:adjustRightInd w:val="0"/>
              <w:snapToGrid w:val="0"/>
              <w:spacing w:line="360" w:lineRule="auto"/>
              <w:jc w:val="center"/>
              <w:rPr>
                <w:rFonts w:ascii="Times New Roman" w:hAnsi="Times New Roman"/>
                <w:b/>
                <w:color w:val="auto"/>
                <w:sz w:val="24"/>
              </w:rPr>
            </w:pPr>
            <w:r>
              <w:rPr>
                <w:rFonts w:ascii="Times New Roman" w:hAnsi="Times New Roman"/>
                <w:b/>
                <w:color w:val="auto"/>
                <w:sz w:val="24"/>
              </w:rPr>
              <w:pict>
                <v:shape id="_x0000_s2600" o:spid="_x0000_s2600" o:spt="61" type="#_x0000_t61" style="position:absolute;left:0pt;margin-left:324.6pt;margin-top:188.8pt;height:28.45pt;width:75pt;z-index:251659264;mso-width-relative:page;mso-height-relative:page;" coordsize="21600,21600" adj="2059,-21828">
                  <v:path/>
                  <v:fill focussize="0,0"/>
                  <v:stroke joinstyle="miter"/>
                  <v:imagedata o:title=""/>
                  <o:lock v:ext="edit"/>
                  <v:textbox>
                    <w:txbxContent>
                      <w:p>
                        <w:r>
                          <w:rPr>
                            <w:rFonts w:hint="eastAsia"/>
                          </w:rPr>
                          <w:t>项目所在地</w:t>
                        </w:r>
                      </w:p>
                    </w:txbxContent>
                  </v:textbox>
                </v:shape>
              </w:pict>
            </w:r>
            <w:r>
              <w:rPr>
                <w:rFonts w:ascii="Times New Roman" w:hAnsi="Times New Roman"/>
                <w:b/>
                <w:color w:val="auto"/>
                <w:sz w:val="24"/>
              </w:rPr>
              <w:pict>
                <v:shape id="_x0000_i1040" o:spt="75" type="#_x0000_t75" style="height:366.75pt;width:438.75pt;" filled="f" o:preferrelative="t" stroked="f" coordsize="21600,21600">
                  <v:path/>
                  <v:fill on="f" focussize="0,0"/>
                  <v:stroke on="f" joinstyle="miter"/>
                  <v:imagedata r:id="rId25" cropleft="468f" croptop="622f" o:title="地貌、地质图"/>
                  <o:lock v:ext="edit" aspectratio="t"/>
                  <w10:wrap type="none"/>
                  <w10:anchorlock/>
                </v:shape>
              </w:pict>
            </w:r>
          </w:p>
          <w:p>
            <w:pPr>
              <w:widowControl/>
              <w:adjustRightInd w:val="0"/>
              <w:snapToGrid w:val="0"/>
              <w:spacing w:line="360" w:lineRule="auto"/>
              <w:ind w:firstLine="482"/>
              <w:jc w:val="center"/>
              <w:rPr>
                <w:rFonts w:ascii="Times New Roman" w:hAnsi="Times New Roman"/>
                <w:b/>
                <w:color w:val="auto"/>
                <w:sz w:val="24"/>
              </w:rPr>
            </w:pPr>
            <w:r>
              <w:rPr>
                <w:rFonts w:ascii="Times New Roman" w:hAnsi="Times New Roman"/>
                <w:b/>
                <w:color w:val="auto"/>
                <w:sz w:val="24"/>
              </w:rPr>
              <w:t>图7-3    评价区地形地貌及地层岩性图</w:t>
            </w:r>
          </w:p>
          <w:p>
            <w:pPr>
              <w:widowControl/>
              <w:spacing w:line="360" w:lineRule="auto"/>
              <w:ind w:firstLine="480" w:firstLineChars="200"/>
              <w:jc w:val="left"/>
              <w:rPr>
                <w:rFonts w:ascii="Times New Roman" w:hAnsi="Times New Roman"/>
                <w:bCs/>
                <w:color w:val="auto"/>
                <w:sz w:val="24"/>
                <w:szCs w:val="28"/>
              </w:rPr>
            </w:pPr>
            <w:r>
              <w:rPr>
                <w:rFonts w:ascii="Times New Roman" w:hAnsi="Times New Roman"/>
                <w:bCs/>
                <w:color w:val="auto"/>
                <w:sz w:val="24"/>
                <w:szCs w:val="28"/>
              </w:rPr>
              <w:t>（4）区域构造</w:t>
            </w:r>
          </w:p>
          <w:p>
            <w:pPr>
              <w:widowControl/>
              <w:spacing w:line="360" w:lineRule="auto"/>
              <w:ind w:firstLine="480"/>
              <w:jc w:val="left"/>
              <w:rPr>
                <w:rFonts w:ascii="Times New Roman" w:hAnsi="Times New Roman"/>
                <w:color w:val="auto"/>
                <w:sz w:val="24"/>
              </w:rPr>
            </w:pPr>
            <w:r>
              <w:rPr>
                <w:rFonts w:ascii="Times New Roman" w:hAnsi="Times New Roman"/>
                <w:color w:val="auto"/>
                <w:sz w:val="24"/>
              </w:rPr>
              <w:t>评价区区域上位于陕甘宁盆地中西部，为大面积的黄土所覆盖。该盆地是一个以中生代陆相沉积为主体的大型内陆坳陷盆地，呈近南北向矩形</w:t>
            </w:r>
            <w:r>
              <w:rPr>
                <w:rFonts w:hint="eastAsia" w:ascii="Times New Roman" w:hAnsi="Times New Roman"/>
                <w:color w:val="auto"/>
                <w:sz w:val="24"/>
                <w:lang w:eastAsia="zh-CN"/>
              </w:rPr>
              <w:t>轮廓</w:t>
            </w:r>
            <w:r>
              <w:rPr>
                <w:rFonts w:ascii="Times New Roman" w:hAnsi="Times New Roman"/>
                <w:color w:val="auto"/>
                <w:sz w:val="24"/>
              </w:rPr>
              <w:t>，周围被活动断裂所围限。</w:t>
            </w:r>
          </w:p>
          <w:p>
            <w:pPr>
              <w:widowControl/>
              <w:adjustRightInd w:val="0"/>
              <w:snapToGrid w:val="0"/>
              <w:spacing w:line="360" w:lineRule="auto"/>
              <w:ind w:firstLine="480"/>
              <w:jc w:val="left"/>
              <w:rPr>
                <w:rFonts w:ascii="Times New Roman" w:hAnsi="Times New Roman"/>
                <w:color w:val="auto"/>
                <w:sz w:val="24"/>
              </w:rPr>
            </w:pPr>
            <w:r>
              <w:rPr>
                <w:rFonts w:ascii="Times New Roman" w:hAnsi="Times New Roman"/>
                <w:color w:val="auto"/>
                <w:sz w:val="24"/>
              </w:rPr>
              <w:t>在盆地内轴向为南北向的呈一极不对称的箕状向斜—天环向斜的近轴部东翼，中生代地层整体西倾而产状平缓，而东侧形成南北向展布的一些宽缓的背斜，显示了盆地整体性构造特征及局部的构造形态。评价区内未见到影响至黄土层的断层及褶曲等构造形迹，总体上地质构造较为简单。</w:t>
            </w:r>
          </w:p>
          <w:p>
            <w:pPr>
              <w:widowControl/>
              <w:adjustRightInd w:val="0"/>
              <w:snapToGrid w:val="0"/>
              <w:spacing w:line="360" w:lineRule="auto"/>
              <w:ind w:firstLine="480"/>
              <w:jc w:val="left"/>
              <w:rPr>
                <w:rFonts w:ascii="Times New Roman" w:hAnsi="Times New Roman"/>
                <w:color w:val="auto"/>
                <w:sz w:val="24"/>
              </w:rPr>
            </w:pPr>
            <w:r>
              <w:rPr>
                <w:rFonts w:ascii="Times New Roman" w:hAnsi="Times New Roman"/>
                <w:color w:val="auto"/>
                <w:sz w:val="24"/>
              </w:rPr>
              <w:t>挽近期，特别是第四纪以来，本区构造运动以振荡性上升运动为主，流水的侵蚀作用加剧，沟谷深切、残塬缩小、河谷</w:t>
            </w:r>
            <w:r>
              <w:rPr>
                <w:rFonts w:hint="eastAsia" w:ascii="宋体" w:hAnsi="宋体" w:cs="宋体"/>
                <w:color w:val="auto"/>
                <w:sz w:val="24"/>
              </w:rPr>
              <w:t>Ⅰ</w:t>
            </w:r>
            <w:r>
              <w:rPr>
                <w:rFonts w:ascii="Times New Roman" w:hAnsi="Times New Roman"/>
                <w:color w:val="auto"/>
                <w:sz w:val="24"/>
              </w:rPr>
              <w:t>-</w:t>
            </w:r>
            <w:r>
              <w:rPr>
                <w:rFonts w:hint="eastAsia" w:ascii="宋体" w:hAnsi="宋体" w:cs="宋体"/>
                <w:color w:val="auto"/>
                <w:sz w:val="24"/>
              </w:rPr>
              <w:t>Ⅴ</w:t>
            </w:r>
            <w:r>
              <w:rPr>
                <w:rFonts w:ascii="Times New Roman" w:hAnsi="Times New Roman"/>
                <w:color w:val="auto"/>
                <w:sz w:val="24"/>
              </w:rPr>
              <w:t>级阶地成为基座阶地。</w:t>
            </w:r>
          </w:p>
          <w:p>
            <w:pPr>
              <w:widowControl/>
              <w:adjustRightInd w:val="0"/>
              <w:snapToGrid w:val="0"/>
              <w:spacing w:line="360" w:lineRule="auto"/>
              <w:jc w:val="center"/>
              <w:rPr>
                <w:rFonts w:ascii="Times New Roman" w:hAnsi="Times New Roman"/>
                <w:color w:val="auto"/>
                <w:sz w:val="24"/>
              </w:rPr>
            </w:pPr>
            <w:r>
              <w:rPr>
                <w:rFonts w:ascii="Times New Roman" w:hAnsi="Times New Roman"/>
                <w:color w:val="auto"/>
                <w:sz w:val="24"/>
              </w:rPr>
              <w:pict>
                <v:shape id="_x0000_s2601" o:spid="_x0000_s2601" o:spt="61" type="#_x0000_t61" style="position:absolute;left:0pt;flip:x y;margin-left:287.75pt;margin-top:324.35pt;height:26.65pt;width:79.85pt;z-index:251660288;mso-width-relative:page;mso-height-relative:page;" coordsize="21600,21600" adj="17271,76957">
                  <v:path/>
                  <v:fill focussize="0,0"/>
                  <v:stroke joinstyle="miter"/>
                  <v:imagedata o:title=""/>
                  <o:lock v:ext="edit"/>
                  <v:textbox>
                    <w:txbxContent>
                      <w:p>
                        <w:r>
                          <w:rPr>
                            <w:rFonts w:hint="eastAsia"/>
                          </w:rPr>
                          <w:t>项目所在地</w:t>
                        </w:r>
                      </w:p>
                    </w:txbxContent>
                  </v:textbox>
                </v:shape>
              </w:pict>
            </w:r>
            <w:r>
              <w:rPr>
                <w:rFonts w:ascii="Times New Roman" w:hAnsi="Times New Roman"/>
                <w:color w:val="auto"/>
                <w:sz w:val="24"/>
              </w:rPr>
              <w:pict>
                <v:shape id="_x0000_i1041" o:spt="75" alt="图1-4地质构造" type="#_x0000_t75" style="height:473.25pt;width:435.75pt;" filled="f" o:preferrelative="t" stroked="f" coordsize="21600,21600">
                  <v:path/>
                  <v:fill on="f" focussize="0,0"/>
                  <v:stroke on="f" joinstyle="miter"/>
                  <v:imagedata r:id="rId26" cropleft="856f" croptop="791f" cropright="1284f" cropbottom="1186f" o:title="图1-4地质构造"/>
                  <o:lock v:ext="edit" aspectratio="t"/>
                  <w10:wrap type="none"/>
                  <w10:anchorlock/>
                </v:shape>
              </w:pict>
            </w:r>
          </w:p>
          <w:p>
            <w:pPr>
              <w:widowControl/>
              <w:adjustRightInd w:val="0"/>
              <w:snapToGrid w:val="0"/>
              <w:spacing w:line="360" w:lineRule="auto"/>
              <w:ind w:firstLine="482"/>
              <w:jc w:val="center"/>
              <w:rPr>
                <w:rFonts w:ascii="Times New Roman" w:hAnsi="Times New Roman"/>
                <w:b/>
                <w:color w:val="auto"/>
                <w:sz w:val="24"/>
                <w:szCs w:val="20"/>
              </w:rPr>
            </w:pPr>
            <w:r>
              <w:rPr>
                <w:rFonts w:ascii="Times New Roman" w:hAnsi="Times New Roman"/>
                <w:b/>
                <w:color w:val="auto"/>
                <w:sz w:val="24"/>
              </w:rPr>
              <w:t>图7-4    宁县及其周边地质纲要略图</w:t>
            </w:r>
          </w:p>
          <w:p>
            <w:pPr>
              <w:widowControl/>
              <w:spacing w:line="360" w:lineRule="auto"/>
              <w:ind w:firstLine="480" w:firstLineChars="200"/>
              <w:jc w:val="left"/>
              <w:rPr>
                <w:rFonts w:ascii="Times New Roman" w:hAnsi="Times New Roman"/>
                <w:bCs/>
                <w:color w:val="auto"/>
                <w:sz w:val="24"/>
                <w:szCs w:val="28"/>
              </w:rPr>
            </w:pPr>
            <w:r>
              <w:rPr>
                <w:rFonts w:ascii="Times New Roman" w:hAnsi="Times New Roman"/>
                <w:bCs/>
                <w:color w:val="auto"/>
                <w:sz w:val="24"/>
                <w:szCs w:val="28"/>
              </w:rPr>
              <w:t>（5）岩土体工程地质类型及特征</w:t>
            </w:r>
          </w:p>
          <w:p>
            <w:pPr>
              <w:widowControl/>
              <w:spacing w:line="360" w:lineRule="auto"/>
              <w:ind w:firstLine="480" w:firstLineChars="200"/>
              <w:jc w:val="left"/>
              <w:rPr>
                <w:rFonts w:ascii="Times New Roman" w:hAnsi="Times New Roman"/>
                <w:bCs/>
                <w:color w:val="auto"/>
                <w:sz w:val="24"/>
                <w:lang w:val="zh-CN"/>
              </w:rPr>
            </w:pPr>
            <w:r>
              <w:rPr>
                <w:rFonts w:ascii="Times New Roman" w:hAnsi="Times New Roman"/>
                <w:color w:val="auto"/>
                <w:sz w:val="24"/>
              </w:rPr>
              <w:fldChar w:fldCharType="begin"/>
            </w:r>
            <w:r>
              <w:rPr>
                <w:rFonts w:ascii="Times New Roman" w:hAnsi="Times New Roman"/>
                <w:color w:val="auto"/>
                <w:sz w:val="24"/>
              </w:rPr>
              <w:instrText xml:space="preserve"> = 1 \* ROMAN </w:instrText>
            </w:r>
            <w:r>
              <w:rPr>
                <w:rFonts w:ascii="Times New Roman" w:hAnsi="Times New Roman"/>
                <w:color w:val="auto"/>
                <w:sz w:val="24"/>
              </w:rPr>
              <w:fldChar w:fldCharType="separate"/>
            </w:r>
            <w:r>
              <w:rPr>
                <w:rFonts w:ascii="Times New Roman" w:hAnsi="Times New Roman"/>
                <w:color w:val="auto"/>
                <w:sz w:val="24"/>
              </w:rPr>
              <w:t>I</w:t>
            </w:r>
            <w:r>
              <w:rPr>
                <w:rFonts w:ascii="Times New Roman" w:hAnsi="Times New Roman"/>
                <w:color w:val="auto"/>
                <w:sz w:val="24"/>
              </w:rPr>
              <w:fldChar w:fldCharType="end"/>
            </w:r>
            <w:r>
              <w:rPr>
                <w:rFonts w:ascii="Times New Roman" w:hAnsi="Times New Roman"/>
                <w:color w:val="auto"/>
                <w:sz w:val="24"/>
              </w:rPr>
              <w:t>、</w:t>
            </w:r>
            <w:r>
              <w:rPr>
                <w:rFonts w:ascii="Times New Roman" w:hAnsi="Times New Roman"/>
                <w:color w:val="auto"/>
                <w:sz w:val="24"/>
                <w:lang w:val="zh-CN"/>
              </w:rPr>
              <w:t>土体工程地质类型及特征</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区内土体根据其成因类型和土体结构可分为一般土和特殊土两大类型。</w:t>
            </w:r>
          </w:p>
          <w:p>
            <w:pPr>
              <w:widowControl/>
              <w:spacing w:line="360" w:lineRule="auto"/>
              <w:ind w:firstLine="480"/>
              <w:jc w:val="left"/>
              <w:rPr>
                <w:rFonts w:ascii="Times New Roman" w:hAnsi="Times New Roman"/>
                <w:color w:val="auto"/>
                <w:sz w:val="24"/>
              </w:rPr>
            </w:pPr>
            <w:r>
              <w:rPr>
                <w:rFonts w:ascii="Times New Roman" w:hAnsi="Times New Roman"/>
                <w:color w:val="auto"/>
                <w:sz w:val="24"/>
              </w:rPr>
              <w:t>1、一般土</w:t>
            </w:r>
          </w:p>
          <w:p>
            <w:pPr>
              <w:widowControl/>
              <w:spacing w:line="360" w:lineRule="auto"/>
              <w:ind w:firstLine="480" w:firstLineChars="200"/>
              <w:jc w:val="left"/>
              <w:rPr>
                <w:rFonts w:ascii="Times New Roman" w:hAnsi="Times New Roman"/>
                <w:color w:val="auto"/>
                <w:sz w:val="24"/>
              </w:rPr>
            </w:pPr>
            <w:r>
              <w:rPr>
                <w:rFonts w:hint="eastAsia" w:ascii="宋体" w:hAnsi="宋体" w:cs="宋体"/>
                <w:color w:val="auto"/>
                <w:sz w:val="24"/>
              </w:rPr>
              <w:t>①</w:t>
            </w:r>
            <w:r>
              <w:rPr>
                <w:rFonts w:ascii="Times New Roman" w:hAnsi="Times New Roman"/>
                <w:color w:val="auto"/>
                <w:sz w:val="24"/>
              </w:rPr>
              <w:t>砂性土、砂卵石双层土体：主要分布于泾河及其较大支流的</w:t>
            </w:r>
            <w:r>
              <w:rPr>
                <w:rFonts w:hint="eastAsia" w:ascii="宋体" w:hAnsi="宋体" w:cs="宋体"/>
                <w:color w:val="auto"/>
                <w:sz w:val="24"/>
              </w:rPr>
              <w:t>Ⅰ</w:t>
            </w:r>
            <w:r>
              <w:rPr>
                <w:rFonts w:ascii="Times New Roman" w:hAnsi="Times New Roman"/>
                <w:color w:val="auto"/>
                <w:sz w:val="24"/>
              </w:rPr>
              <w:t>—</w:t>
            </w:r>
            <w:r>
              <w:rPr>
                <w:rFonts w:hint="eastAsia" w:ascii="宋体" w:hAnsi="宋体" w:cs="宋体"/>
                <w:color w:val="auto"/>
                <w:sz w:val="24"/>
              </w:rPr>
              <w:t>Ⅲ</w:t>
            </w:r>
            <w:r>
              <w:rPr>
                <w:rFonts w:ascii="Times New Roman" w:hAnsi="Times New Roman"/>
                <w:color w:val="auto"/>
                <w:sz w:val="24"/>
              </w:rPr>
              <w:t>级阶地。上部黄土状土呈可塑状态，稍密—中密，承载力150－200KPa，具湿陷性；下部砾卵石呈中密状态，承载力400－600KPa左右。</w:t>
            </w:r>
          </w:p>
          <w:p>
            <w:pPr>
              <w:widowControl/>
              <w:spacing w:line="360" w:lineRule="auto"/>
              <w:ind w:firstLine="480" w:firstLineChars="200"/>
              <w:jc w:val="left"/>
              <w:rPr>
                <w:rFonts w:ascii="Times New Roman" w:hAnsi="Times New Roman"/>
                <w:color w:val="auto"/>
                <w:sz w:val="24"/>
              </w:rPr>
            </w:pPr>
            <w:r>
              <w:rPr>
                <w:rFonts w:hint="eastAsia" w:ascii="宋体" w:hAnsi="宋体" w:cs="宋体"/>
                <w:color w:val="auto"/>
                <w:sz w:val="24"/>
              </w:rPr>
              <w:t>②</w:t>
            </w:r>
            <w:r>
              <w:rPr>
                <w:rFonts w:ascii="Times New Roman" w:hAnsi="Times New Roman"/>
                <w:color w:val="auto"/>
                <w:sz w:val="24"/>
              </w:rPr>
              <w:t>砂性土、砂砾石多层土体：多分布于沟口，堆积物松散、磨圆差，其岩性为砂性土、砂砾石混杂堆积，承载力300－400KPa左右。</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2、特殊土：黄土及黄土状土、砂砾石双层土体，系指马兰黄土；粉土、粉质粘土双层土体，系指离石黄土、午城黄土。本区内广泛分布，马兰黄土质地均一，具大孔隙，垂直节理发育，遇水易崩解，湿陷系数0.015—0.120，具强湿陷性；下部离石黄土呈稍密状态，具弱湿陷性。</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2 \* ROMAN </w:instrText>
            </w:r>
            <w:r>
              <w:rPr>
                <w:rFonts w:ascii="Times New Roman" w:hAnsi="Times New Roman"/>
                <w:color w:val="auto"/>
                <w:sz w:val="24"/>
              </w:rPr>
              <w:fldChar w:fldCharType="separate"/>
            </w:r>
            <w:r>
              <w:rPr>
                <w:rFonts w:ascii="Times New Roman" w:hAnsi="Times New Roman"/>
                <w:color w:val="auto"/>
                <w:sz w:val="24"/>
              </w:rPr>
              <w:t>II</w:t>
            </w:r>
            <w:r>
              <w:rPr>
                <w:rFonts w:ascii="Times New Roman" w:hAnsi="Times New Roman"/>
                <w:color w:val="auto"/>
                <w:sz w:val="24"/>
              </w:rPr>
              <w:fldChar w:fldCharType="end"/>
            </w:r>
            <w:r>
              <w:rPr>
                <w:rFonts w:ascii="Times New Roman" w:hAnsi="Times New Roman"/>
                <w:color w:val="auto"/>
                <w:sz w:val="24"/>
              </w:rPr>
              <w:t>、岩体工程地质类型及特征</w:t>
            </w:r>
          </w:p>
          <w:p>
            <w:pPr>
              <w:widowControl/>
              <w:spacing w:line="360" w:lineRule="auto"/>
              <w:ind w:firstLine="480"/>
              <w:jc w:val="left"/>
              <w:rPr>
                <w:rFonts w:ascii="Times New Roman" w:hAnsi="Times New Roman"/>
                <w:color w:val="auto"/>
                <w:sz w:val="24"/>
              </w:rPr>
            </w:pPr>
            <w:r>
              <w:rPr>
                <w:rFonts w:ascii="Times New Roman" w:hAnsi="Times New Roman"/>
                <w:color w:val="auto"/>
                <w:sz w:val="24"/>
              </w:rPr>
              <w:t>工作区岩体为碎屑岩建造，根据岩体结构和物理力学性质可划为一个岩组。中厚层较坚硬—软弱砂岩、泥岩岩组（K</w:t>
            </w:r>
            <w:r>
              <w:rPr>
                <w:rFonts w:ascii="Times New Roman" w:hAnsi="Times New Roman"/>
                <w:color w:val="auto"/>
                <w:sz w:val="24"/>
                <w:vertAlign w:val="subscript"/>
              </w:rPr>
              <w:t>1</w:t>
            </w:r>
            <w:r>
              <w:rPr>
                <w:rFonts w:ascii="Times New Roman" w:hAnsi="Times New Roman"/>
                <w:color w:val="auto"/>
                <w:sz w:val="24"/>
              </w:rPr>
              <w:t>h）：岩性为泥岩、砂质泥岩夹砂岩、泥质粉砂岩。节理裂隙发育，主要为一组“X”型节理；岩体发育水平层理，间距0.3—1.0m不等。其主要物理力学指标为干容重21.50—23.90KN/m</w:t>
            </w:r>
            <w:r>
              <w:rPr>
                <w:rFonts w:ascii="Times New Roman" w:hAnsi="Times New Roman"/>
                <w:color w:val="auto"/>
                <w:sz w:val="24"/>
                <w:vertAlign w:val="superscript"/>
              </w:rPr>
              <w:t>3</w:t>
            </w:r>
            <w:r>
              <w:rPr>
                <w:rFonts w:ascii="Times New Roman" w:hAnsi="Times New Roman"/>
                <w:color w:val="auto"/>
                <w:sz w:val="24"/>
              </w:rPr>
              <w:t>，干燥状态抗压强度39.0—76.0MPa，软化系数0.40—0.90，抗剪强度2.50—5.90MPa。</w:t>
            </w:r>
          </w:p>
          <w:p>
            <w:pPr>
              <w:widowControl/>
              <w:spacing w:line="360" w:lineRule="auto"/>
              <w:ind w:firstLine="480" w:firstLineChars="200"/>
              <w:jc w:val="left"/>
              <w:rPr>
                <w:rFonts w:ascii="Times New Roman" w:hAnsi="Times New Roman"/>
                <w:bCs/>
                <w:color w:val="auto"/>
                <w:sz w:val="24"/>
                <w:szCs w:val="28"/>
              </w:rPr>
            </w:pPr>
            <w:r>
              <w:rPr>
                <w:rFonts w:ascii="Times New Roman" w:hAnsi="Times New Roman"/>
                <w:bCs/>
                <w:color w:val="auto"/>
                <w:sz w:val="24"/>
                <w:szCs w:val="28"/>
              </w:rPr>
              <w:t>（6）区域水文地质条件</w:t>
            </w:r>
          </w:p>
          <w:p>
            <w:pPr>
              <w:widowControl/>
              <w:spacing w:line="348" w:lineRule="auto"/>
              <w:ind w:firstLine="480" w:firstLineChars="200"/>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1 \* GB3 </w:instrText>
            </w:r>
            <w:r>
              <w:rPr>
                <w:rFonts w:ascii="Times New Roman" w:hAnsi="Times New Roman"/>
                <w:color w:val="auto"/>
                <w:sz w:val="24"/>
              </w:rPr>
              <w:fldChar w:fldCharType="separate"/>
            </w:r>
            <w:r>
              <w:rPr>
                <w:rFonts w:hint="eastAsia" w:ascii="宋体" w:hAnsi="宋体" w:cs="宋体"/>
                <w:color w:val="auto"/>
                <w:sz w:val="24"/>
              </w:rPr>
              <w:t>①</w:t>
            </w:r>
            <w:r>
              <w:rPr>
                <w:rFonts w:ascii="Times New Roman" w:hAnsi="Times New Roman"/>
                <w:color w:val="auto"/>
                <w:sz w:val="24"/>
              </w:rPr>
              <w:fldChar w:fldCharType="end"/>
            </w:r>
            <w:r>
              <w:rPr>
                <w:rFonts w:ascii="Times New Roman" w:hAnsi="Times New Roman"/>
                <w:color w:val="auto"/>
                <w:sz w:val="24"/>
              </w:rPr>
              <w:t>黄土塬区裂隙孔隙潜水</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评价区位于黄土残塬（和盛塬）边缘地带，和盛塬一般宽2—6km，长几十公里，面积为188km</w:t>
            </w:r>
            <w:r>
              <w:rPr>
                <w:rFonts w:ascii="Times New Roman" w:hAnsi="Times New Roman"/>
                <w:color w:val="auto"/>
                <w:sz w:val="24"/>
                <w:vertAlign w:val="superscript"/>
              </w:rPr>
              <w:t>2</w:t>
            </w:r>
            <w:r>
              <w:rPr>
                <w:rFonts w:ascii="Times New Roman" w:hAnsi="Times New Roman"/>
                <w:color w:val="auto"/>
                <w:sz w:val="24"/>
              </w:rPr>
              <w:t>，塬体表层为马兰黄土（Q</w:t>
            </w:r>
            <w:r>
              <w:rPr>
                <w:rFonts w:ascii="Times New Roman" w:hAnsi="Times New Roman"/>
                <w:color w:val="auto"/>
                <w:sz w:val="24"/>
                <w:vertAlign w:val="subscript"/>
              </w:rPr>
              <w:t>3</w:t>
            </w:r>
            <w:r>
              <w:rPr>
                <w:rFonts w:ascii="Times New Roman" w:hAnsi="Times New Roman"/>
                <w:color w:val="auto"/>
                <w:sz w:val="24"/>
              </w:rPr>
              <w:t>）覆盖，透水性好，下部黄土（Q</w:t>
            </w:r>
            <w:r>
              <w:rPr>
                <w:rFonts w:ascii="Times New Roman" w:hAnsi="Times New Roman"/>
                <w:color w:val="auto"/>
                <w:sz w:val="24"/>
                <w:vertAlign w:val="subscript"/>
              </w:rPr>
              <w:t>2</w:t>
            </w:r>
            <w:r>
              <w:rPr>
                <w:rFonts w:ascii="Times New Roman" w:hAnsi="Times New Roman"/>
                <w:color w:val="auto"/>
                <w:sz w:val="24"/>
              </w:rPr>
              <w:t>））分布连续，有利于大气降水渗入。塬中心部位形成连续的中等富水区，含水层厚度从塬中心向沟边减薄，塬边沟谷切割较深，排泄条件好，赋存条件差，水量贫乏，地下水赋存于中更新统黄土层之中，根据调查，和盛塬地下径流量为69710.4 t/d，塬中心一带地下水位埋深约45m，含水层厚度20-30m，自塬中心向外水位埋深逐渐增大，含水层厚度变小。</w:t>
            </w:r>
          </w:p>
          <w:p>
            <w:pPr>
              <w:widowControl/>
              <w:spacing w:line="360" w:lineRule="auto"/>
              <w:ind w:firstLine="460" w:firstLineChars="192"/>
              <w:jc w:val="left"/>
              <w:rPr>
                <w:rFonts w:ascii="Times New Roman" w:hAnsi="Times New Roman"/>
                <w:color w:val="auto"/>
                <w:sz w:val="24"/>
              </w:rPr>
            </w:pPr>
            <w:r>
              <w:rPr>
                <w:rFonts w:ascii="Times New Roman" w:hAnsi="Times New Roman"/>
                <w:color w:val="auto"/>
                <w:sz w:val="24"/>
              </w:rPr>
              <w:t>黄土孔隙裂隙潜水的补给来源主要是大气降水。梁峁区黄土潜水的径流主要受地貌形态的控制，径流方向多变，多自地形高处流向地形低处残塬区黄土潜水的径流特征是：径流方向是由塬中心至塬边，水力坡度在塬中心地带较小或近水平，塬边地带较大。排泄的方式是人工开采、在塬边以泉的方式溢出或下渗补给白垩系地下水。</w:t>
            </w:r>
          </w:p>
          <w:p>
            <w:pPr>
              <w:widowControl/>
              <w:spacing w:line="360" w:lineRule="auto"/>
              <w:ind w:firstLine="559" w:firstLineChars="233"/>
              <w:jc w:val="left"/>
              <w:rPr>
                <w:rFonts w:ascii="Times New Roman" w:hAnsi="Times New Roman"/>
                <w:color w:val="auto"/>
                <w:sz w:val="24"/>
              </w:rPr>
            </w:pPr>
            <w:r>
              <w:rPr>
                <w:rFonts w:ascii="Times New Roman" w:hAnsi="Times New Roman"/>
                <w:color w:val="auto"/>
                <w:sz w:val="24"/>
              </w:rPr>
              <w:t>评价区黄土孔隙裂隙潜水地下水动态类型属于水文型，随降水的变化而变化，滞后降水20-30天，年内水位变幅1-2m。年际间水位的变化亦主要受降水量多少的控制，年际间变幅较小。黄土潜水的TDS和总硬度年际间变化均不大，水质比较稳定。</w:t>
            </w:r>
          </w:p>
          <w:p>
            <w:pPr>
              <w:widowControl/>
              <w:spacing w:line="348" w:lineRule="auto"/>
              <w:ind w:firstLine="480" w:firstLineChars="200"/>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2 \* GB3 </w:instrText>
            </w:r>
            <w:r>
              <w:rPr>
                <w:rFonts w:ascii="Times New Roman" w:hAnsi="Times New Roman"/>
                <w:color w:val="auto"/>
                <w:sz w:val="24"/>
              </w:rPr>
              <w:fldChar w:fldCharType="separate"/>
            </w:r>
            <w:r>
              <w:rPr>
                <w:rFonts w:hint="eastAsia" w:ascii="宋体" w:hAnsi="宋体" w:cs="宋体"/>
                <w:color w:val="auto"/>
                <w:sz w:val="24"/>
              </w:rPr>
              <w:t>②</w:t>
            </w:r>
            <w:r>
              <w:rPr>
                <w:rFonts w:ascii="Times New Roman" w:hAnsi="Times New Roman"/>
                <w:color w:val="auto"/>
                <w:sz w:val="24"/>
              </w:rPr>
              <w:fldChar w:fldCharType="end"/>
            </w:r>
            <w:r>
              <w:rPr>
                <w:rFonts w:ascii="Times New Roman" w:hAnsi="Times New Roman"/>
                <w:color w:val="auto"/>
                <w:sz w:val="24"/>
              </w:rPr>
              <w:t>河谷区第四系冲积层孔隙潜水</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主要分布于蒲河堆积阶地以及河漫滩沉积物之中。沿河床两侧断续展布。一级阶地宽50—200m，含水层厚2—5m。二级阶地宽50—300m，二级阶地均为基座型，由于冲积层直接坐落在基岩上，因而形成不含水层,河谷区潜水水量中等的（单井涌水量100—1000m</w:t>
            </w:r>
            <w:r>
              <w:rPr>
                <w:rFonts w:ascii="Times New Roman" w:hAnsi="Times New Roman"/>
                <w:color w:val="auto"/>
                <w:sz w:val="24"/>
                <w:vertAlign w:val="superscript"/>
              </w:rPr>
              <w:t>3</w:t>
            </w:r>
            <w:r>
              <w:rPr>
                <w:rFonts w:ascii="Times New Roman" w:hAnsi="Times New Roman"/>
                <w:color w:val="auto"/>
                <w:sz w:val="24"/>
              </w:rPr>
              <w:t>/d），蒲河的漫滩一级阶地，潜水埋深0.91—8.7m，含水层厚1.5—9.49m。水量贫乏的（单井涌水量10—100吨/日）。</w:t>
            </w:r>
          </w:p>
          <w:p>
            <w:pPr>
              <w:widowControl/>
              <w:spacing w:line="360" w:lineRule="auto"/>
              <w:ind w:firstLine="460" w:firstLineChars="192"/>
              <w:jc w:val="left"/>
              <w:rPr>
                <w:rFonts w:ascii="Times New Roman" w:hAnsi="Times New Roman"/>
                <w:color w:val="auto"/>
                <w:sz w:val="24"/>
              </w:rPr>
            </w:pPr>
            <w:r>
              <w:rPr>
                <w:rFonts w:ascii="Times New Roman" w:hAnsi="Times New Roman"/>
                <w:color w:val="auto"/>
                <w:sz w:val="24"/>
              </w:rPr>
              <w:t>河谷地下水的补给项有地表水渗漏、降水入渗、断面径流、渠道、灌溉水入渗及沟谷潜水的侧向径流补给等。河谷地下水的径流方向基本与地表水流向一致，总体自西向东径流。排泄方式主要有地表溢出、蒸发、人工开采等。</w:t>
            </w:r>
          </w:p>
          <w:p>
            <w:pPr>
              <w:widowControl/>
              <w:spacing w:line="360" w:lineRule="auto"/>
              <w:ind w:firstLine="460" w:firstLineChars="192"/>
              <w:jc w:val="left"/>
              <w:rPr>
                <w:rFonts w:ascii="Times New Roman" w:hAnsi="Times New Roman"/>
                <w:color w:val="auto"/>
                <w:sz w:val="24"/>
              </w:rPr>
            </w:pPr>
            <w:r>
              <w:rPr>
                <w:rFonts w:ascii="Times New Roman" w:hAnsi="Times New Roman"/>
                <w:color w:val="auto"/>
                <w:sz w:val="24"/>
              </w:rPr>
              <w:t>据主要影响因素及特征，河谷潜水的水位动态类型属于水文型。河谷潜水动态主要受季节的影响，丰水期7-10月，降水量大，地表水流量大，地下水位上升，枯水期地下水位则相应下降，年变幅小于0.5m。</w:t>
            </w:r>
          </w:p>
          <w:p>
            <w:pPr>
              <w:widowControl/>
              <w:spacing w:line="360" w:lineRule="auto"/>
              <w:ind w:firstLine="460" w:firstLineChars="192"/>
              <w:jc w:val="left"/>
              <w:rPr>
                <w:rFonts w:ascii="Times New Roman" w:hAnsi="Times New Roman"/>
                <w:color w:val="auto"/>
                <w:sz w:val="24"/>
              </w:rPr>
            </w:pPr>
            <w:r>
              <w:rPr>
                <w:rFonts w:ascii="Times New Roman" w:hAnsi="Times New Roman"/>
                <w:color w:val="auto"/>
                <w:sz w:val="24"/>
              </w:rPr>
              <w:t>河谷潜水的水质动态年际、年内变化不大。总体趋势是：丰水季节、丰水年溶解性总固体、总硬度较低，枯水季节、枯水年则升高；溶解性总固体变幅一般小于100mg/L，总硬度变幅一般小于150mg/L。</w:t>
            </w:r>
          </w:p>
          <w:p>
            <w:pPr>
              <w:widowControl/>
              <w:spacing w:line="348" w:lineRule="auto"/>
              <w:ind w:firstLine="480" w:firstLineChars="200"/>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3 \* GB3 </w:instrText>
            </w:r>
            <w:r>
              <w:rPr>
                <w:rFonts w:ascii="Times New Roman" w:hAnsi="Times New Roman"/>
                <w:color w:val="auto"/>
                <w:sz w:val="24"/>
              </w:rPr>
              <w:fldChar w:fldCharType="separate"/>
            </w:r>
            <w:r>
              <w:rPr>
                <w:rFonts w:hint="eastAsia" w:ascii="宋体" w:hAnsi="宋体" w:cs="宋体"/>
                <w:color w:val="auto"/>
                <w:sz w:val="24"/>
              </w:rPr>
              <w:t>③</w:t>
            </w:r>
            <w:r>
              <w:rPr>
                <w:rFonts w:ascii="Times New Roman" w:hAnsi="Times New Roman"/>
                <w:color w:val="auto"/>
                <w:sz w:val="24"/>
              </w:rPr>
              <w:fldChar w:fldCharType="end"/>
            </w:r>
            <w:r>
              <w:rPr>
                <w:rFonts w:ascii="Times New Roman" w:hAnsi="Times New Roman"/>
                <w:color w:val="auto"/>
                <w:sz w:val="24"/>
              </w:rPr>
              <w:t>碎屑岩类潜水</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该类地下水主要分布于整个评价区内，含水地层为白垩系下统环河组（K</w:t>
            </w:r>
            <w:r>
              <w:rPr>
                <w:rFonts w:ascii="Times New Roman" w:hAnsi="Times New Roman"/>
                <w:color w:val="auto"/>
                <w:sz w:val="24"/>
                <w:vertAlign w:val="subscript"/>
              </w:rPr>
              <w:t>1</w:t>
            </w:r>
            <w:r>
              <w:rPr>
                <w:rFonts w:ascii="Times New Roman" w:hAnsi="Times New Roman"/>
                <w:color w:val="auto"/>
                <w:sz w:val="24"/>
              </w:rPr>
              <w:t>h）风化砂岩、泥质砂岩等风化裂隙中，接收大气降水直接渗入补给或通过上覆黄土间接的渗入补给，排泄给河谷河水。掩埋于河谷区下部的基岩风化带，经长期风化，未受切割破坏，厚度50—90m，分布稳定，连续性好，有利于地下水的斌存。在黄土梁峁及沟壑区基岩风化带大多数裸露于当地侵蚀基准面以上，厚度30—50m，切割较强烈，连续性较差，易于地下水的排泄，而不易于地下水的赋存，并以下降泉的形式排泄于沟谷。评价区内环河组碎屑岩类潜水水量贫乏,单井涌水量10—100t/d，含水层厚35.7—67.3m，水位埋深4.4—13.1m。</w:t>
            </w:r>
          </w:p>
          <w:p>
            <w:pPr>
              <w:widowControl/>
              <w:spacing w:line="348" w:lineRule="auto"/>
              <w:ind w:firstLine="480" w:firstLineChars="200"/>
              <w:jc w:val="left"/>
              <w:rPr>
                <w:rFonts w:ascii="Times New Roman" w:hAnsi="Times New Roman"/>
                <w:color w:val="auto"/>
                <w:sz w:val="24"/>
              </w:rPr>
            </w:pPr>
            <w:r>
              <w:rPr>
                <w:rFonts w:ascii="Times New Roman" w:hAnsi="Times New Roman"/>
                <w:color w:val="auto"/>
                <w:sz w:val="24"/>
              </w:rPr>
              <w:fldChar w:fldCharType="begin"/>
            </w:r>
            <w:r>
              <w:rPr>
                <w:rFonts w:ascii="Times New Roman" w:hAnsi="Times New Roman"/>
                <w:color w:val="auto"/>
                <w:sz w:val="24"/>
              </w:rPr>
              <w:instrText xml:space="preserve"> = 4 \* GB3 </w:instrText>
            </w:r>
            <w:r>
              <w:rPr>
                <w:rFonts w:ascii="Times New Roman" w:hAnsi="Times New Roman"/>
                <w:color w:val="auto"/>
                <w:sz w:val="24"/>
              </w:rPr>
              <w:fldChar w:fldCharType="separate"/>
            </w:r>
            <w:r>
              <w:rPr>
                <w:rFonts w:hint="eastAsia" w:ascii="宋体" w:hAnsi="宋体" w:cs="宋体"/>
                <w:color w:val="auto"/>
                <w:sz w:val="24"/>
              </w:rPr>
              <w:t>④</w:t>
            </w:r>
            <w:r>
              <w:rPr>
                <w:rFonts w:ascii="Times New Roman" w:hAnsi="Times New Roman"/>
                <w:color w:val="auto"/>
                <w:sz w:val="24"/>
              </w:rPr>
              <w:fldChar w:fldCharType="end"/>
            </w:r>
            <w:r>
              <w:rPr>
                <w:rFonts w:ascii="Times New Roman" w:hAnsi="Times New Roman"/>
                <w:color w:val="auto"/>
                <w:sz w:val="24"/>
              </w:rPr>
              <w:t>白垩系下统承压水</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本区承压水分布广泛，白垩系下统地层在区内由北东向南西方向微倾，形成一个单斜构造。根据石油单位在长庆桥附近勘探资料：白垩系下统共有三个含水组：A、洛河组：埋深370—375m，含水层厚400—700m，单井涌水量2000t/d—5000t/d，矿化度0.81克/升。B、华池组。埋深140—145m，含水层厚150—170m，钻孔自流量800—1000吨/日，矿化度2.08克/升。C、环河组。顶板埋深15m左右，在沟谷地区部分出露，含水层厚130—140m，钻孔自流量700吨/日，矿化度小于3克/升。</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白垩系下统承压水补给、径流区主要在子午岭以东地区。在基岩裸露区，可直接接受大气降水和地表水的渗入补给而形成浅层潜流，一部分形成潜水排泄于当地河谷，一部分沿着地下岩层径流逐渐变为承压水，由北东向南西方向运动。区内承压水水质在垂直和水平方向上变化比较复杂，在补给区（子午岭以东）华池组、洛河组地下潜水矿化度为1g/l左右，华池组承压水从径流区到汇流区矿化度由1.91克/升剧增到6g/l。洛河组变化规律与华池组基本相同，泾河长庆桥一带华池组、洛河组水质有冲突现象，矿化度华池组为2.08g/l，洛河组为0.82g/l。由此可见，华池组、洛河组承压水的补给，从径流区到汇集区其水质矿化度由东部和北部向中部运移中，随径流途径的加长而矿化度逐渐增高。环河组承压水几乎不适应作为生活用水和农田灌溉用水，华池组承压水局部地段为比较差的生活用水和比较适宜的农田灌溉用水，其余均不能饮用，洛河组承压水在泾河长庆桥一带为良好的生活用水和农田灌溉用水，其余地区均不能直接饮用。</w:t>
            </w:r>
          </w:p>
          <w:p>
            <w:pPr>
              <w:spacing w:line="360" w:lineRule="auto"/>
              <w:ind w:firstLine="480" w:firstLineChars="200"/>
              <w:rPr>
                <w:rFonts w:ascii="Times New Roman" w:hAnsi="Times New Roman"/>
                <w:color w:val="auto"/>
                <w:sz w:val="24"/>
              </w:rPr>
            </w:pPr>
            <w:r>
              <w:rPr>
                <w:rFonts w:ascii="Times New Roman" w:hAnsi="Times New Roman"/>
                <w:color w:val="auto"/>
                <w:sz w:val="24"/>
              </w:rPr>
              <w:t>（7）地下水影响分析及防护对策</w:t>
            </w:r>
          </w:p>
          <w:p>
            <w:pPr>
              <w:pStyle w:val="54"/>
              <w:ind w:firstLine="480"/>
              <w:rPr>
                <w:color w:val="auto"/>
              </w:rPr>
            </w:pPr>
            <w:r>
              <w:rPr>
                <w:color w:val="auto"/>
              </w:rPr>
              <w:t>本次评价依据《中华人民共和国水污染防治法》和《中华人民共和国环境影响评价法》的相关规定，按照“源头控制、分区防控、污染监控、应急响应”，重点突出饮用水水质安全的原则确定地下水环境保护措施。</w:t>
            </w:r>
          </w:p>
          <w:p>
            <w:pPr>
              <w:pStyle w:val="54"/>
              <w:ind w:firstLine="480"/>
              <w:rPr>
                <w:color w:val="auto"/>
              </w:rPr>
            </w:pPr>
            <w:r>
              <w:rPr>
                <w:rFonts w:hint="eastAsia" w:ascii="宋体" w:hAnsi="宋体" w:cs="宋体"/>
                <w:color w:val="auto"/>
              </w:rPr>
              <w:t>①</w:t>
            </w:r>
            <w:r>
              <w:rPr>
                <w:color w:val="auto"/>
              </w:rPr>
              <w:t>源头控制措施</w:t>
            </w:r>
          </w:p>
          <w:p>
            <w:pPr>
              <w:pStyle w:val="54"/>
              <w:ind w:firstLine="480"/>
              <w:rPr>
                <w:color w:val="auto"/>
              </w:rPr>
            </w:pPr>
            <w:r>
              <w:rPr>
                <w:color w:val="auto"/>
              </w:rPr>
              <w:t>本项目对产生的废水进行合理的治理和综合利用，以先进工艺、管道、设备、储存设施，尽可能从源头上减少可能的污染物产生；严格按照国家相关规范要求，对工艺、管道、设备、储存及处理构筑物采取相应的措施，以防止和降低可能污染物的跑、冒、滴、漏，将废水泄漏的环境风险事故降低到最低程度；各项设施的设置尽量采用“可视化”原则，做到污染物“早发现、早处理”，以减少由于埋地管道、防渗层泄漏而可能造成的地下水污染。进行质量体系认证，实现“质量、安全、环境”三位一体的全面质量管理目标。设立地下水动态监测小组，负责对地下水环境监测和管理，或者委托专业的机构完成。建立有关规章制度和岗位责任制。制定风险预警方案，设立应急设施减少环境污染影响。</w:t>
            </w:r>
          </w:p>
          <w:p>
            <w:pPr>
              <w:pStyle w:val="54"/>
              <w:ind w:firstLine="480"/>
              <w:rPr>
                <w:color w:val="auto"/>
              </w:rPr>
            </w:pPr>
            <w:r>
              <w:rPr>
                <w:rFonts w:hint="eastAsia" w:ascii="宋体" w:hAnsi="宋体" w:cs="宋体"/>
                <w:color w:val="auto"/>
              </w:rPr>
              <w:t>②</w:t>
            </w:r>
            <w:r>
              <w:rPr>
                <w:color w:val="auto"/>
              </w:rPr>
              <w:t>分区防控措施</w:t>
            </w:r>
          </w:p>
          <w:p>
            <w:pPr>
              <w:pStyle w:val="54"/>
              <w:ind w:firstLine="480"/>
              <w:rPr>
                <w:color w:val="auto"/>
              </w:rPr>
            </w:pPr>
            <w:r>
              <w:rPr>
                <w:color w:val="auto"/>
              </w:rPr>
              <w:t>根据前文分析，项目对地下水环境的影响主要来自生产区的压缩工序及渗滤液暂存池，因此，本项目要求对生产区域采取严格的防渗措施。综合分析后将项目场地划分为：一般污染防渗区和简单污染防渗区。具体划分情况如下：</w:t>
            </w:r>
          </w:p>
          <w:p>
            <w:pPr>
              <w:pStyle w:val="54"/>
              <w:ind w:firstLine="480"/>
              <w:rPr>
                <w:color w:val="auto"/>
              </w:rPr>
            </w:pPr>
            <w:r>
              <w:rPr>
                <w:color w:val="auto"/>
              </w:rPr>
              <w:t>（1）一般污染防渗区</w:t>
            </w:r>
          </w:p>
          <w:p>
            <w:pPr>
              <w:pStyle w:val="54"/>
              <w:ind w:firstLine="480"/>
              <w:rPr>
                <w:color w:val="auto"/>
              </w:rPr>
            </w:pPr>
            <w:r>
              <w:rPr>
                <w:color w:val="auto"/>
              </w:rPr>
              <w:t>本项目一般污染防渗区主要为压缩、渗滤液暂存池、沉淀池等，此类区域发生污染物泄漏后能及时发现，对地下水环境的影响相对较小。本次评价对其防渗技术要求为：等效黏土防渗层 Mb≥1.5m，K≤1×10</w:t>
            </w:r>
            <w:r>
              <w:rPr>
                <w:color w:val="auto"/>
                <w:vertAlign w:val="superscript"/>
              </w:rPr>
              <w:t>-7</w:t>
            </w:r>
            <w:r>
              <w:rPr>
                <w:color w:val="auto"/>
              </w:rPr>
              <w:t>cm/s。</w:t>
            </w:r>
          </w:p>
          <w:p>
            <w:pPr>
              <w:pStyle w:val="54"/>
              <w:ind w:firstLine="480"/>
              <w:rPr>
                <w:color w:val="auto"/>
              </w:rPr>
            </w:pPr>
            <w:r>
              <w:rPr>
                <w:color w:val="auto"/>
              </w:rPr>
              <w:t>（2）简单污染防渗区</w:t>
            </w:r>
          </w:p>
          <w:p>
            <w:pPr>
              <w:pStyle w:val="54"/>
              <w:ind w:firstLine="480"/>
              <w:rPr>
                <w:color w:val="auto"/>
              </w:rPr>
            </w:pPr>
            <w:r>
              <w:rPr>
                <w:color w:val="auto"/>
              </w:rPr>
              <w:t>对于项目场地的其他区域，如办公生活区、工具室等，采用非铺砌地坪或者普通混凝土地坪，地基按民用建筑要求处理即可。</w:t>
            </w:r>
          </w:p>
          <w:p>
            <w:pPr>
              <w:spacing w:line="360" w:lineRule="auto"/>
              <w:ind w:firstLine="480" w:firstLineChars="200"/>
              <w:rPr>
                <w:rFonts w:ascii="Times New Roman" w:hAnsi="Times New Roman"/>
                <w:color w:val="auto"/>
                <w:sz w:val="24"/>
              </w:rPr>
            </w:pPr>
            <w:r>
              <w:rPr>
                <w:rFonts w:ascii="Times New Roman" w:hAnsi="Times New Roman"/>
                <w:color w:val="auto"/>
                <w:sz w:val="24"/>
              </w:rPr>
              <w:t>建设单位在采取评价所提出各种治理措施后，项目建设对土壤和地下水环境影响较小。</w:t>
            </w:r>
          </w:p>
          <w:p>
            <w:pPr>
              <w:spacing w:line="360" w:lineRule="auto"/>
              <w:ind w:firstLine="482" w:firstLineChars="200"/>
              <w:rPr>
                <w:rFonts w:ascii="Times New Roman" w:hAnsi="Times New Roman"/>
                <w:b/>
                <w:color w:val="auto"/>
                <w:kern w:val="0"/>
                <w:sz w:val="24"/>
                <w:highlight w:val="yellow"/>
              </w:rPr>
            </w:pPr>
            <w:r>
              <w:rPr>
                <w:rFonts w:ascii="Times New Roman" w:hAnsi="Times New Roman"/>
                <w:b/>
                <w:color w:val="auto"/>
                <w:kern w:val="0"/>
                <w:sz w:val="24"/>
                <w:highlight w:val="yellow"/>
              </w:rPr>
              <w:t>四、噪声环境影响</w:t>
            </w:r>
          </w:p>
          <w:p>
            <w:pPr>
              <w:tabs>
                <w:tab w:val="left" w:pos="2685"/>
                <w:tab w:val="center" w:pos="4284"/>
              </w:tabs>
              <w:spacing w:line="360" w:lineRule="auto"/>
              <w:ind w:firstLine="480" w:firstLineChars="200"/>
              <w:jc w:val="left"/>
              <w:rPr>
                <w:rFonts w:ascii="Times New Roman" w:hAnsi="Times New Roman"/>
                <w:color w:val="auto"/>
                <w:sz w:val="24"/>
                <w:highlight w:val="yellow"/>
              </w:rPr>
            </w:pPr>
            <w:r>
              <w:rPr>
                <w:rFonts w:ascii="Times New Roman" w:hAnsi="Times New Roman"/>
                <w:color w:val="auto"/>
                <w:sz w:val="24"/>
                <w:highlight w:val="yellow"/>
              </w:rPr>
              <w:t>本项目噪声源主要来源于一体式垃圾转运站压缩装置噪声，经过类比调査，噪声产生情况及处理措施见下表7-11：</w:t>
            </w:r>
          </w:p>
          <w:p>
            <w:pPr>
              <w:adjustRightInd w:val="0"/>
              <w:snapToGrid w:val="0"/>
              <w:jc w:val="center"/>
              <w:rPr>
                <w:rFonts w:ascii="Times New Roman" w:hAnsi="Times New Roman"/>
                <w:b/>
                <w:bCs/>
                <w:color w:val="auto"/>
                <w:kern w:val="0"/>
                <w:sz w:val="24"/>
                <w:highlight w:val="yellow"/>
              </w:rPr>
            </w:pPr>
            <w:r>
              <w:rPr>
                <w:rFonts w:ascii="Times New Roman" w:hAnsi="Times New Roman"/>
                <w:b/>
                <w:bCs/>
                <w:color w:val="auto"/>
                <w:kern w:val="0"/>
                <w:sz w:val="24"/>
                <w:highlight w:val="yellow"/>
              </w:rPr>
              <w:t>表7-11   本项目主要噪声源及降噪措施  单位：dB(A)</w:t>
            </w:r>
          </w:p>
          <w:tbl>
            <w:tblPr>
              <w:tblStyle w:val="26"/>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2410"/>
              <w:gridCol w:w="1701"/>
              <w:gridCol w:w="1037"/>
              <w:gridCol w:w="1464"/>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4" w:type="dxa"/>
                  <w:vAlign w:val="center"/>
                </w:tcPr>
                <w:p>
                  <w:pPr>
                    <w:tabs>
                      <w:tab w:val="left" w:pos="4515"/>
                    </w:tabs>
                    <w:jc w:val="center"/>
                    <w:rPr>
                      <w:rFonts w:ascii="Times New Roman" w:hAnsi="Times New Roman"/>
                      <w:b/>
                      <w:bCs/>
                      <w:color w:val="auto"/>
                      <w:szCs w:val="21"/>
                      <w:highlight w:val="yellow"/>
                    </w:rPr>
                  </w:pPr>
                  <w:r>
                    <w:rPr>
                      <w:rFonts w:ascii="Times New Roman" w:hAnsi="Times New Roman"/>
                      <w:b/>
                      <w:bCs/>
                      <w:color w:val="auto"/>
                      <w:szCs w:val="21"/>
                      <w:highlight w:val="yellow"/>
                    </w:rPr>
                    <w:t>序号</w:t>
                  </w:r>
                </w:p>
              </w:tc>
              <w:tc>
                <w:tcPr>
                  <w:tcW w:w="2410" w:type="dxa"/>
                  <w:vAlign w:val="center"/>
                </w:tcPr>
                <w:p>
                  <w:pPr>
                    <w:tabs>
                      <w:tab w:val="left" w:pos="4515"/>
                    </w:tabs>
                    <w:jc w:val="center"/>
                    <w:rPr>
                      <w:rFonts w:ascii="Times New Roman" w:hAnsi="Times New Roman"/>
                      <w:b/>
                      <w:bCs/>
                      <w:color w:val="auto"/>
                      <w:szCs w:val="21"/>
                      <w:highlight w:val="yellow"/>
                    </w:rPr>
                  </w:pPr>
                  <w:r>
                    <w:rPr>
                      <w:rFonts w:ascii="Times New Roman" w:hAnsi="Times New Roman"/>
                      <w:b/>
                      <w:bCs/>
                      <w:color w:val="auto"/>
                      <w:szCs w:val="21"/>
                      <w:highlight w:val="yellow"/>
                    </w:rPr>
                    <w:t>设备名称</w:t>
                  </w:r>
                </w:p>
              </w:tc>
              <w:tc>
                <w:tcPr>
                  <w:tcW w:w="1701" w:type="dxa"/>
                  <w:vAlign w:val="center"/>
                </w:tcPr>
                <w:p>
                  <w:pPr>
                    <w:tabs>
                      <w:tab w:val="left" w:pos="4515"/>
                    </w:tabs>
                    <w:jc w:val="center"/>
                    <w:rPr>
                      <w:rFonts w:ascii="Times New Roman" w:hAnsi="Times New Roman"/>
                      <w:b/>
                      <w:color w:val="auto"/>
                      <w:szCs w:val="21"/>
                      <w:highlight w:val="yellow"/>
                    </w:rPr>
                  </w:pPr>
                  <w:r>
                    <w:rPr>
                      <w:rFonts w:ascii="Times New Roman" w:hAnsi="Times New Roman"/>
                      <w:b/>
                      <w:bCs/>
                      <w:color w:val="auto"/>
                      <w:szCs w:val="21"/>
                      <w:highlight w:val="yellow"/>
                    </w:rPr>
                    <w:t>数量（台）</w:t>
                  </w:r>
                </w:p>
              </w:tc>
              <w:tc>
                <w:tcPr>
                  <w:tcW w:w="1037" w:type="dxa"/>
                  <w:vAlign w:val="center"/>
                </w:tcPr>
                <w:p>
                  <w:pPr>
                    <w:tabs>
                      <w:tab w:val="left" w:pos="4515"/>
                    </w:tabs>
                    <w:jc w:val="center"/>
                    <w:rPr>
                      <w:rFonts w:ascii="Times New Roman" w:hAnsi="Times New Roman"/>
                      <w:b/>
                      <w:color w:val="auto"/>
                      <w:szCs w:val="21"/>
                      <w:highlight w:val="yellow"/>
                    </w:rPr>
                  </w:pPr>
                  <w:r>
                    <w:rPr>
                      <w:rFonts w:ascii="Times New Roman" w:hAnsi="Times New Roman"/>
                      <w:b/>
                      <w:bCs/>
                      <w:color w:val="auto"/>
                      <w:szCs w:val="21"/>
                      <w:highlight w:val="yellow"/>
                    </w:rPr>
                    <w:t>源强</w:t>
                  </w:r>
                </w:p>
              </w:tc>
              <w:tc>
                <w:tcPr>
                  <w:tcW w:w="1464" w:type="dxa"/>
                  <w:vAlign w:val="center"/>
                </w:tcPr>
                <w:p>
                  <w:pPr>
                    <w:tabs>
                      <w:tab w:val="left" w:pos="4515"/>
                    </w:tabs>
                    <w:jc w:val="center"/>
                    <w:rPr>
                      <w:rFonts w:ascii="Times New Roman" w:hAnsi="Times New Roman"/>
                      <w:b/>
                      <w:bCs/>
                      <w:color w:val="auto"/>
                      <w:szCs w:val="21"/>
                      <w:highlight w:val="yellow"/>
                    </w:rPr>
                  </w:pPr>
                  <w:r>
                    <w:rPr>
                      <w:rFonts w:ascii="Times New Roman" w:hAnsi="Times New Roman"/>
                      <w:b/>
                      <w:bCs/>
                      <w:color w:val="auto"/>
                      <w:szCs w:val="21"/>
                      <w:highlight w:val="yellow"/>
                    </w:rPr>
                    <w:t>降噪措施</w:t>
                  </w:r>
                </w:p>
              </w:tc>
              <w:tc>
                <w:tcPr>
                  <w:tcW w:w="1463" w:type="dxa"/>
                  <w:vAlign w:val="center"/>
                </w:tcPr>
                <w:p>
                  <w:pPr>
                    <w:tabs>
                      <w:tab w:val="left" w:pos="4515"/>
                    </w:tabs>
                    <w:jc w:val="center"/>
                    <w:rPr>
                      <w:rFonts w:ascii="Times New Roman" w:hAnsi="Times New Roman"/>
                      <w:b/>
                      <w:bCs/>
                      <w:color w:val="auto"/>
                      <w:szCs w:val="21"/>
                      <w:highlight w:val="yellow"/>
                    </w:rPr>
                  </w:pPr>
                  <w:r>
                    <w:rPr>
                      <w:rFonts w:ascii="Times New Roman" w:hAnsi="Times New Roman"/>
                      <w:b/>
                      <w:bCs/>
                      <w:color w:val="auto"/>
                      <w:szCs w:val="21"/>
                      <w:highlight w:val="yellow"/>
                    </w:rPr>
                    <w:t>降噪后源强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4" w:type="dxa"/>
                  <w:vAlign w:val="center"/>
                </w:tcPr>
                <w:p>
                  <w:pPr>
                    <w:autoSpaceDN w:val="0"/>
                    <w:jc w:val="center"/>
                    <w:rPr>
                      <w:rFonts w:ascii="Times New Roman" w:hAnsi="Times New Roman"/>
                      <w:color w:val="auto"/>
                      <w:szCs w:val="21"/>
                      <w:highlight w:val="yellow"/>
                    </w:rPr>
                  </w:pPr>
                  <w:r>
                    <w:rPr>
                      <w:rFonts w:ascii="Times New Roman" w:hAnsi="Times New Roman"/>
                      <w:color w:val="auto"/>
                      <w:szCs w:val="21"/>
                      <w:highlight w:val="yellow"/>
                    </w:rPr>
                    <w:t>1</w:t>
                  </w:r>
                </w:p>
              </w:tc>
              <w:tc>
                <w:tcPr>
                  <w:tcW w:w="2410" w:type="dxa"/>
                  <w:vAlign w:val="center"/>
                </w:tcPr>
                <w:p>
                  <w:pPr>
                    <w:jc w:val="center"/>
                    <w:rPr>
                      <w:rFonts w:ascii="Times New Roman" w:hAnsi="Times New Roman"/>
                      <w:color w:val="auto"/>
                      <w:kern w:val="0"/>
                      <w:szCs w:val="21"/>
                      <w:highlight w:val="yellow"/>
                    </w:rPr>
                  </w:pPr>
                  <w:r>
                    <w:rPr>
                      <w:rFonts w:ascii="Times New Roman" w:hAnsi="Times New Roman"/>
                      <w:color w:val="auto"/>
                      <w:szCs w:val="21"/>
                      <w:highlight w:val="yellow"/>
                    </w:rPr>
                    <w:t>一体式垃圾转运站压缩装置</w:t>
                  </w:r>
                </w:p>
              </w:tc>
              <w:tc>
                <w:tcPr>
                  <w:tcW w:w="1701" w:type="dxa"/>
                  <w:vAlign w:val="center"/>
                </w:tcPr>
                <w:p>
                  <w:pPr>
                    <w:pStyle w:val="56"/>
                    <w:ind w:firstLine="0" w:firstLineChars="0"/>
                    <w:jc w:val="center"/>
                    <w:rPr>
                      <w:rFonts w:ascii="Times New Roman" w:hAnsi="Times New Roman"/>
                      <w:color w:val="auto"/>
                      <w:szCs w:val="21"/>
                      <w:highlight w:val="yellow"/>
                    </w:rPr>
                  </w:pPr>
                  <w:r>
                    <w:rPr>
                      <w:rFonts w:ascii="Times New Roman" w:hAnsi="Times New Roman"/>
                      <w:color w:val="auto"/>
                      <w:szCs w:val="24"/>
                      <w:highlight w:val="yellow"/>
                    </w:rPr>
                    <w:t>1</w:t>
                  </w:r>
                </w:p>
              </w:tc>
              <w:tc>
                <w:tcPr>
                  <w:tcW w:w="1037" w:type="dxa"/>
                  <w:vAlign w:val="center"/>
                </w:tcPr>
                <w:p>
                  <w:pPr>
                    <w:widowControl/>
                    <w:jc w:val="center"/>
                    <w:textAlignment w:val="center"/>
                    <w:rPr>
                      <w:rFonts w:ascii="Times New Roman" w:hAnsi="Times New Roman"/>
                      <w:color w:val="auto"/>
                      <w:szCs w:val="21"/>
                      <w:highlight w:val="yellow"/>
                    </w:rPr>
                  </w:pPr>
                  <w:r>
                    <w:rPr>
                      <w:rFonts w:ascii="Times New Roman" w:hAnsi="Times New Roman"/>
                      <w:color w:val="auto"/>
                      <w:kern w:val="0"/>
                      <w:szCs w:val="21"/>
                      <w:highlight w:val="yellow"/>
                    </w:rPr>
                    <w:t>70</w:t>
                  </w:r>
                </w:p>
              </w:tc>
              <w:tc>
                <w:tcPr>
                  <w:tcW w:w="1464" w:type="dxa"/>
                  <w:vAlign w:val="center"/>
                </w:tcPr>
                <w:p>
                  <w:pPr>
                    <w:widowControl/>
                    <w:jc w:val="center"/>
                    <w:textAlignment w:val="center"/>
                    <w:rPr>
                      <w:rFonts w:ascii="Times New Roman" w:hAnsi="Times New Roman"/>
                      <w:color w:val="auto"/>
                      <w:kern w:val="0"/>
                      <w:szCs w:val="21"/>
                      <w:highlight w:val="yellow"/>
                    </w:rPr>
                  </w:pPr>
                  <w:r>
                    <w:rPr>
                      <w:rFonts w:ascii="Times New Roman" w:hAnsi="Times New Roman"/>
                      <w:color w:val="auto"/>
                      <w:kern w:val="0"/>
                      <w:szCs w:val="21"/>
                      <w:highlight w:val="yellow"/>
                    </w:rPr>
                    <w:t>减震、隔声</w:t>
                  </w:r>
                </w:p>
              </w:tc>
              <w:tc>
                <w:tcPr>
                  <w:tcW w:w="1463" w:type="dxa"/>
                  <w:vAlign w:val="center"/>
                </w:tcPr>
                <w:p>
                  <w:pPr>
                    <w:widowControl/>
                    <w:jc w:val="center"/>
                    <w:textAlignment w:val="center"/>
                    <w:rPr>
                      <w:rFonts w:ascii="Times New Roman" w:hAnsi="Times New Roman"/>
                      <w:color w:val="auto"/>
                      <w:kern w:val="0"/>
                      <w:szCs w:val="21"/>
                      <w:highlight w:val="yellow"/>
                    </w:rPr>
                  </w:pPr>
                  <w:r>
                    <w:rPr>
                      <w:rFonts w:ascii="Times New Roman" w:hAnsi="Times New Roman"/>
                      <w:color w:val="auto"/>
                      <w:kern w:val="0"/>
                      <w:szCs w:val="21"/>
                      <w:highlight w:val="yellow"/>
                    </w:rPr>
                    <w:t>60</w:t>
                  </w:r>
                </w:p>
              </w:tc>
            </w:tr>
          </w:tbl>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（1）预测因子：等效A声级；</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（2）预测点位：东、西、南、北四个厂界。</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（3）预测模式</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由于本项目噪声设备基本上位于室内，根据声环境评价导则（HJ2.4-2009），采用将室内声源等效为室外声源声功率级，再按照点声源计算衰减后进行叠加的方法来进行预测。对于室外声源，直接按照点声源对待。</w:t>
            </w:r>
          </w:p>
          <w:p>
            <w:pPr>
              <w:adjustRightInd w:val="0"/>
              <w:spacing w:line="360" w:lineRule="auto"/>
              <w:ind w:firstLine="480" w:firstLineChars="200"/>
              <w:rPr>
                <w:rFonts w:ascii="Times New Roman" w:hAnsi="Times New Roman"/>
                <w:color w:val="auto"/>
                <w:sz w:val="24"/>
                <w:highlight w:val="yellow"/>
              </w:rPr>
            </w:pPr>
            <w:r>
              <w:rPr>
                <w:rFonts w:hint="eastAsia" w:ascii="宋体" w:hAnsi="宋体" w:cs="宋体"/>
                <w:color w:val="auto"/>
                <w:sz w:val="24"/>
                <w:highlight w:val="yellow"/>
              </w:rPr>
              <w:t>①</w:t>
            </w:r>
            <w:r>
              <w:rPr>
                <w:rFonts w:ascii="Times New Roman" w:hAnsi="Times New Roman"/>
                <w:color w:val="auto"/>
                <w:sz w:val="24"/>
                <w:highlight w:val="yellow"/>
              </w:rPr>
              <w:t>室内声源等效室外声源声功率级计算方法</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如下图所示，声源位于室内，室内声源可采用等效室外声源声功率级法进行计算。设靠近开口处（或窗户）室内、室外某倍频带的声压级分别为Lp1和Lp2。</w:t>
            </w:r>
          </w:p>
          <w:p>
            <w:pPr>
              <w:adjustRightInd w:val="0"/>
              <w:spacing w:line="360" w:lineRule="auto"/>
              <w:ind w:firstLine="480" w:firstLineChars="200"/>
              <w:jc w:val="center"/>
              <w:rPr>
                <w:rFonts w:ascii="Times New Roman" w:hAnsi="Times New Roman"/>
                <w:color w:val="auto"/>
                <w:sz w:val="24"/>
                <w:highlight w:val="yellow"/>
              </w:rPr>
            </w:pPr>
            <w:r>
              <w:rPr>
                <w:rFonts w:ascii="Times New Roman" w:hAnsi="Times New Roman"/>
                <w:color w:val="auto"/>
                <w:sz w:val="24"/>
                <w:highlight w:val="yellow"/>
              </w:rPr>
              <w:pict>
                <v:shape id="_x0000_i1042" o:spt="75" type="#_x0000_t75" style="height:123.75pt;width:231pt;" filled="f" o:preferrelative="t" stroked="f" coordsize="21600,21600">
                  <v:path/>
                  <v:fill on="f" focussize="0,0"/>
                  <v:stroke on="f" joinstyle="miter"/>
                  <v:imagedata r:id="rId27" o:title=""/>
                  <o:lock v:ext="edit" aspectratio="t"/>
                  <w10:wrap type="none"/>
                  <w10:anchorlock/>
                </v:shape>
              </w:pict>
            </w:r>
          </w:p>
          <w:p>
            <w:pPr>
              <w:adjustRightInd w:val="0"/>
              <w:spacing w:line="360" w:lineRule="auto"/>
              <w:ind w:firstLine="480" w:firstLineChars="200"/>
              <w:jc w:val="center"/>
              <w:rPr>
                <w:rFonts w:ascii="Times New Roman" w:hAnsi="Times New Roman"/>
                <w:color w:val="auto"/>
                <w:sz w:val="24"/>
                <w:highlight w:val="yellow"/>
              </w:rPr>
            </w:pPr>
            <w:r>
              <w:rPr>
                <w:rFonts w:ascii="Times New Roman" w:hAnsi="Times New Roman"/>
                <w:color w:val="auto"/>
                <w:sz w:val="24"/>
                <w:highlight w:val="yellow"/>
              </w:rPr>
              <w:t>图4  室内声源等效为室外声源图例</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若声源所在室内声场为近似扩散场，室内声源靠近围护结构处产生的倍频带声压级按公式（2）计算。</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43" o:spt="75" type="#_x0000_t75" style="height:36pt;width:155.25pt;" o:ole="t" filled="f" o:preferrelative="t" stroked="f" coordsize="21600,21600">
                  <v:path/>
                  <v:fill on="f" focussize="0,0"/>
                  <v:stroke on="f" joinstyle="miter"/>
                  <v:imagedata r:id="rId29" o:title=""/>
                  <o:lock v:ext="edit" aspectratio="t"/>
                  <w10:wrap type="none"/>
                  <w10:anchorlock/>
                </v:shape>
                <o:OLEObject Type="Embed" ProgID="Equation.DSMT4" ShapeID="_x0000_i1043" DrawAspect="Content" ObjectID="_1468075729" r:id="rId28">
                  <o:LockedField>false</o:LockedField>
                </o:OLEObject>
              </w:object>
            </w:r>
            <w:r>
              <w:rPr>
                <w:rFonts w:ascii="Times New Roman" w:hAnsi="Times New Roman"/>
                <w:color w:val="auto"/>
                <w:sz w:val="24"/>
                <w:highlight w:val="yellow"/>
              </w:rPr>
              <w:t>（2）</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式中：</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Q ——指向性因数：按声源在房间中心考虑，Q=1；</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R ——房间常数：R=S</w:t>
            </w:r>
            <w:r>
              <w:rPr>
                <w:rFonts w:ascii="Times New Roman" w:hAnsi="Times New Roman"/>
                <w:color w:val="auto"/>
                <w:sz w:val="24"/>
                <w:highlight w:val="yellow"/>
              </w:rPr>
              <w:object>
                <v:shape id="_x0000_i1044" o:spt="75" type="#_x0000_t75" style="height:10.5pt;width:12pt;" o:ole="t" filled="f" o:preferrelative="t" stroked="f" coordsize="21600,21600">
                  <v:path/>
                  <v:fill on="f" focussize="0,0"/>
                  <v:stroke on="f" joinstyle="miter"/>
                  <v:imagedata r:id="rId31" o:title=""/>
                  <o:lock v:ext="edit" aspectratio="t"/>
                  <w10:wrap type="none"/>
                  <w10:anchorlock/>
                </v:shape>
                <o:OLEObject Type="Embed" ProgID="Equation.DSMT4" ShapeID="_x0000_i1044" DrawAspect="Content" ObjectID="_1468075730" r:id="rId30">
                  <o:LockedField>false</o:LockedField>
                </o:OLEObject>
              </w:object>
            </w:r>
            <w:r>
              <w:rPr>
                <w:rFonts w:ascii="Times New Roman" w:hAnsi="Times New Roman"/>
                <w:color w:val="auto"/>
                <w:sz w:val="24"/>
                <w:highlight w:val="yellow"/>
              </w:rPr>
              <w:t>/（1－</w:t>
            </w:r>
            <w:r>
              <w:rPr>
                <w:rFonts w:ascii="Times New Roman" w:hAnsi="Times New Roman"/>
                <w:color w:val="auto"/>
                <w:sz w:val="24"/>
                <w:highlight w:val="yellow"/>
              </w:rPr>
              <w:object>
                <v:shape id="_x0000_i1045" o:spt="75" type="#_x0000_t75" style="height:10.5pt;width:12pt;" o:ole="t" filled="f" o:preferrelative="t" stroked="f" coordsize="21600,21600">
                  <v:path/>
                  <v:fill on="f" focussize="0,0"/>
                  <v:stroke on="f" joinstyle="miter"/>
                  <v:imagedata r:id="rId33" o:title=""/>
                  <o:lock v:ext="edit" aspectratio="t"/>
                  <w10:wrap type="none"/>
                  <w10:anchorlock/>
                </v:shape>
                <o:OLEObject Type="Embed" ProgID="Equation.DSMT4" ShapeID="_x0000_i1045" DrawAspect="Content" ObjectID="_1468075731" r:id="rId32">
                  <o:LockedField>false</o:LockedField>
                </o:OLEObject>
              </w:object>
            </w:r>
            <w:r>
              <w:rPr>
                <w:rFonts w:ascii="Times New Roman" w:hAnsi="Times New Roman"/>
                <w:color w:val="auto"/>
                <w:sz w:val="24"/>
                <w:highlight w:val="yellow"/>
              </w:rPr>
              <w:t>）</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S为房间内表面积，m</w:t>
            </w:r>
            <w:r>
              <w:rPr>
                <w:rFonts w:ascii="Times New Roman" w:hAnsi="Times New Roman"/>
                <w:color w:val="auto"/>
                <w:sz w:val="24"/>
                <w:highlight w:val="yellow"/>
                <w:vertAlign w:val="superscript"/>
              </w:rPr>
              <w:t>2</w:t>
            </w:r>
            <w:r>
              <w:rPr>
                <w:rFonts w:ascii="Times New Roman" w:hAnsi="Times New Roman"/>
                <w:color w:val="auto"/>
                <w:sz w:val="24"/>
                <w:highlight w:val="yellow"/>
              </w:rPr>
              <w:t>；</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46" o:spt="75" type="#_x0000_t75" style="height:10.5pt;width:12pt;" o:ole="t" filled="f" o:preferrelative="t" stroked="f" coordsize="21600,21600">
                  <v:path/>
                  <v:fill on="f" focussize="0,0"/>
                  <v:stroke on="f" joinstyle="miter"/>
                  <v:imagedata r:id="rId33" o:title=""/>
                  <o:lock v:ext="edit" aspectratio="t"/>
                  <w10:wrap type="none"/>
                  <w10:anchorlock/>
                </v:shape>
                <o:OLEObject Type="Embed" ProgID="Equation.DSMT4" ShapeID="_x0000_i1046" DrawAspect="Content" ObjectID="_1468075732" r:id="rId34">
                  <o:LockedField>false</o:LockedField>
                </o:OLEObject>
              </w:object>
            </w:r>
            <w:r>
              <w:rPr>
                <w:rFonts w:ascii="Times New Roman" w:hAnsi="Times New Roman"/>
                <w:color w:val="auto"/>
                <w:sz w:val="24"/>
                <w:highlight w:val="yellow"/>
              </w:rPr>
              <w:t>为平均吸声系数，按0.03计算；</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r ——声源到靠近维护结构某点处的距离。</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然后按公示</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（3）计算所有室内声源在围护结构处产生的叠加声压级。</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47" o:spt="75" type="#_x0000_t75" style="height:42.75pt;width:155.25pt;" o:ole="t" filled="f" o:preferrelative="t" stroked="f" coordsize="21600,21600">
                  <v:path/>
                  <v:fill on="f" focussize="0,0"/>
                  <v:stroke on="f" joinstyle="miter"/>
                  <v:imagedata r:id="rId36" o:title=""/>
                  <o:lock v:ext="edit" aspectratio="t"/>
                  <w10:wrap type="none"/>
                  <w10:anchorlock/>
                </v:shape>
                <o:OLEObject Type="Embed" ProgID="Equation.DSMT4" ShapeID="_x0000_i1047" DrawAspect="Content" ObjectID="_1468075733" r:id="rId35">
                  <o:LockedField>false</o:LockedField>
                </o:OLEObject>
              </w:object>
            </w:r>
            <w:r>
              <w:rPr>
                <w:rFonts w:ascii="Times New Roman" w:hAnsi="Times New Roman"/>
                <w:color w:val="auto"/>
                <w:sz w:val="24"/>
                <w:highlight w:val="yellow"/>
              </w:rPr>
              <w:t>（3）</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式中：</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48" o:spt="75" type="#_x0000_t75" style="height:18pt;width:36.75pt;" o:ole="t" filled="f" o:preferrelative="t" stroked="f" coordsize="21600,21600">
                  <v:path/>
                  <v:fill on="f" focussize="0,0"/>
                  <v:stroke on="f" joinstyle="miter"/>
                  <v:imagedata r:id="rId38" o:title=""/>
                  <o:lock v:ext="edit" aspectratio="t"/>
                  <w10:wrap type="none"/>
                  <w10:anchorlock/>
                </v:shape>
                <o:OLEObject Type="Embed" ProgID="Equation.DSMT4" ShapeID="_x0000_i1048" DrawAspect="Content" ObjectID="_1468075734" r:id="rId37">
                  <o:LockedField>false</o:LockedField>
                </o:OLEObject>
              </w:object>
            </w:r>
            <w:r>
              <w:rPr>
                <w:rFonts w:ascii="Times New Roman" w:hAnsi="Times New Roman"/>
                <w:color w:val="auto"/>
                <w:sz w:val="24"/>
                <w:highlight w:val="yellow"/>
              </w:rPr>
              <w:t>——靠近围护结构处室内N个声源的叠加声压级，dB；</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49" o:spt="75" type="#_x0000_t75" style="height:18.75pt;width:21.75pt;" o:ole="t" filled="f" o:preferrelative="t" stroked="f" coordsize="21600,21600">
                  <v:path/>
                  <v:fill on="f" focussize="0,0"/>
                  <v:stroke on="f" joinstyle="miter"/>
                  <v:imagedata r:id="rId40" o:title=""/>
                  <o:lock v:ext="edit" aspectratio="t"/>
                  <w10:wrap type="none"/>
                  <w10:anchorlock/>
                </v:shape>
                <o:OLEObject Type="Embed" ProgID="Equation.DSMT4" ShapeID="_x0000_i1049" DrawAspect="Content" ObjectID="_1468075735" r:id="rId39">
                  <o:LockedField>false</o:LockedField>
                </o:OLEObject>
              </w:object>
            </w:r>
            <w:r>
              <w:rPr>
                <w:rFonts w:ascii="Times New Roman" w:hAnsi="Times New Roman"/>
                <w:color w:val="auto"/>
                <w:sz w:val="24"/>
                <w:highlight w:val="yellow"/>
              </w:rPr>
              <w:t>——室内j声源i倍频带的声压级，dB；</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N ——室内声源总个数。</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将室内近似为扩散声场考虑，按公示（4）计算靠近室外围护结构处的声压级。</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50" o:spt="75" type="#_x0000_t75" style="height:21.75pt;width:165pt;" o:ole="t" filled="f" o:preferrelative="t" stroked="f" coordsize="21600,21600">
                  <v:path/>
                  <v:fill on="f" focussize="0,0"/>
                  <v:stroke on="f" joinstyle="miter"/>
                  <v:imagedata r:id="rId42" o:title=""/>
                  <o:lock v:ext="edit" aspectratio="t"/>
                  <w10:wrap type="none"/>
                  <w10:anchorlock/>
                </v:shape>
                <o:OLEObject Type="Embed" ProgID="Equation.DSMT4" ShapeID="_x0000_i1050" DrawAspect="Content" ObjectID="_1468075736" r:id="rId41">
                  <o:LockedField>false</o:LockedField>
                </o:OLEObject>
              </w:object>
            </w:r>
            <w:r>
              <w:rPr>
                <w:rFonts w:ascii="Times New Roman" w:hAnsi="Times New Roman"/>
                <w:color w:val="auto"/>
                <w:sz w:val="24"/>
                <w:highlight w:val="yellow"/>
              </w:rPr>
              <w:t>（4）</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式中：</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51" o:spt="75" type="#_x0000_t75" style="height:18pt;width:39pt;" o:ole="t" filled="f" o:preferrelative="t" stroked="f" coordsize="21600,21600">
                  <v:path/>
                  <v:fill on="f" focussize="0,0"/>
                  <v:stroke on="f" joinstyle="miter"/>
                  <v:imagedata r:id="rId44" o:title=""/>
                  <o:lock v:ext="edit" aspectratio="t"/>
                  <w10:wrap type="none"/>
                  <w10:anchorlock/>
                </v:shape>
                <o:OLEObject Type="Embed" ProgID="Equation.DSMT4" ShapeID="_x0000_i1051" DrawAspect="Content" ObjectID="_1468075737" r:id="rId43">
                  <o:LockedField>false</o:LockedField>
                </o:OLEObject>
              </w:object>
            </w:r>
            <w:r>
              <w:rPr>
                <w:rFonts w:ascii="Times New Roman" w:hAnsi="Times New Roman"/>
                <w:color w:val="auto"/>
                <w:sz w:val="24"/>
                <w:highlight w:val="yellow"/>
              </w:rPr>
              <w:t>——靠近围护结构处室外N个声源i倍频带的叠加声压级，dB；</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52" o:spt="75" type="#_x0000_t75" style="height:18pt;width:18pt;" o:ole="t" filled="f" o:preferrelative="t" stroked="f" coordsize="21600,21600">
                  <v:path/>
                  <v:fill on="f" focussize="0,0"/>
                  <v:stroke on="f" joinstyle="miter"/>
                  <v:imagedata r:id="rId46" o:title=""/>
                  <o:lock v:ext="edit" aspectratio="t"/>
                  <w10:wrap type="none"/>
                  <w10:anchorlock/>
                </v:shape>
                <o:OLEObject Type="Embed" ProgID="Equation.DSMT4" ShapeID="_x0000_i1052" DrawAspect="Content" ObjectID="_1468075738" r:id="rId45">
                  <o:LockedField>false</o:LockedField>
                </o:OLEObject>
              </w:object>
            </w:r>
            <w:r>
              <w:rPr>
                <w:rFonts w:ascii="Times New Roman" w:hAnsi="Times New Roman"/>
                <w:color w:val="auto"/>
                <w:sz w:val="24"/>
                <w:highlight w:val="yellow"/>
              </w:rPr>
              <w:t>——围护结构i倍频带的隔声量，本项目采用实心砖墙体，建筑围护结构隔声量按30dB计。</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然后按照公式（6-4）将室外声源的声压级和透过面积换算成等效的室外声源，计算出中心位置位于透声面积（S）处的等效声源的倍频带声功率级。</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53" o:spt="75" type="#_x0000_t75" style="height:21.75pt;width:120pt;" o:ole="t" filled="f" o:preferrelative="t" stroked="f" coordsize="21600,21600">
                  <v:path/>
                  <v:fill on="f" focussize="0,0"/>
                  <v:stroke on="f" joinstyle="miter"/>
                  <v:imagedata r:id="rId48" o:title=""/>
                  <o:lock v:ext="edit" aspectratio="t"/>
                  <w10:wrap type="none"/>
                  <w10:anchorlock/>
                </v:shape>
                <o:OLEObject Type="Embed" ProgID="Equation.DSMT4" ShapeID="_x0000_i1053" DrawAspect="Content" ObjectID="_1468075739" r:id="rId47">
                  <o:LockedField>false</o:LockedField>
                </o:OLEObject>
              </w:object>
            </w:r>
            <w:r>
              <w:rPr>
                <w:rFonts w:ascii="Times New Roman" w:hAnsi="Times New Roman"/>
                <w:color w:val="auto"/>
                <w:sz w:val="24"/>
                <w:highlight w:val="yellow"/>
              </w:rPr>
              <w:t>（5）</w:t>
            </w:r>
          </w:p>
          <w:p>
            <w:pPr>
              <w:adjustRightInd w:val="0"/>
              <w:spacing w:line="360" w:lineRule="auto"/>
              <w:ind w:firstLine="480" w:firstLineChars="200"/>
              <w:rPr>
                <w:rFonts w:ascii="Times New Roman" w:hAnsi="Times New Roman"/>
                <w:color w:val="auto"/>
                <w:sz w:val="24"/>
                <w:highlight w:val="yellow"/>
              </w:rPr>
            </w:pPr>
            <w:r>
              <w:rPr>
                <w:rFonts w:hint="eastAsia" w:ascii="宋体" w:hAnsi="宋体" w:cs="宋体"/>
                <w:color w:val="auto"/>
                <w:sz w:val="24"/>
                <w:highlight w:val="yellow"/>
              </w:rPr>
              <w:t>②</w:t>
            </w:r>
            <w:r>
              <w:rPr>
                <w:rFonts w:ascii="Times New Roman" w:hAnsi="Times New Roman"/>
                <w:color w:val="auto"/>
                <w:sz w:val="24"/>
                <w:highlight w:val="yellow"/>
              </w:rPr>
              <w:t>室外点声源几何发散衰减的模式如下：</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噪声随距离增加引起的衰减公式</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object>
                <v:shape id="_x0000_i1054" o:spt="75" type="#_x0000_t75" style="height:21pt;width:117.75pt;" o:ole="t" filled="f" o:preferrelative="t" stroked="f" coordsize="21600,21600">
                  <v:path/>
                  <v:fill on="f" focussize="0,0"/>
                  <v:stroke on="f" joinstyle="miter"/>
                  <v:imagedata r:id="rId50" o:title=""/>
                  <o:lock v:ext="edit" aspectratio="t"/>
                  <w10:wrap type="none"/>
                  <w10:anchorlock/>
                </v:shape>
                <o:OLEObject Type="Embed" ProgID="Equation.3" ShapeID="_x0000_i1054" DrawAspect="Content" ObjectID="_1468075740" r:id="rId49">
                  <o:LockedField>false</o:LockedField>
                </o:OLEObject>
              </w:objec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式中：</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L1——参考位置r1的声压级，dB；</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L2——预测点r2的声压级，dB；</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r1——预测点距声源的距离，m；</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r2——参考位置距声源的距离，m。</w:t>
            </w:r>
          </w:p>
          <w:p>
            <w:pPr>
              <w:adjustRightInd w:val="0"/>
              <w:spacing w:line="360" w:lineRule="auto"/>
              <w:ind w:firstLine="480" w:firstLineChars="200"/>
              <w:rPr>
                <w:rFonts w:ascii="Times New Roman" w:hAnsi="Times New Roman"/>
                <w:color w:val="auto"/>
                <w:sz w:val="24"/>
                <w:highlight w:val="yellow"/>
              </w:rPr>
            </w:pPr>
            <w:r>
              <w:rPr>
                <w:rFonts w:hint="eastAsia" w:ascii="宋体" w:hAnsi="宋体" w:cs="宋体"/>
                <w:color w:val="auto"/>
                <w:sz w:val="24"/>
                <w:highlight w:val="yellow"/>
              </w:rPr>
              <w:t>③</w:t>
            </w:r>
            <w:r>
              <w:rPr>
                <w:rFonts w:ascii="Times New Roman" w:hAnsi="Times New Roman"/>
                <w:color w:val="auto"/>
                <w:sz w:val="24"/>
                <w:highlight w:val="yellow"/>
              </w:rPr>
              <w:t>多个声源的叠加计算</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当有N个噪声源时，它们对同一个受声点的声压级贡献应按下式进行计算：</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pict>
                <v:shape id="对象 739" o:spid="_x0000_s2621" o:spt="75" type="#_x0000_t75" style="position:absolute;left:0pt;margin-left:150.9pt;margin-top:1.25pt;height:33.75pt;width:114.8pt;z-index:251664384;mso-width-relative:page;mso-height-relative:page;" o:ole="t" filled="f" o:preferrelative="t" stroked="f" coordsize="21600,21600">
                  <v:path/>
                  <v:fill on="f" focussize="0,0"/>
                  <v:stroke on="f" joinstyle="miter"/>
                  <v:imagedata r:id="rId52" o:title=""/>
                  <o:lock v:ext="edit" aspectratio="f"/>
                </v:shape>
                <o:OLEObject Type="Embed" ProgID="Equation.3" ShapeID="对象 739" DrawAspect="Content" ObjectID="_1468075741" r:id="rId51">
                  <o:LockedField>false</o:LockedField>
                </o:OLEObject>
              </w:pict>
            </w:r>
          </w:p>
          <w:p>
            <w:pPr>
              <w:adjustRightInd w:val="0"/>
              <w:spacing w:line="360" w:lineRule="auto"/>
              <w:ind w:firstLine="480" w:firstLineChars="200"/>
              <w:rPr>
                <w:rFonts w:ascii="Times New Roman" w:hAnsi="Times New Roman"/>
                <w:color w:val="auto"/>
                <w:sz w:val="24"/>
                <w:highlight w:val="yellow"/>
              </w:rPr>
            </w:pP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Lpi──第i个噪声源对某一受声点的声级贡献值，dBA。</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（4）预测结果及评价</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根据项目总平面布置与主要设备噪声源分布，将声源的A声级和其它相关参数代入预测模式，计算出污水处理厂噪声贡献值具体见表5-10。</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由预测结果可知，通过对设备采取基础减振、隔声等措施后，项目运营期噪声满足《工业企业厂界环境噪声排放标准》（GB12348-2008）1类区标准要求。</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（5）预测结果</w:t>
            </w:r>
          </w:p>
          <w:p>
            <w:pPr>
              <w:adjustRightInd w:val="0"/>
              <w:spacing w:line="360" w:lineRule="auto"/>
              <w:ind w:firstLine="480" w:firstLineChars="200"/>
              <w:rPr>
                <w:rFonts w:ascii="Times New Roman" w:hAnsi="Times New Roman"/>
                <w:color w:val="auto"/>
                <w:sz w:val="24"/>
                <w:highlight w:val="yellow"/>
              </w:rPr>
            </w:pPr>
            <w:r>
              <w:rPr>
                <w:rFonts w:ascii="Times New Roman" w:hAnsi="Times New Roman"/>
                <w:color w:val="auto"/>
                <w:sz w:val="24"/>
                <w:highlight w:val="yellow"/>
              </w:rPr>
              <w:t>厂界预测结果见表5-10。</w:t>
            </w:r>
          </w:p>
          <w:p>
            <w:pPr>
              <w:ind w:firstLine="632" w:firstLineChars="300"/>
              <w:jc w:val="center"/>
              <w:outlineLvl w:val="3"/>
              <w:rPr>
                <w:rFonts w:ascii="Times New Roman" w:hAnsi="Times New Roman"/>
                <w:b/>
                <w:bCs/>
                <w:color w:val="auto"/>
                <w:highlight w:val="yellow"/>
              </w:rPr>
            </w:pPr>
            <w:r>
              <w:rPr>
                <w:rFonts w:ascii="Times New Roman" w:hAnsi="Times New Roman"/>
                <w:b/>
                <w:bCs/>
                <w:color w:val="auto"/>
                <w:highlight w:val="yellow"/>
              </w:rPr>
              <w:t>表5-10厂界噪声贡献值一览表 单位：dB（A）</w:t>
            </w:r>
          </w:p>
          <w:tbl>
            <w:tblPr>
              <w:tblStyle w:val="26"/>
              <w:tblW w:w="876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1836"/>
              <w:gridCol w:w="1331"/>
              <w:gridCol w:w="1626"/>
              <w:gridCol w:w="1161"/>
              <w:gridCol w:w="1449"/>
              <w:gridCol w:w="136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836" w:type="dxa"/>
                  <w:vMerge w:val="restart"/>
                  <w:tcMar>
                    <w:top w:w="15" w:type="dxa"/>
                    <w:left w:w="15" w:type="dxa"/>
                    <w:bottom w:w="0" w:type="dxa"/>
                    <w:right w:w="15" w:type="dxa"/>
                  </w:tcMar>
                  <w:vAlign w:val="center"/>
                </w:tcPr>
                <w:p>
                  <w:pPr>
                    <w:pStyle w:val="62"/>
                    <w:rPr>
                      <w:color w:val="auto"/>
                      <w:kern w:val="2"/>
                      <w:highlight w:val="yellow"/>
                    </w:rPr>
                  </w:pPr>
                  <w:r>
                    <w:rPr>
                      <w:color w:val="auto"/>
                      <w:kern w:val="2"/>
                      <w:highlight w:val="yellow"/>
                    </w:rPr>
                    <w:t>预测点位</w:t>
                  </w:r>
                </w:p>
              </w:tc>
              <w:tc>
                <w:tcPr>
                  <w:tcW w:w="1331" w:type="dxa"/>
                  <w:vMerge w:val="restart"/>
                  <w:tcMar>
                    <w:top w:w="15" w:type="dxa"/>
                    <w:left w:w="15" w:type="dxa"/>
                    <w:bottom w:w="0" w:type="dxa"/>
                    <w:right w:w="15" w:type="dxa"/>
                  </w:tcMar>
                  <w:vAlign w:val="center"/>
                </w:tcPr>
                <w:p>
                  <w:pPr>
                    <w:pStyle w:val="62"/>
                    <w:rPr>
                      <w:color w:val="auto"/>
                      <w:kern w:val="2"/>
                      <w:highlight w:val="yellow"/>
                    </w:rPr>
                  </w:pPr>
                  <w:r>
                    <w:rPr>
                      <w:color w:val="auto"/>
                      <w:kern w:val="2"/>
                      <w:highlight w:val="yellow"/>
                    </w:rPr>
                    <w:t>距离m</w:t>
                  </w:r>
                </w:p>
              </w:tc>
              <w:tc>
                <w:tcPr>
                  <w:tcW w:w="1626" w:type="dxa"/>
                  <w:vMerge w:val="restart"/>
                  <w:tcMar>
                    <w:top w:w="15" w:type="dxa"/>
                    <w:left w:w="15" w:type="dxa"/>
                    <w:bottom w:w="0" w:type="dxa"/>
                    <w:right w:w="15" w:type="dxa"/>
                  </w:tcMar>
                  <w:vAlign w:val="center"/>
                </w:tcPr>
                <w:p>
                  <w:pPr>
                    <w:pStyle w:val="62"/>
                    <w:rPr>
                      <w:color w:val="auto"/>
                      <w:kern w:val="2"/>
                      <w:highlight w:val="yellow"/>
                    </w:rPr>
                  </w:pPr>
                  <w:r>
                    <w:rPr>
                      <w:color w:val="auto"/>
                      <w:kern w:val="2"/>
                      <w:highlight w:val="yellow"/>
                    </w:rPr>
                    <w:t>贡献值dB（A）</w:t>
                  </w:r>
                </w:p>
              </w:tc>
              <w:tc>
                <w:tcPr>
                  <w:tcW w:w="2610" w:type="dxa"/>
                  <w:gridSpan w:val="2"/>
                  <w:tcMar>
                    <w:top w:w="15" w:type="dxa"/>
                    <w:left w:w="15" w:type="dxa"/>
                    <w:bottom w:w="0" w:type="dxa"/>
                    <w:right w:w="15" w:type="dxa"/>
                  </w:tcMar>
                  <w:vAlign w:val="center"/>
                </w:tcPr>
                <w:p>
                  <w:pPr>
                    <w:pStyle w:val="62"/>
                    <w:rPr>
                      <w:color w:val="auto"/>
                      <w:kern w:val="2"/>
                      <w:highlight w:val="yellow"/>
                    </w:rPr>
                  </w:pPr>
                  <w:r>
                    <w:rPr>
                      <w:color w:val="auto"/>
                      <w:kern w:val="2"/>
                      <w:highlight w:val="yellow"/>
                    </w:rPr>
                    <w:t>标准限值dB（A）</w:t>
                  </w:r>
                </w:p>
              </w:tc>
              <w:tc>
                <w:tcPr>
                  <w:tcW w:w="1366" w:type="dxa"/>
                  <w:vMerge w:val="restart"/>
                  <w:tcMar>
                    <w:top w:w="15" w:type="dxa"/>
                    <w:left w:w="15" w:type="dxa"/>
                    <w:bottom w:w="0" w:type="dxa"/>
                    <w:right w:w="15" w:type="dxa"/>
                  </w:tcMar>
                  <w:vAlign w:val="center"/>
                </w:tcPr>
                <w:p>
                  <w:pPr>
                    <w:pStyle w:val="62"/>
                    <w:rPr>
                      <w:color w:val="auto"/>
                      <w:kern w:val="2"/>
                      <w:highlight w:val="yellow"/>
                    </w:rPr>
                  </w:pPr>
                  <w:r>
                    <w:rPr>
                      <w:color w:val="auto"/>
                      <w:kern w:val="2"/>
                      <w:highlight w:val="yellow"/>
                    </w:rPr>
                    <w:t>达标性分析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836" w:type="dxa"/>
                  <w:vMerge w:val="continue"/>
                  <w:vAlign w:val="center"/>
                </w:tcPr>
                <w:p>
                  <w:pPr>
                    <w:widowControl/>
                    <w:jc w:val="left"/>
                    <w:rPr>
                      <w:rFonts w:ascii="Times New Roman" w:hAnsi="Times New Roman"/>
                      <w:color w:val="auto"/>
                      <w:szCs w:val="20"/>
                      <w:highlight w:val="yellow"/>
                    </w:rPr>
                  </w:pPr>
                </w:p>
              </w:tc>
              <w:tc>
                <w:tcPr>
                  <w:tcW w:w="1331" w:type="dxa"/>
                  <w:vMerge w:val="continue"/>
                  <w:vAlign w:val="center"/>
                </w:tcPr>
                <w:p>
                  <w:pPr>
                    <w:widowControl/>
                    <w:jc w:val="left"/>
                    <w:rPr>
                      <w:rFonts w:ascii="Times New Roman" w:hAnsi="Times New Roman"/>
                      <w:color w:val="auto"/>
                      <w:szCs w:val="20"/>
                      <w:highlight w:val="yellow"/>
                    </w:rPr>
                  </w:pPr>
                </w:p>
              </w:tc>
              <w:tc>
                <w:tcPr>
                  <w:tcW w:w="1626" w:type="dxa"/>
                  <w:vMerge w:val="continue"/>
                  <w:tcMar>
                    <w:top w:w="15" w:type="dxa"/>
                    <w:left w:w="15" w:type="dxa"/>
                    <w:bottom w:w="0" w:type="dxa"/>
                    <w:right w:w="15" w:type="dxa"/>
                  </w:tcMar>
                  <w:vAlign w:val="center"/>
                </w:tcPr>
                <w:p>
                  <w:pPr>
                    <w:pStyle w:val="62"/>
                    <w:rPr>
                      <w:color w:val="auto"/>
                      <w:kern w:val="2"/>
                      <w:highlight w:val="yellow"/>
                    </w:rPr>
                  </w:pPr>
                </w:p>
              </w:tc>
              <w:tc>
                <w:tcPr>
                  <w:tcW w:w="1161"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昼间</w:t>
                  </w:r>
                </w:p>
              </w:tc>
              <w:tc>
                <w:tcPr>
                  <w:tcW w:w="1449"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夜间</w:t>
                  </w:r>
                </w:p>
              </w:tc>
              <w:tc>
                <w:tcPr>
                  <w:tcW w:w="1366" w:type="dxa"/>
                  <w:vMerge w:val="continue"/>
                  <w:vAlign w:val="center"/>
                </w:tcPr>
                <w:p>
                  <w:pPr>
                    <w:widowControl/>
                    <w:jc w:val="left"/>
                    <w:rPr>
                      <w:rFonts w:ascii="Times New Roman" w:hAnsi="Times New Roman"/>
                      <w:color w:val="auto"/>
                      <w:szCs w:val="20"/>
                      <w:highlight w:val="yellow"/>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83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东边界</w:t>
                  </w:r>
                </w:p>
              </w:tc>
              <w:tc>
                <w:tcPr>
                  <w:tcW w:w="1331"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5</w:t>
                  </w:r>
                </w:p>
              </w:tc>
              <w:tc>
                <w:tcPr>
                  <w:tcW w:w="162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35.04</w:t>
                  </w:r>
                </w:p>
              </w:tc>
              <w:tc>
                <w:tcPr>
                  <w:tcW w:w="1161" w:type="dxa"/>
                  <w:vMerge w:val="restart"/>
                  <w:tcMar>
                    <w:top w:w="15" w:type="dxa"/>
                    <w:left w:w="15" w:type="dxa"/>
                    <w:bottom w:w="0" w:type="dxa"/>
                    <w:right w:w="15" w:type="dxa"/>
                  </w:tcMar>
                  <w:vAlign w:val="center"/>
                </w:tcPr>
                <w:p>
                  <w:pPr>
                    <w:pStyle w:val="62"/>
                    <w:rPr>
                      <w:color w:val="auto"/>
                      <w:kern w:val="2"/>
                      <w:highlight w:val="yellow"/>
                    </w:rPr>
                  </w:pPr>
                  <w:r>
                    <w:rPr>
                      <w:color w:val="auto"/>
                      <w:kern w:val="2"/>
                      <w:highlight w:val="yellow"/>
                    </w:rPr>
                    <w:t>55</w:t>
                  </w:r>
                </w:p>
              </w:tc>
              <w:tc>
                <w:tcPr>
                  <w:tcW w:w="1449" w:type="dxa"/>
                  <w:vMerge w:val="restart"/>
                  <w:tcMar>
                    <w:top w:w="15" w:type="dxa"/>
                    <w:left w:w="15" w:type="dxa"/>
                    <w:bottom w:w="0" w:type="dxa"/>
                    <w:right w:w="15" w:type="dxa"/>
                  </w:tcMar>
                  <w:vAlign w:val="center"/>
                </w:tcPr>
                <w:p>
                  <w:pPr>
                    <w:pStyle w:val="62"/>
                    <w:rPr>
                      <w:color w:val="auto"/>
                      <w:kern w:val="2"/>
                      <w:highlight w:val="yellow"/>
                    </w:rPr>
                  </w:pPr>
                  <w:r>
                    <w:rPr>
                      <w:color w:val="auto"/>
                      <w:kern w:val="2"/>
                      <w:highlight w:val="yellow"/>
                    </w:rPr>
                    <w:t>45</w:t>
                  </w:r>
                </w:p>
              </w:tc>
              <w:tc>
                <w:tcPr>
                  <w:tcW w:w="136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83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北边界</w:t>
                  </w:r>
                </w:p>
              </w:tc>
              <w:tc>
                <w:tcPr>
                  <w:tcW w:w="1331"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45</w:t>
                  </w:r>
                </w:p>
              </w:tc>
              <w:tc>
                <w:tcPr>
                  <w:tcW w:w="162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15.96</w:t>
                  </w:r>
                </w:p>
              </w:tc>
              <w:tc>
                <w:tcPr>
                  <w:tcW w:w="1161" w:type="dxa"/>
                  <w:vMerge w:val="continue"/>
                  <w:vAlign w:val="center"/>
                </w:tcPr>
                <w:p>
                  <w:pPr>
                    <w:widowControl/>
                    <w:jc w:val="left"/>
                    <w:rPr>
                      <w:rFonts w:ascii="Times New Roman" w:hAnsi="Times New Roman"/>
                      <w:color w:val="auto"/>
                      <w:szCs w:val="20"/>
                      <w:highlight w:val="yellow"/>
                    </w:rPr>
                  </w:pPr>
                </w:p>
              </w:tc>
              <w:tc>
                <w:tcPr>
                  <w:tcW w:w="1449" w:type="dxa"/>
                  <w:vMerge w:val="continue"/>
                  <w:vAlign w:val="center"/>
                </w:tcPr>
                <w:p>
                  <w:pPr>
                    <w:widowControl/>
                    <w:jc w:val="left"/>
                    <w:rPr>
                      <w:rFonts w:ascii="Times New Roman" w:hAnsi="Times New Roman"/>
                      <w:color w:val="auto"/>
                      <w:szCs w:val="20"/>
                      <w:highlight w:val="yellow"/>
                    </w:rPr>
                  </w:pPr>
                </w:p>
              </w:tc>
              <w:tc>
                <w:tcPr>
                  <w:tcW w:w="136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83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西边界</w:t>
                  </w:r>
                </w:p>
              </w:tc>
              <w:tc>
                <w:tcPr>
                  <w:tcW w:w="1331"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4</w:t>
                  </w:r>
                </w:p>
              </w:tc>
              <w:tc>
                <w:tcPr>
                  <w:tcW w:w="162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36.98</w:t>
                  </w:r>
                </w:p>
              </w:tc>
              <w:tc>
                <w:tcPr>
                  <w:tcW w:w="1161" w:type="dxa"/>
                  <w:vMerge w:val="continue"/>
                  <w:vAlign w:val="center"/>
                </w:tcPr>
                <w:p>
                  <w:pPr>
                    <w:widowControl/>
                    <w:jc w:val="left"/>
                    <w:rPr>
                      <w:rFonts w:ascii="Times New Roman" w:hAnsi="Times New Roman"/>
                      <w:color w:val="auto"/>
                      <w:szCs w:val="20"/>
                      <w:highlight w:val="yellow"/>
                    </w:rPr>
                  </w:pPr>
                </w:p>
              </w:tc>
              <w:tc>
                <w:tcPr>
                  <w:tcW w:w="1449" w:type="dxa"/>
                  <w:vMerge w:val="continue"/>
                  <w:vAlign w:val="center"/>
                </w:tcPr>
                <w:p>
                  <w:pPr>
                    <w:widowControl/>
                    <w:jc w:val="left"/>
                    <w:rPr>
                      <w:rFonts w:ascii="Times New Roman" w:hAnsi="Times New Roman"/>
                      <w:color w:val="auto"/>
                      <w:szCs w:val="20"/>
                      <w:highlight w:val="yellow"/>
                    </w:rPr>
                  </w:pPr>
                </w:p>
              </w:tc>
              <w:tc>
                <w:tcPr>
                  <w:tcW w:w="136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83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南边界</w:t>
                  </w:r>
                </w:p>
              </w:tc>
              <w:tc>
                <w:tcPr>
                  <w:tcW w:w="1331"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38.33</w:t>
                  </w:r>
                </w:p>
              </w:tc>
              <w:tc>
                <w:tcPr>
                  <w:tcW w:w="1626" w:type="dxa"/>
                  <w:tcMar>
                    <w:top w:w="15" w:type="dxa"/>
                    <w:left w:w="15" w:type="dxa"/>
                    <w:bottom w:w="0" w:type="dxa"/>
                    <w:right w:w="15" w:type="dxa"/>
                  </w:tcMar>
                  <w:vAlign w:val="center"/>
                </w:tcPr>
                <w:p>
                  <w:pPr>
                    <w:pStyle w:val="62"/>
                    <w:rPr>
                      <w:color w:val="auto"/>
                      <w:kern w:val="2"/>
                      <w:highlight w:val="yellow"/>
                    </w:rPr>
                  </w:pPr>
                  <w:r>
                    <w:rPr>
                      <w:color w:val="auto"/>
                      <w:kern w:val="2"/>
                      <w:highlight w:val="yellow"/>
                    </w:rPr>
                    <w:t>17.35</w:t>
                  </w:r>
                </w:p>
              </w:tc>
              <w:tc>
                <w:tcPr>
                  <w:tcW w:w="1161" w:type="dxa"/>
                  <w:vMerge w:val="continue"/>
                  <w:vAlign w:val="center"/>
                </w:tcPr>
                <w:p>
                  <w:pPr>
                    <w:widowControl/>
                    <w:jc w:val="left"/>
                    <w:rPr>
                      <w:rFonts w:ascii="Times New Roman" w:hAnsi="Times New Roman"/>
                      <w:color w:val="auto"/>
                      <w:szCs w:val="20"/>
                      <w:highlight w:val="yellow"/>
                    </w:rPr>
                  </w:pPr>
                </w:p>
              </w:tc>
              <w:tc>
                <w:tcPr>
                  <w:tcW w:w="1449" w:type="dxa"/>
                  <w:vMerge w:val="continue"/>
                  <w:vAlign w:val="center"/>
                </w:tcPr>
                <w:p>
                  <w:pPr>
                    <w:widowControl/>
                    <w:jc w:val="left"/>
                    <w:rPr>
                      <w:rFonts w:ascii="Times New Roman" w:hAnsi="Times New Roman"/>
                      <w:color w:val="auto"/>
                      <w:szCs w:val="20"/>
                      <w:highlight w:val="yellow"/>
                    </w:rPr>
                  </w:pPr>
                </w:p>
              </w:tc>
              <w:tc>
                <w:tcPr>
                  <w:tcW w:w="1366" w:type="dxa"/>
                  <w:tcMar>
                    <w:top w:w="15" w:type="dxa"/>
                    <w:left w:w="15" w:type="dxa"/>
                    <w:bottom w:w="0" w:type="dxa"/>
                    <w:right w:w="15" w:type="dxa"/>
                  </w:tcMar>
                  <w:vAlign w:val="center"/>
                </w:tcPr>
                <w:p>
                  <w:pPr>
                    <w:pStyle w:val="62"/>
                    <w:rPr>
                      <w:color w:val="auto"/>
                      <w:kern w:val="2"/>
                    </w:rPr>
                  </w:pPr>
                  <w:r>
                    <w:rPr>
                      <w:color w:val="auto"/>
                      <w:kern w:val="2"/>
                      <w:highlight w:val="yellow"/>
                    </w:rPr>
                    <w:t>达标</w:t>
                  </w:r>
                </w:p>
              </w:tc>
            </w:tr>
          </w:tbl>
          <w:p>
            <w:pPr>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五、固废环境影响</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项目产生的一般工业固体废物为压缩垃圾及员工生活垃圾。</w:t>
            </w:r>
          </w:p>
          <w:p>
            <w:pPr>
              <w:spacing w:line="360" w:lineRule="auto"/>
              <w:ind w:firstLine="480"/>
              <w:rPr>
                <w:rFonts w:ascii="Times New Roman" w:hAnsi="Times New Roman"/>
                <w:color w:val="auto"/>
                <w:sz w:val="24"/>
              </w:rPr>
            </w:pPr>
            <w:r>
              <w:rPr>
                <w:rFonts w:hint="eastAsia" w:ascii="宋体" w:hAnsi="宋体" w:cs="宋体"/>
                <w:color w:val="auto"/>
                <w:sz w:val="24"/>
              </w:rPr>
              <w:t>①</w:t>
            </w:r>
            <w:r>
              <w:rPr>
                <w:rFonts w:ascii="Times New Roman" w:hAnsi="Times New Roman"/>
                <w:color w:val="auto"/>
                <w:sz w:val="24"/>
              </w:rPr>
              <w:t>压缩垃圾：项目设计垃圾转运能力为4t/d(1460t/a)，按照经验系数，垃圾中转站垃圾压缩比为1.12：1，则压缩垃圾的产生量约为3.57t/d(1303.5t/a)，每天由运输车辆运往庆阳圣元环保电力有限公司，同时环评建议建设单位建立垃圾收集转运台账。</w:t>
            </w:r>
          </w:p>
          <w:p>
            <w:pPr>
              <w:pStyle w:val="68"/>
              <w:ind w:firstLine="480"/>
              <w:rPr>
                <w:color w:val="auto"/>
              </w:rPr>
            </w:pPr>
            <w:r>
              <w:rPr>
                <w:rFonts w:hint="eastAsia" w:ascii="宋体" w:hAnsi="宋体" w:cs="宋体"/>
                <w:color w:val="auto"/>
              </w:rPr>
              <w:t>②</w:t>
            </w:r>
            <w:r>
              <w:rPr>
                <w:color w:val="auto"/>
              </w:rPr>
              <w:t>生活垃圾：该项目员工2人，生活垃圾产生系数按0.5kg/人·d计，年工作365d，生活垃圾产生量0.36t/a。进入主体工程压缩后运往庆阳圣元环保电力有限公司。</w:t>
            </w:r>
          </w:p>
          <w:p>
            <w:pPr>
              <w:adjustRightInd w:val="0"/>
              <w:snapToGrid w:val="0"/>
              <w:jc w:val="center"/>
              <w:rPr>
                <w:rFonts w:ascii="Times New Roman" w:hAnsi="Times New Roman"/>
                <w:b/>
                <w:bCs/>
                <w:color w:val="auto"/>
                <w:kern w:val="0"/>
                <w:szCs w:val="21"/>
              </w:rPr>
            </w:pPr>
            <w:r>
              <w:rPr>
                <w:rFonts w:ascii="Times New Roman" w:hAnsi="Times New Roman"/>
                <w:b/>
                <w:bCs/>
                <w:color w:val="auto"/>
                <w:kern w:val="0"/>
                <w:szCs w:val="21"/>
              </w:rPr>
              <w:t>表7-13  一般固体废物产生及处置情况   单位：t/a</w:t>
            </w:r>
          </w:p>
          <w:tbl>
            <w:tblPr>
              <w:tblStyle w:val="26"/>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546"/>
              <w:gridCol w:w="1136"/>
              <w:gridCol w:w="1332"/>
              <w:gridCol w:w="130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1" w:type="dxa"/>
                  <w:tcMar>
                    <w:left w:w="0" w:type="dxa"/>
                    <w:right w:w="0" w:type="dxa"/>
                  </w:tcMar>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固废种类</w:t>
                  </w:r>
                </w:p>
              </w:tc>
              <w:tc>
                <w:tcPr>
                  <w:tcW w:w="154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产生量(t/a)</w:t>
                  </w:r>
                </w:p>
              </w:tc>
              <w:tc>
                <w:tcPr>
                  <w:tcW w:w="113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废物类别</w:t>
                  </w:r>
                </w:p>
              </w:tc>
              <w:tc>
                <w:tcPr>
                  <w:tcW w:w="1332"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危废代号</w:t>
                  </w:r>
                </w:p>
              </w:tc>
              <w:tc>
                <w:tcPr>
                  <w:tcW w:w="1303"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属性</w:t>
                  </w:r>
                </w:p>
              </w:tc>
              <w:tc>
                <w:tcPr>
                  <w:tcW w:w="1843" w:type="dxa"/>
                  <w:tcMar>
                    <w:left w:w="0" w:type="dxa"/>
                    <w:right w:w="0" w:type="dxa"/>
                  </w:tcMar>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1" w:type="dxa"/>
                  <w:tcMar>
                    <w:left w:w="0" w:type="dxa"/>
                    <w:right w:w="0" w:type="dxa"/>
                  </w:tcMar>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生活垃圾</w:t>
                  </w:r>
                </w:p>
              </w:tc>
              <w:tc>
                <w:tcPr>
                  <w:tcW w:w="154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0.36</w:t>
                  </w:r>
                </w:p>
              </w:tc>
              <w:tc>
                <w:tcPr>
                  <w:tcW w:w="113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w:t>
                  </w:r>
                </w:p>
              </w:tc>
              <w:tc>
                <w:tcPr>
                  <w:tcW w:w="1332"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w:t>
                  </w:r>
                </w:p>
              </w:tc>
              <w:tc>
                <w:tcPr>
                  <w:tcW w:w="1303"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生活垃圾</w:t>
                  </w:r>
                </w:p>
              </w:tc>
              <w:tc>
                <w:tcPr>
                  <w:tcW w:w="1843" w:type="dxa"/>
                  <w:vMerge w:val="restart"/>
                  <w:tcMar>
                    <w:left w:w="0" w:type="dxa"/>
                    <w:right w:w="0" w:type="dxa"/>
                  </w:tcMar>
                  <w:vAlign w:val="center"/>
                </w:tcPr>
                <w:p>
                  <w:pPr>
                    <w:jc w:val="center"/>
                    <w:textAlignment w:val="baseline"/>
                    <w:rPr>
                      <w:rFonts w:ascii="Times New Roman" w:hAnsi="Times New Roman"/>
                      <w:color w:val="auto"/>
                    </w:rPr>
                  </w:pPr>
                  <w:r>
                    <w:rPr>
                      <w:rFonts w:ascii="Times New Roman" w:hAnsi="Times New Roman"/>
                      <w:color w:val="auto"/>
                      <w:kern w:val="0"/>
                      <w:szCs w:val="21"/>
                    </w:rPr>
                    <w:t>运往庆阳圣元环保电力有限公司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1" w:type="dxa"/>
                  <w:tcMar>
                    <w:left w:w="0" w:type="dxa"/>
                    <w:right w:w="0" w:type="dxa"/>
                  </w:tcMar>
                  <w:vAlign w:val="center"/>
                </w:tcPr>
                <w:p>
                  <w:pPr>
                    <w:jc w:val="center"/>
                    <w:textAlignment w:val="baseline"/>
                    <w:rPr>
                      <w:rFonts w:ascii="Times New Roman" w:hAnsi="Times New Roman"/>
                      <w:color w:val="auto"/>
                      <w:kern w:val="0"/>
                      <w:szCs w:val="21"/>
                    </w:rPr>
                  </w:pPr>
                  <w:r>
                    <w:rPr>
                      <w:rFonts w:ascii="Times New Roman" w:hAnsi="Times New Roman"/>
                      <w:color w:val="auto"/>
                      <w:szCs w:val="21"/>
                    </w:rPr>
                    <w:t>压缩垃圾</w:t>
                  </w:r>
                </w:p>
              </w:tc>
              <w:tc>
                <w:tcPr>
                  <w:tcW w:w="154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1303.05</w:t>
                  </w:r>
                </w:p>
              </w:tc>
              <w:tc>
                <w:tcPr>
                  <w:tcW w:w="1136"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一般工业固废</w:t>
                  </w:r>
                </w:p>
              </w:tc>
              <w:tc>
                <w:tcPr>
                  <w:tcW w:w="1332"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w:t>
                  </w:r>
                </w:p>
              </w:tc>
              <w:tc>
                <w:tcPr>
                  <w:tcW w:w="1303" w:type="dxa"/>
                  <w:vAlign w:val="center"/>
                </w:tcPr>
                <w:p>
                  <w:pPr>
                    <w:jc w:val="center"/>
                    <w:textAlignment w:val="baseline"/>
                    <w:rPr>
                      <w:rFonts w:ascii="Times New Roman" w:hAnsi="Times New Roman"/>
                      <w:color w:val="auto"/>
                      <w:kern w:val="0"/>
                      <w:szCs w:val="21"/>
                    </w:rPr>
                  </w:pPr>
                  <w:r>
                    <w:rPr>
                      <w:rFonts w:ascii="Times New Roman" w:hAnsi="Times New Roman"/>
                      <w:color w:val="auto"/>
                      <w:kern w:val="0"/>
                      <w:szCs w:val="21"/>
                    </w:rPr>
                    <w:t>一般工业固废</w:t>
                  </w:r>
                </w:p>
              </w:tc>
              <w:tc>
                <w:tcPr>
                  <w:tcW w:w="1843" w:type="dxa"/>
                  <w:vMerge w:val="continue"/>
                  <w:tcMar>
                    <w:left w:w="0" w:type="dxa"/>
                    <w:right w:w="0" w:type="dxa"/>
                  </w:tcMar>
                  <w:vAlign w:val="center"/>
                </w:tcPr>
                <w:p>
                  <w:pPr>
                    <w:jc w:val="center"/>
                    <w:textAlignment w:val="baseline"/>
                    <w:rPr>
                      <w:rFonts w:ascii="Times New Roman" w:hAnsi="Times New Roman"/>
                      <w:color w:val="auto"/>
                      <w:kern w:val="0"/>
                      <w:szCs w:val="21"/>
                    </w:rPr>
                  </w:pPr>
                </w:p>
              </w:tc>
            </w:tr>
          </w:tbl>
          <w:p>
            <w:pPr>
              <w:spacing w:line="360" w:lineRule="auto"/>
              <w:ind w:firstLine="482" w:firstLineChars="200"/>
              <w:rPr>
                <w:rFonts w:ascii="Times New Roman" w:hAnsi="Times New Roman"/>
                <w:b/>
                <w:color w:val="auto"/>
                <w:sz w:val="24"/>
                <w:szCs w:val="20"/>
              </w:rPr>
            </w:pPr>
            <w:r>
              <w:rPr>
                <w:rFonts w:ascii="Times New Roman" w:hAnsi="Times New Roman"/>
                <w:b/>
                <w:color w:val="auto"/>
                <w:sz w:val="24"/>
                <w:szCs w:val="20"/>
              </w:rPr>
              <w:t>六、土壤环境影响分析</w:t>
            </w:r>
          </w:p>
          <w:p>
            <w:pPr>
              <w:pStyle w:val="2"/>
              <w:spacing w:line="360" w:lineRule="auto"/>
              <w:rPr>
                <w:rFonts w:ascii="Times New Roman" w:hAnsi="Times New Roman" w:eastAsia="宋体"/>
                <w:bCs/>
                <w:color w:val="auto"/>
                <w:spacing w:val="0"/>
                <w:kern w:val="2"/>
                <w:szCs w:val="24"/>
              </w:rPr>
            </w:pPr>
            <w:r>
              <w:rPr>
                <w:rFonts w:ascii="Times New Roman" w:hAnsi="Times New Roman" w:eastAsia="宋体"/>
                <w:bCs/>
                <w:color w:val="auto"/>
                <w:spacing w:val="0"/>
                <w:kern w:val="2"/>
                <w:szCs w:val="24"/>
              </w:rPr>
              <w:t>根据《环境影响评价技术导则－土壤》（HJ964-2018）附录A确定本项目环境影响评价项目的类别为IV类，本项目不开展土壤环境影响评价，仅做简单分析。项目区做分区防渗，压缩车间、渗滤液暂存池、沉淀池划分为一般防渗，铺设防渗结构，粘土铺底，水泥地面硬化，防渗系数不大于10</w:t>
            </w:r>
            <w:r>
              <w:rPr>
                <w:rFonts w:ascii="Times New Roman" w:hAnsi="Times New Roman" w:eastAsia="宋体"/>
                <w:bCs/>
                <w:color w:val="auto"/>
                <w:spacing w:val="0"/>
                <w:kern w:val="2"/>
                <w:szCs w:val="24"/>
                <w:vertAlign w:val="superscript"/>
              </w:rPr>
              <w:t>-7</w:t>
            </w:r>
            <w:r>
              <w:rPr>
                <w:rFonts w:ascii="Times New Roman" w:hAnsi="Times New Roman" w:eastAsia="宋体"/>
                <w:bCs/>
                <w:color w:val="auto"/>
                <w:spacing w:val="0"/>
                <w:kern w:val="2"/>
                <w:szCs w:val="24"/>
              </w:rPr>
              <w:t>cm/s，车辆进场道路、生活管理区为简单防渗。综上所述，项目对土壤环境的影响可接受。</w:t>
            </w:r>
          </w:p>
          <w:p>
            <w:pPr>
              <w:spacing w:line="360" w:lineRule="auto"/>
              <w:ind w:firstLine="482" w:firstLineChars="200"/>
              <w:rPr>
                <w:rFonts w:ascii="Times New Roman" w:hAnsi="Times New Roman"/>
                <w:b/>
                <w:color w:val="auto"/>
                <w:sz w:val="24"/>
                <w:szCs w:val="20"/>
              </w:rPr>
            </w:pPr>
            <w:r>
              <w:rPr>
                <w:rFonts w:ascii="Times New Roman" w:hAnsi="Times New Roman"/>
                <w:b/>
                <w:color w:val="auto"/>
                <w:sz w:val="24"/>
                <w:szCs w:val="20"/>
              </w:rPr>
              <w:t>七、环境风险评价</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本项目不涉及《</w:t>
            </w:r>
            <w:r>
              <w:rPr>
                <w:rFonts w:ascii="Times New Roman" w:hAnsi="Times New Roman"/>
                <w:bCs/>
                <w:color w:val="auto"/>
                <w:sz w:val="24"/>
              </w:rPr>
              <w:t>建设项目环境风险评价技术导则</w:t>
            </w:r>
            <w:r>
              <w:rPr>
                <w:rFonts w:ascii="Times New Roman" w:hAnsi="Times New Roman"/>
                <w:color w:val="auto"/>
                <w:sz w:val="24"/>
              </w:rPr>
              <w:t>》（HJ169-2018）规定的有毒有害和易燃易爆物质的生产、使用、贮运等，环境风险潜势为I，即为简单分析。</w:t>
            </w:r>
          </w:p>
          <w:p>
            <w:pPr>
              <w:pStyle w:val="37"/>
              <w:ind w:firstLine="480"/>
              <w:jc w:val="center"/>
              <w:rPr>
                <w:rFonts w:ascii="Times New Roman"/>
                <w:bCs/>
                <w:color w:val="auto"/>
              </w:rPr>
            </w:pPr>
            <w:r>
              <w:rPr>
                <w:rFonts w:ascii="Times New Roman"/>
                <w:bCs/>
                <w:color w:val="auto"/>
              </w:rPr>
              <w:t>表7-14 建设项目环境风险潜势划分</w:t>
            </w:r>
          </w:p>
          <w:tbl>
            <w:tblPr>
              <w:tblStyle w:val="26"/>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610"/>
              <w:gridCol w:w="1610"/>
              <w:gridCol w:w="1610"/>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环境敏感程度(E)</w:t>
                  </w:r>
                </w:p>
              </w:tc>
              <w:tc>
                <w:tcPr>
                  <w:tcW w:w="644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危险物质及工艺系统危险性(P)</w:t>
                  </w:r>
                </w:p>
              </w:tc>
            </w:tr>
            <w:tr>
              <w:tblPrEx>
                <w:tblCellMar>
                  <w:top w:w="0" w:type="dxa"/>
                  <w:left w:w="108" w:type="dxa"/>
                  <w:bottom w:w="0" w:type="dxa"/>
                  <w:right w:w="108" w:type="dxa"/>
                </w:tblCellMar>
              </w:tblPrEx>
              <w:tc>
                <w:tcPr>
                  <w:tcW w:w="23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极高危害(P1)</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高度危害(P2)</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中度危害(P3)</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环境高度敏感区(E1)</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Ⅳ</w:t>
                  </w:r>
                  <w:r>
                    <w:rPr>
                      <w:rFonts w:ascii="Times New Roman" w:hAnsi="Times New Roman"/>
                      <w:color w:val="auto"/>
                      <w:szCs w:val="21"/>
                      <w:vertAlign w:val="superscript"/>
                    </w:rPr>
                    <w:t>+</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Ⅳ</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Ⅲ</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环境中度敏感区(E2)</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Ⅳ</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Ⅲ</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Ⅲ</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环境低度敏感区(E3)</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Ⅲ</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Ⅲ</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Ⅱ</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color w:val="auto"/>
                      <w:szCs w:val="21"/>
                    </w:rPr>
                  </w:pPr>
                  <w:r>
                    <w:rPr>
                      <w:rFonts w:hint="eastAsia" w:ascii="宋体" w:hAnsi="宋体" w:cs="宋体"/>
                      <w:b/>
                      <w:color w:val="auto"/>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9" w:type="dxa"/>
                  <w:gridSpan w:val="5"/>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olor w:val="auto"/>
                      <w:szCs w:val="21"/>
                    </w:rPr>
                  </w:pPr>
                  <w:r>
                    <w:rPr>
                      <w:rFonts w:ascii="Times New Roman" w:hAnsi="Times New Roman"/>
                      <w:color w:val="auto"/>
                      <w:szCs w:val="21"/>
                    </w:rPr>
                    <w:t>注: IV</w:t>
                  </w:r>
                  <w:r>
                    <w:rPr>
                      <w:rFonts w:ascii="Times New Roman" w:hAnsi="Times New Roman"/>
                      <w:color w:val="auto"/>
                      <w:szCs w:val="21"/>
                      <w:vertAlign w:val="superscript"/>
                    </w:rPr>
                    <w:t>+</w:t>
                  </w:r>
                  <w:r>
                    <w:rPr>
                      <w:rFonts w:ascii="Times New Roman" w:hAnsi="Times New Roman"/>
                      <w:color w:val="auto"/>
                      <w:szCs w:val="21"/>
                    </w:rPr>
                    <w:t>为极高环境风险</w:t>
                  </w:r>
                </w:p>
              </w:tc>
            </w:tr>
          </w:tbl>
          <w:p>
            <w:pPr>
              <w:pStyle w:val="37"/>
              <w:ind w:firstLine="1200" w:firstLineChars="500"/>
              <w:jc w:val="center"/>
              <w:rPr>
                <w:rFonts w:ascii="Times New Roman"/>
                <w:bCs/>
                <w:color w:val="auto"/>
              </w:rPr>
            </w:pPr>
            <w:r>
              <w:rPr>
                <w:rFonts w:ascii="Times New Roman"/>
                <w:bCs/>
                <w:color w:val="auto"/>
              </w:rPr>
              <w:t>表7-15  项目环境风险表</w:t>
            </w:r>
          </w:p>
          <w:tbl>
            <w:tblPr>
              <w:tblStyle w:val="26"/>
              <w:tblW w:w="877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3"/>
              <w:gridCol w:w="1758"/>
              <w:gridCol w:w="1756"/>
              <w:gridCol w:w="1756"/>
              <w:gridCol w:w="17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53" w:type="dxa"/>
                  <w:tcBorders>
                    <w:top w:val="single" w:color="auto" w:sz="4" w:space="0"/>
                    <w:left w:val="single" w:color="auto" w:sz="4" w:space="0"/>
                    <w:bottom w:val="single" w:color="auto" w:sz="6" w:space="0"/>
                    <w:right w:val="single" w:color="auto" w:sz="6" w:space="0"/>
                  </w:tcBorders>
                  <w:vAlign w:val="center"/>
                </w:tcPr>
                <w:p>
                  <w:pPr>
                    <w:pStyle w:val="59"/>
                    <w:spacing w:line="240" w:lineRule="auto"/>
                    <w:ind w:firstLine="0" w:firstLineChars="0"/>
                    <w:jc w:val="center"/>
                    <w:rPr>
                      <w:rFonts w:cs="Times New Roman"/>
                      <w:color w:val="auto"/>
                    </w:rPr>
                  </w:pPr>
                  <w:r>
                    <w:rPr>
                      <w:rFonts w:cs="Times New Roman"/>
                      <w:color w:val="auto"/>
                      <w:sz w:val="21"/>
                      <w:szCs w:val="22"/>
                    </w:rPr>
                    <w:t>环境风险潜势</w:t>
                  </w:r>
                </w:p>
              </w:tc>
              <w:tc>
                <w:tcPr>
                  <w:tcW w:w="1758" w:type="dxa"/>
                  <w:tcBorders>
                    <w:top w:val="single" w:color="auto" w:sz="4" w:space="0"/>
                    <w:left w:val="single" w:color="auto" w:sz="6" w:space="0"/>
                    <w:bottom w:val="single" w:color="auto" w:sz="6" w:space="0"/>
                    <w:right w:val="single" w:color="auto" w:sz="6" w:space="0"/>
                  </w:tcBorders>
                  <w:vAlign w:val="center"/>
                </w:tcPr>
                <w:p>
                  <w:pPr>
                    <w:pStyle w:val="59"/>
                    <w:spacing w:line="240" w:lineRule="auto"/>
                    <w:ind w:firstLine="0" w:firstLineChars="0"/>
                    <w:jc w:val="center"/>
                    <w:rPr>
                      <w:rFonts w:cs="Times New Roman"/>
                      <w:color w:val="auto"/>
                    </w:rPr>
                  </w:pPr>
                  <w:r>
                    <w:rPr>
                      <w:rFonts w:hint="eastAsia" w:ascii="宋体" w:hAnsi="宋体"/>
                      <w:color w:val="auto"/>
                      <w:spacing w:val="1"/>
                      <w:sz w:val="21"/>
                      <w:szCs w:val="22"/>
                    </w:rPr>
                    <w:t>Ⅳ</w:t>
                  </w:r>
                  <w:r>
                    <w:rPr>
                      <w:rFonts w:cs="Times New Roman"/>
                      <w:color w:val="auto"/>
                      <w:spacing w:val="1"/>
                      <w:sz w:val="21"/>
                      <w:szCs w:val="22"/>
                    </w:rPr>
                    <w:t>、</w:t>
                  </w:r>
                  <w:r>
                    <w:rPr>
                      <w:rFonts w:hint="eastAsia" w:ascii="宋体" w:hAnsi="宋体"/>
                      <w:color w:val="auto"/>
                      <w:spacing w:val="1"/>
                      <w:sz w:val="21"/>
                      <w:szCs w:val="22"/>
                    </w:rPr>
                    <w:t>Ⅳ</w:t>
                  </w:r>
                  <w:r>
                    <w:rPr>
                      <w:rFonts w:eastAsia="Times New Roman" w:cs="Times New Roman"/>
                      <w:color w:val="auto"/>
                      <w:sz w:val="14"/>
                      <w:szCs w:val="22"/>
                    </w:rPr>
                    <w:t>+</w:t>
                  </w:r>
                </w:p>
              </w:tc>
              <w:tc>
                <w:tcPr>
                  <w:tcW w:w="1756" w:type="dxa"/>
                  <w:tcBorders>
                    <w:top w:val="single" w:color="auto" w:sz="4" w:space="0"/>
                    <w:left w:val="single" w:color="auto" w:sz="6" w:space="0"/>
                    <w:bottom w:val="single" w:color="auto" w:sz="6" w:space="0"/>
                    <w:right w:val="single" w:color="auto" w:sz="6" w:space="0"/>
                  </w:tcBorders>
                  <w:vAlign w:val="center"/>
                </w:tcPr>
                <w:p>
                  <w:pPr>
                    <w:pStyle w:val="59"/>
                    <w:spacing w:line="240" w:lineRule="auto"/>
                    <w:ind w:firstLine="0" w:firstLineChars="0"/>
                    <w:jc w:val="center"/>
                    <w:rPr>
                      <w:rFonts w:cs="Times New Roman"/>
                      <w:color w:val="auto"/>
                    </w:rPr>
                  </w:pPr>
                  <w:r>
                    <w:rPr>
                      <w:rFonts w:hint="eastAsia" w:ascii="宋体" w:hAnsi="宋体"/>
                      <w:color w:val="auto"/>
                      <w:sz w:val="21"/>
                      <w:szCs w:val="22"/>
                    </w:rPr>
                    <w:t>Ⅲ</w:t>
                  </w:r>
                </w:p>
              </w:tc>
              <w:tc>
                <w:tcPr>
                  <w:tcW w:w="1756" w:type="dxa"/>
                  <w:tcBorders>
                    <w:top w:val="single" w:color="auto" w:sz="4" w:space="0"/>
                    <w:left w:val="single" w:color="auto" w:sz="6" w:space="0"/>
                    <w:bottom w:val="single" w:color="auto" w:sz="6" w:space="0"/>
                    <w:right w:val="single" w:color="auto" w:sz="6" w:space="0"/>
                  </w:tcBorders>
                  <w:vAlign w:val="center"/>
                </w:tcPr>
                <w:p>
                  <w:pPr>
                    <w:pStyle w:val="59"/>
                    <w:spacing w:line="240" w:lineRule="auto"/>
                    <w:ind w:firstLine="0" w:firstLineChars="0"/>
                    <w:jc w:val="center"/>
                    <w:rPr>
                      <w:rFonts w:cs="Times New Roman"/>
                      <w:color w:val="auto"/>
                    </w:rPr>
                  </w:pPr>
                  <w:r>
                    <w:rPr>
                      <w:rFonts w:hint="eastAsia" w:ascii="宋体" w:hAnsi="宋体"/>
                      <w:color w:val="auto"/>
                      <w:sz w:val="21"/>
                      <w:szCs w:val="22"/>
                    </w:rPr>
                    <w:t>Ⅱ</w:t>
                  </w:r>
                </w:p>
              </w:tc>
              <w:tc>
                <w:tcPr>
                  <w:tcW w:w="1756" w:type="dxa"/>
                  <w:tcBorders>
                    <w:top w:val="single" w:color="auto" w:sz="4" w:space="0"/>
                    <w:left w:val="single" w:color="auto" w:sz="6" w:space="0"/>
                    <w:bottom w:val="single" w:color="auto" w:sz="6" w:space="0"/>
                    <w:right w:val="single" w:color="auto" w:sz="4" w:space="0"/>
                  </w:tcBorders>
                  <w:vAlign w:val="center"/>
                </w:tcPr>
                <w:p>
                  <w:pPr>
                    <w:pStyle w:val="59"/>
                    <w:spacing w:line="240" w:lineRule="auto"/>
                    <w:ind w:firstLine="0" w:firstLineChars="0"/>
                    <w:jc w:val="center"/>
                    <w:rPr>
                      <w:rFonts w:cs="Times New Roman"/>
                      <w:color w:val="auto"/>
                    </w:rPr>
                  </w:pPr>
                  <w:r>
                    <w:rPr>
                      <w:rFonts w:hint="eastAsia" w:ascii="宋体" w:hAnsi="宋体"/>
                      <w:color w:val="auto"/>
                      <w:sz w:val="21"/>
                      <w:szCs w:val="22"/>
                    </w:rPr>
                    <w:t>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753" w:type="dxa"/>
                  <w:tcBorders>
                    <w:top w:val="single" w:color="auto" w:sz="6" w:space="0"/>
                    <w:left w:val="single" w:color="auto" w:sz="4" w:space="0"/>
                    <w:bottom w:val="single" w:color="auto" w:sz="4" w:space="0"/>
                    <w:right w:val="single" w:color="auto" w:sz="6" w:space="0"/>
                  </w:tcBorders>
                  <w:vAlign w:val="center"/>
                </w:tcPr>
                <w:p>
                  <w:pPr>
                    <w:pStyle w:val="59"/>
                    <w:spacing w:line="240" w:lineRule="auto"/>
                    <w:ind w:firstLine="0" w:firstLineChars="0"/>
                    <w:jc w:val="center"/>
                    <w:rPr>
                      <w:rFonts w:cs="Times New Roman"/>
                      <w:color w:val="auto"/>
                    </w:rPr>
                  </w:pPr>
                  <w:r>
                    <w:rPr>
                      <w:rFonts w:cs="Times New Roman"/>
                      <w:color w:val="auto"/>
                      <w:sz w:val="21"/>
                      <w:szCs w:val="22"/>
                    </w:rPr>
                    <w:t>评价工作等级</w:t>
                  </w:r>
                </w:p>
              </w:tc>
              <w:tc>
                <w:tcPr>
                  <w:tcW w:w="1758" w:type="dxa"/>
                  <w:tcBorders>
                    <w:top w:val="single" w:color="auto" w:sz="6" w:space="0"/>
                    <w:left w:val="single" w:color="auto" w:sz="6" w:space="0"/>
                    <w:bottom w:val="single" w:color="auto" w:sz="4" w:space="0"/>
                    <w:right w:val="single" w:color="auto" w:sz="6" w:space="0"/>
                  </w:tcBorders>
                  <w:vAlign w:val="center"/>
                </w:tcPr>
                <w:p>
                  <w:pPr>
                    <w:pStyle w:val="59"/>
                    <w:spacing w:line="240" w:lineRule="auto"/>
                    <w:ind w:firstLine="0" w:firstLineChars="0"/>
                    <w:jc w:val="center"/>
                    <w:rPr>
                      <w:rFonts w:cs="Times New Roman"/>
                      <w:color w:val="auto"/>
                    </w:rPr>
                  </w:pPr>
                  <w:r>
                    <w:rPr>
                      <w:rFonts w:cs="Times New Roman"/>
                      <w:color w:val="auto"/>
                      <w:sz w:val="21"/>
                      <w:szCs w:val="22"/>
                    </w:rPr>
                    <w:t>一</w:t>
                  </w:r>
                </w:p>
              </w:tc>
              <w:tc>
                <w:tcPr>
                  <w:tcW w:w="1756" w:type="dxa"/>
                  <w:tcBorders>
                    <w:top w:val="single" w:color="auto" w:sz="6" w:space="0"/>
                    <w:left w:val="single" w:color="auto" w:sz="6" w:space="0"/>
                    <w:bottom w:val="single" w:color="auto" w:sz="4" w:space="0"/>
                    <w:right w:val="single" w:color="auto" w:sz="6" w:space="0"/>
                  </w:tcBorders>
                  <w:vAlign w:val="center"/>
                </w:tcPr>
                <w:p>
                  <w:pPr>
                    <w:pStyle w:val="59"/>
                    <w:spacing w:line="240" w:lineRule="auto"/>
                    <w:ind w:firstLine="0" w:firstLineChars="0"/>
                    <w:jc w:val="center"/>
                    <w:rPr>
                      <w:rFonts w:cs="Times New Roman"/>
                      <w:color w:val="auto"/>
                    </w:rPr>
                  </w:pPr>
                  <w:r>
                    <w:rPr>
                      <w:rFonts w:cs="Times New Roman"/>
                      <w:color w:val="auto"/>
                      <w:sz w:val="21"/>
                      <w:szCs w:val="22"/>
                    </w:rPr>
                    <w:t>二</w:t>
                  </w:r>
                </w:p>
              </w:tc>
              <w:tc>
                <w:tcPr>
                  <w:tcW w:w="1756" w:type="dxa"/>
                  <w:tcBorders>
                    <w:top w:val="single" w:color="auto" w:sz="6" w:space="0"/>
                    <w:left w:val="single" w:color="auto" w:sz="6" w:space="0"/>
                    <w:bottom w:val="single" w:color="auto" w:sz="4" w:space="0"/>
                    <w:right w:val="single" w:color="auto" w:sz="6" w:space="0"/>
                  </w:tcBorders>
                  <w:vAlign w:val="center"/>
                </w:tcPr>
                <w:p>
                  <w:pPr>
                    <w:spacing w:line="320" w:lineRule="exact"/>
                    <w:ind w:firstLine="420" w:firstLineChars="200"/>
                    <w:jc w:val="center"/>
                    <w:rPr>
                      <w:rFonts w:ascii="Times New Roman" w:hAnsi="Times New Roman"/>
                      <w:color w:val="auto"/>
                      <w:spacing w:val="4"/>
                      <w:sz w:val="24"/>
                    </w:rPr>
                  </w:pPr>
                  <w:r>
                    <w:rPr>
                      <w:rFonts w:ascii="Times New Roman" w:hAnsi="Times New Roman"/>
                      <w:color w:val="auto"/>
                      <w:szCs w:val="22"/>
                    </w:rPr>
                    <w:t>三</w:t>
                  </w:r>
                </w:p>
              </w:tc>
              <w:tc>
                <w:tcPr>
                  <w:tcW w:w="1756" w:type="dxa"/>
                  <w:tcBorders>
                    <w:top w:val="single" w:color="auto" w:sz="6" w:space="0"/>
                    <w:left w:val="single" w:color="auto" w:sz="6" w:space="0"/>
                    <w:bottom w:val="single" w:color="auto" w:sz="4" w:space="0"/>
                    <w:right w:val="single" w:color="auto" w:sz="4" w:space="0"/>
                  </w:tcBorders>
                  <w:vAlign w:val="center"/>
                </w:tcPr>
                <w:p>
                  <w:pPr>
                    <w:pStyle w:val="59"/>
                    <w:spacing w:line="240" w:lineRule="auto"/>
                    <w:ind w:firstLine="0" w:firstLineChars="0"/>
                    <w:jc w:val="center"/>
                    <w:rPr>
                      <w:rFonts w:cs="Times New Roman"/>
                      <w:b/>
                      <w:color w:val="auto"/>
                    </w:rPr>
                  </w:pPr>
                  <w:r>
                    <w:rPr>
                      <w:rFonts w:cs="Times New Roman"/>
                      <w:b/>
                      <w:color w:val="auto"/>
                      <w:spacing w:val="1"/>
                      <w:sz w:val="21"/>
                      <w:szCs w:val="22"/>
                    </w:rPr>
                    <w:t>简单分析</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（一）风险识别</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本项目可能发生的风险事故：</w:t>
            </w:r>
          </w:p>
          <w:p>
            <w:pPr>
              <w:spacing w:line="360" w:lineRule="auto"/>
              <w:ind w:firstLine="480" w:firstLineChars="200"/>
              <w:rPr>
                <w:rFonts w:ascii="Times New Roman" w:hAnsi="Times New Roman"/>
                <w:color w:val="auto"/>
                <w:sz w:val="24"/>
              </w:rPr>
            </w:pPr>
            <w:r>
              <w:rPr>
                <w:rFonts w:ascii="Times New Roman" w:hAnsi="Times New Roman"/>
                <w:color w:val="auto"/>
                <w:sz w:val="24"/>
              </w:rPr>
              <w:t>（1）压缩装置发生故障、渗滤液暂存池发生泄露导致生活垃圾和渗滤液外泄；</w:t>
            </w:r>
          </w:p>
          <w:p>
            <w:pPr>
              <w:spacing w:line="360" w:lineRule="auto"/>
              <w:ind w:firstLine="480" w:firstLineChars="200"/>
              <w:rPr>
                <w:rFonts w:ascii="Times New Roman" w:hAnsi="Times New Roman"/>
                <w:color w:val="auto"/>
                <w:sz w:val="24"/>
              </w:rPr>
            </w:pPr>
            <w:r>
              <w:rPr>
                <w:rFonts w:ascii="Times New Roman" w:hAnsi="Times New Roman"/>
                <w:color w:val="auto"/>
                <w:sz w:val="24"/>
              </w:rPr>
              <w:t>（2）除臭系统发生故障；</w:t>
            </w:r>
          </w:p>
          <w:p>
            <w:pPr>
              <w:spacing w:line="360" w:lineRule="auto"/>
              <w:ind w:firstLine="480" w:firstLineChars="200"/>
              <w:rPr>
                <w:rFonts w:ascii="Times New Roman" w:hAnsi="Times New Roman"/>
                <w:color w:val="auto"/>
                <w:sz w:val="24"/>
              </w:rPr>
            </w:pPr>
            <w:r>
              <w:rPr>
                <w:rFonts w:ascii="Times New Roman" w:hAnsi="Times New Roman"/>
                <w:color w:val="auto"/>
                <w:sz w:val="24"/>
              </w:rPr>
              <w:t>（3）线路老化发生火灾等</w:t>
            </w:r>
          </w:p>
          <w:p>
            <w:pPr>
              <w:spacing w:line="360" w:lineRule="auto"/>
              <w:ind w:firstLine="480" w:firstLineChars="200"/>
              <w:rPr>
                <w:rFonts w:ascii="Times New Roman" w:hAnsi="Times New Roman"/>
                <w:color w:val="auto"/>
                <w:sz w:val="24"/>
              </w:rPr>
            </w:pPr>
            <w:r>
              <w:rPr>
                <w:rFonts w:ascii="Times New Roman" w:hAnsi="Times New Roman"/>
                <w:color w:val="auto"/>
                <w:sz w:val="24"/>
              </w:rPr>
              <w:t>（二）拟建项目的风险防范措施：</w:t>
            </w:r>
          </w:p>
          <w:p>
            <w:pPr>
              <w:spacing w:line="360" w:lineRule="auto"/>
              <w:ind w:firstLine="480" w:firstLineChars="200"/>
              <w:rPr>
                <w:rFonts w:ascii="Times New Roman" w:hAnsi="Times New Roman"/>
                <w:color w:val="auto"/>
                <w:sz w:val="24"/>
              </w:rPr>
            </w:pPr>
            <w:r>
              <w:rPr>
                <w:rFonts w:ascii="Times New Roman" w:hAnsi="Times New Roman"/>
                <w:color w:val="auto"/>
                <w:sz w:val="24"/>
              </w:rPr>
              <w:t>（1）项目区分区防渗，压缩车间、渗滤液暂存池、沉淀池为一般防渗，进场道路及生活区为简单防渗；</w:t>
            </w:r>
          </w:p>
          <w:p>
            <w:pPr>
              <w:spacing w:line="360" w:lineRule="auto"/>
              <w:ind w:firstLine="480" w:firstLineChars="200"/>
              <w:rPr>
                <w:rFonts w:ascii="Times New Roman" w:hAnsi="Times New Roman"/>
                <w:color w:val="auto"/>
                <w:sz w:val="24"/>
              </w:rPr>
            </w:pPr>
            <w:r>
              <w:rPr>
                <w:rFonts w:ascii="Times New Roman" w:hAnsi="Times New Roman"/>
                <w:color w:val="auto"/>
                <w:sz w:val="24"/>
              </w:rPr>
              <w:t>（2）定期对压缩设备及除臭系统进行检修</w:t>
            </w:r>
          </w:p>
          <w:p>
            <w:pPr>
              <w:spacing w:line="360" w:lineRule="auto"/>
              <w:ind w:firstLine="480" w:firstLineChars="200"/>
              <w:rPr>
                <w:rFonts w:ascii="Times New Roman" w:hAnsi="Times New Roman"/>
                <w:color w:val="auto"/>
                <w:sz w:val="24"/>
              </w:rPr>
            </w:pPr>
            <w:r>
              <w:rPr>
                <w:rFonts w:ascii="Times New Roman" w:hAnsi="Times New Roman"/>
                <w:color w:val="auto"/>
                <w:sz w:val="24"/>
              </w:rPr>
              <w:t>（3）配备一定的灭火器；</w:t>
            </w:r>
          </w:p>
          <w:p>
            <w:pPr>
              <w:spacing w:line="360" w:lineRule="auto"/>
              <w:ind w:firstLine="480" w:firstLineChars="200"/>
              <w:rPr>
                <w:rFonts w:ascii="Times New Roman" w:hAnsi="Times New Roman"/>
                <w:color w:val="auto"/>
                <w:sz w:val="24"/>
              </w:rPr>
            </w:pPr>
            <w:r>
              <w:rPr>
                <w:rFonts w:ascii="Times New Roman" w:hAnsi="Times New Roman"/>
                <w:color w:val="auto"/>
                <w:sz w:val="24"/>
              </w:rPr>
              <w:t>（4）操作工人上岗前进行必要的专业技术培训，并制定详细的操作规程。工作工人进行日常的设备维护、保养和检修时，需按照安全规程操作，防止意外事件的发生。</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项目无重大环境风险源，环境风险在可接受范围内。</w:t>
            </w:r>
          </w:p>
          <w:p>
            <w:pPr>
              <w:spacing w:line="360" w:lineRule="auto"/>
              <w:ind w:firstLine="480" w:firstLineChars="200"/>
              <w:jc w:val="center"/>
              <w:rPr>
                <w:rFonts w:ascii="Times New Roman" w:hAnsi="Times New Roman"/>
                <w:color w:val="auto"/>
                <w:sz w:val="24"/>
              </w:rPr>
            </w:pPr>
            <w:r>
              <w:rPr>
                <w:rFonts w:ascii="Times New Roman" w:hAnsi="Times New Roman"/>
                <w:color w:val="auto"/>
                <w:sz w:val="24"/>
              </w:rPr>
              <w:t>表7-16  建设项目环境风险简单分析内容表</w:t>
            </w:r>
          </w:p>
          <w:tbl>
            <w:tblPr>
              <w:tblStyle w:val="26"/>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7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tcBorders>
                    <w:top w:val="single" w:color="auto" w:sz="4" w:space="0"/>
                    <w:left w:val="single" w:color="auto" w:sz="4" w:space="0"/>
                    <w:bottom w:val="single" w:color="auto" w:sz="4" w:space="0"/>
                    <w:right w:val="single" w:color="auto" w:sz="4" w:space="0"/>
                  </w:tcBorders>
                  <w:vAlign w:val="center"/>
                </w:tcPr>
                <w:p>
                  <w:pPr>
                    <w:pStyle w:val="37"/>
                    <w:jc w:val="center"/>
                    <w:rPr>
                      <w:rFonts w:ascii="Times New Roman"/>
                      <w:color w:val="auto"/>
                      <w:kern w:val="2"/>
                      <w:sz w:val="21"/>
                      <w:szCs w:val="21"/>
                    </w:rPr>
                  </w:pPr>
                  <w:r>
                    <w:rPr>
                      <w:rFonts w:ascii="Times New Roman"/>
                      <w:color w:val="auto"/>
                      <w:kern w:val="2"/>
                      <w:sz w:val="21"/>
                      <w:szCs w:val="21"/>
                    </w:rPr>
                    <w:t>建设项目名称</w:t>
                  </w:r>
                </w:p>
              </w:tc>
              <w:tc>
                <w:tcPr>
                  <w:tcW w:w="713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olor w:val="auto"/>
                      <w:szCs w:val="21"/>
                    </w:rPr>
                  </w:pPr>
                  <w:r>
                    <w:rPr>
                      <w:rFonts w:ascii="Times New Roman" w:hAnsi="Times New Roman"/>
                      <w:color w:val="auto"/>
                      <w:szCs w:val="21"/>
                    </w:rPr>
                    <w:t>宁县九岘乡鲁甲村垃圾转运站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tcBorders>
                    <w:top w:val="single" w:color="auto" w:sz="4" w:space="0"/>
                    <w:left w:val="single" w:color="auto" w:sz="4" w:space="0"/>
                    <w:bottom w:val="single" w:color="auto" w:sz="4" w:space="0"/>
                    <w:right w:val="single" w:color="auto" w:sz="4" w:space="0"/>
                  </w:tcBorders>
                  <w:vAlign w:val="center"/>
                </w:tcPr>
                <w:p>
                  <w:pPr>
                    <w:pStyle w:val="37"/>
                    <w:jc w:val="center"/>
                    <w:rPr>
                      <w:rFonts w:ascii="Times New Roman"/>
                      <w:color w:val="auto"/>
                      <w:kern w:val="2"/>
                      <w:sz w:val="21"/>
                      <w:szCs w:val="21"/>
                    </w:rPr>
                  </w:pPr>
                  <w:r>
                    <w:rPr>
                      <w:rFonts w:ascii="Times New Roman"/>
                      <w:color w:val="auto"/>
                      <w:kern w:val="2"/>
                      <w:sz w:val="21"/>
                      <w:szCs w:val="21"/>
                    </w:rPr>
                    <w:t>建设地点</w:t>
                  </w:r>
                </w:p>
              </w:tc>
              <w:tc>
                <w:tcPr>
                  <w:tcW w:w="71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olor w:val="auto"/>
                      <w:szCs w:val="21"/>
                    </w:rPr>
                  </w:pPr>
                  <w:r>
                    <w:rPr>
                      <w:rFonts w:ascii="Times New Roman" w:hAnsi="Times New Roman"/>
                      <w:color w:val="auto"/>
                      <w:szCs w:val="21"/>
                    </w:rPr>
                    <w:t>宁县九岘乡鲁甲村疙瘩组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tcBorders>
                    <w:top w:val="single" w:color="auto" w:sz="4" w:space="0"/>
                    <w:left w:val="single" w:color="auto" w:sz="4" w:space="0"/>
                    <w:bottom w:val="single" w:color="auto" w:sz="4" w:space="0"/>
                    <w:right w:val="single" w:color="auto" w:sz="4" w:space="0"/>
                  </w:tcBorders>
                  <w:vAlign w:val="center"/>
                </w:tcPr>
                <w:p>
                  <w:pPr>
                    <w:pStyle w:val="37"/>
                    <w:jc w:val="center"/>
                    <w:rPr>
                      <w:rFonts w:ascii="Times New Roman"/>
                      <w:color w:val="auto"/>
                      <w:kern w:val="2"/>
                      <w:sz w:val="21"/>
                      <w:szCs w:val="21"/>
                    </w:rPr>
                  </w:pPr>
                  <w:r>
                    <w:rPr>
                      <w:rFonts w:ascii="Times New Roman"/>
                      <w:color w:val="auto"/>
                      <w:kern w:val="2"/>
                      <w:sz w:val="21"/>
                      <w:szCs w:val="21"/>
                    </w:rPr>
                    <w:t>主要危险物质及分布</w:t>
                  </w:r>
                </w:p>
              </w:tc>
              <w:tc>
                <w:tcPr>
                  <w:tcW w:w="7132" w:type="dxa"/>
                  <w:tcBorders>
                    <w:top w:val="single" w:color="auto" w:sz="4" w:space="0"/>
                    <w:left w:val="single" w:color="auto" w:sz="4" w:space="0"/>
                    <w:bottom w:val="single" w:color="auto" w:sz="4" w:space="0"/>
                    <w:right w:val="single" w:color="auto" w:sz="4" w:space="0"/>
                  </w:tcBorders>
                  <w:vAlign w:val="center"/>
                </w:tcPr>
                <w:p>
                  <w:pPr>
                    <w:pStyle w:val="37"/>
                    <w:jc w:val="center"/>
                    <w:rPr>
                      <w:rFonts w:ascii="Times New Roman"/>
                      <w:color w:val="auto"/>
                      <w:kern w:val="2"/>
                      <w:sz w:val="21"/>
                      <w:szCs w:val="21"/>
                    </w:rPr>
                  </w:pPr>
                  <w:r>
                    <w:rPr>
                      <w:rFonts w:ascii="Times New Roman"/>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tcBorders>
                    <w:top w:val="single" w:color="auto" w:sz="4" w:space="0"/>
                    <w:left w:val="single" w:color="auto" w:sz="4" w:space="0"/>
                    <w:bottom w:val="single" w:color="auto" w:sz="4" w:space="0"/>
                    <w:right w:val="single" w:color="auto" w:sz="4" w:space="0"/>
                  </w:tcBorders>
                  <w:vAlign w:val="center"/>
                </w:tcPr>
                <w:p>
                  <w:pPr>
                    <w:pStyle w:val="37"/>
                    <w:rPr>
                      <w:rFonts w:ascii="Times New Roman"/>
                      <w:color w:val="auto"/>
                      <w:kern w:val="2"/>
                      <w:sz w:val="21"/>
                      <w:szCs w:val="21"/>
                    </w:rPr>
                  </w:pPr>
                  <w:r>
                    <w:rPr>
                      <w:rFonts w:ascii="Times New Roman"/>
                      <w:color w:val="auto"/>
                      <w:kern w:val="2"/>
                      <w:sz w:val="21"/>
                      <w:szCs w:val="21"/>
                    </w:rPr>
                    <w:t>环境影响途径及危害后果</w:t>
                  </w:r>
                </w:p>
              </w:tc>
              <w:tc>
                <w:tcPr>
                  <w:tcW w:w="7132"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olor w:val="auto"/>
                      <w:szCs w:val="21"/>
                    </w:rPr>
                  </w:pPr>
                  <w:r>
                    <w:rPr>
                      <w:rFonts w:ascii="Times New Roman" w:hAnsi="Times New Roman"/>
                      <w:color w:val="auto"/>
                      <w:szCs w:val="21"/>
                    </w:rPr>
                    <w:t>（1）压缩装置发生故障、渗滤液暂存池发生泄露导致生活垃圾和渗滤液外泄；</w:t>
                  </w:r>
                </w:p>
                <w:p>
                  <w:pPr>
                    <w:jc w:val="left"/>
                    <w:rPr>
                      <w:rFonts w:ascii="Times New Roman" w:hAnsi="Times New Roman"/>
                      <w:color w:val="auto"/>
                      <w:szCs w:val="21"/>
                    </w:rPr>
                  </w:pPr>
                  <w:r>
                    <w:rPr>
                      <w:rFonts w:ascii="Times New Roman" w:hAnsi="Times New Roman"/>
                      <w:color w:val="auto"/>
                      <w:szCs w:val="21"/>
                    </w:rPr>
                    <w:t>（2）除臭系统发生故障；</w:t>
                  </w:r>
                </w:p>
                <w:p>
                  <w:pPr>
                    <w:jc w:val="left"/>
                    <w:rPr>
                      <w:rFonts w:ascii="Times New Roman" w:hAnsi="Times New Roman"/>
                      <w:color w:val="auto"/>
                      <w:szCs w:val="21"/>
                    </w:rPr>
                  </w:pPr>
                  <w:r>
                    <w:rPr>
                      <w:rFonts w:ascii="Times New Roman" w:hAnsi="Times New Roman"/>
                      <w:color w:val="auto"/>
                      <w:szCs w:val="21"/>
                    </w:rPr>
                    <w:t>（3）线路老化发生火灾等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7" w:type="dxa"/>
                  <w:tcBorders>
                    <w:top w:val="single" w:color="auto" w:sz="4" w:space="0"/>
                    <w:left w:val="single" w:color="auto" w:sz="4" w:space="0"/>
                    <w:bottom w:val="single" w:color="auto" w:sz="4" w:space="0"/>
                    <w:right w:val="single" w:color="auto" w:sz="4" w:space="0"/>
                  </w:tcBorders>
                  <w:vAlign w:val="center"/>
                </w:tcPr>
                <w:p>
                  <w:pPr>
                    <w:pStyle w:val="37"/>
                    <w:rPr>
                      <w:rFonts w:ascii="Times New Roman"/>
                      <w:color w:val="auto"/>
                      <w:kern w:val="2"/>
                      <w:sz w:val="21"/>
                      <w:szCs w:val="21"/>
                    </w:rPr>
                  </w:pPr>
                  <w:r>
                    <w:rPr>
                      <w:rFonts w:ascii="Times New Roman"/>
                      <w:color w:val="auto"/>
                      <w:kern w:val="2"/>
                      <w:sz w:val="21"/>
                      <w:szCs w:val="21"/>
                    </w:rPr>
                    <w:t>风险防范措施要求</w:t>
                  </w:r>
                </w:p>
              </w:tc>
              <w:tc>
                <w:tcPr>
                  <w:tcW w:w="7132"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olor w:val="auto"/>
                      <w:szCs w:val="21"/>
                    </w:rPr>
                  </w:pPr>
                  <w:r>
                    <w:rPr>
                      <w:rFonts w:ascii="Times New Roman" w:hAnsi="Times New Roman"/>
                      <w:color w:val="auto"/>
                      <w:szCs w:val="21"/>
                    </w:rPr>
                    <w:t>（1）项目区分区防渗，压缩车间、渗滤液暂存池为一般防渗，进场道路及生活区为简单防渗；</w:t>
                  </w:r>
                </w:p>
                <w:p>
                  <w:pPr>
                    <w:jc w:val="left"/>
                    <w:rPr>
                      <w:rFonts w:ascii="Times New Roman" w:hAnsi="Times New Roman"/>
                      <w:color w:val="auto"/>
                      <w:szCs w:val="21"/>
                    </w:rPr>
                  </w:pPr>
                  <w:r>
                    <w:rPr>
                      <w:rFonts w:ascii="Times New Roman" w:hAnsi="Times New Roman"/>
                      <w:color w:val="auto"/>
                      <w:szCs w:val="21"/>
                    </w:rPr>
                    <w:t>（2）定期对压缩设备及除臭系统进行检修</w:t>
                  </w:r>
                </w:p>
                <w:p>
                  <w:pPr>
                    <w:jc w:val="left"/>
                    <w:rPr>
                      <w:rFonts w:ascii="Times New Roman" w:hAnsi="Times New Roman"/>
                      <w:color w:val="auto"/>
                      <w:szCs w:val="21"/>
                    </w:rPr>
                  </w:pPr>
                  <w:r>
                    <w:rPr>
                      <w:rFonts w:ascii="Times New Roman" w:hAnsi="Times New Roman"/>
                      <w:color w:val="auto"/>
                      <w:szCs w:val="21"/>
                    </w:rPr>
                    <w:t>（3）配备一定的灭火器；</w:t>
                  </w:r>
                </w:p>
                <w:p>
                  <w:pPr>
                    <w:jc w:val="left"/>
                    <w:rPr>
                      <w:rFonts w:ascii="Times New Roman" w:hAnsi="Times New Roman"/>
                      <w:color w:val="auto"/>
                      <w:szCs w:val="21"/>
                    </w:rPr>
                  </w:pPr>
                  <w:r>
                    <w:rPr>
                      <w:rFonts w:ascii="Times New Roman" w:hAnsi="Times New Roman"/>
                      <w:color w:val="auto"/>
                      <w:szCs w:val="21"/>
                    </w:rPr>
                    <w:t>（4）操作工人上岗前进行必要的专业技术培训，并制定详细的操作规程。工作工人进行日常的设备维护、保养和检修时，需按照安全规程操作，防止意外事件的发生。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9" w:type="dxa"/>
                  <w:gridSpan w:val="2"/>
                  <w:tcBorders>
                    <w:top w:val="single" w:color="auto" w:sz="4" w:space="0"/>
                    <w:left w:val="single" w:color="auto" w:sz="4" w:space="0"/>
                    <w:bottom w:val="single" w:color="auto" w:sz="4" w:space="0"/>
                    <w:right w:val="single" w:color="auto" w:sz="4" w:space="0"/>
                  </w:tcBorders>
                </w:tcPr>
                <w:p>
                  <w:pPr>
                    <w:pStyle w:val="37"/>
                    <w:tabs>
                      <w:tab w:val="left" w:pos="1325"/>
                    </w:tabs>
                    <w:rPr>
                      <w:rFonts w:ascii="Times New Roman"/>
                      <w:color w:val="auto"/>
                      <w:kern w:val="2"/>
                      <w:sz w:val="21"/>
                      <w:szCs w:val="21"/>
                    </w:rPr>
                  </w:pPr>
                  <w:r>
                    <w:rPr>
                      <w:rFonts w:ascii="Times New Roman"/>
                      <w:color w:val="auto"/>
                      <w:kern w:val="2"/>
                      <w:sz w:val="21"/>
                      <w:szCs w:val="21"/>
                    </w:rPr>
                    <w:t>填表说明</w:t>
                  </w:r>
                </w:p>
                <w:p>
                  <w:pPr>
                    <w:pStyle w:val="37"/>
                    <w:tabs>
                      <w:tab w:val="left" w:pos="1325"/>
                    </w:tabs>
                    <w:rPr>
                      <w:rFonts w:ascii="Times New Roman"/>
                      <w:color w:val="auto"/>
                      <w:kern w:val="2"/>
                      <w:sz w:val="21"/>
                      <w:szCs w:val="21"/>
                    </w:rPr>
                  </w:pPr>
                  <w:r>
                    <w:rPr>
                      <w:rFonts w:ascii="Times New Roman"/>
                      <w:color w:val="auto"/>
                      <w:kern w:val="2"/>
                      <w:sz w:val="21"/>
                      <w:szCs w:val="21"/>
                    </w:rPr>
                    <w:t>项目风险潜势为I，评价工作等级为简单分析</w:t>
                  </w:r>
                </w:p>
                <w:p>
                  <w:pPr>
                    <w:pStyle w:val="37"/>
                    <w:tabs>
                      <w:tab w:val="left" w:pos="1325"/>
                    </w:tabs>
                    <w:rPr>
                      <w:rFonts w:ascii="Times New Roman"/>
                      <w:color w:val="auto"/>
                      <w:kern w:val="2"/>
                      <w:sz w:val="21"/>
                      <w:szCs w:val="21"/>
                    </w:rPr>
                  </w:pPr>
                </w:p>
                <w:p>
                  <w:pPr>
                    <w:pStyle w:val="37"/>
                    <w:tabs>
                      <w:tab w:val="left" w:pos="1325"/>
                    </w:tabs>
                    <w:rPr>
                      <w:rFonts w:ascii="Times New Roman"/>
                      <w:color w:val="auto"/>
                      <w:kern w:val="2"/>
                      <w:sz w:val="21"/>
                      <w:szCs w:val="21"/>
                    </w:rPr>
                  </w:pPr>
                </w:p>
              </w:tc>
            </w:tr>
          </w:tbl>
          <w:p>
            <w:pPr>
              <w:rPr>
                <w:rFonts w:ascii="Times New Roman" w:hAnsi="Times New Roman"/>
                <w:color w:val="auto"/>
                <w:sz w:val="24"/>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tc>
      </w:tr>
    </w:tbl>
    <w:p>
      <w:pPr>
        <w:pStyle w:val="5"/>
        <w:rPr>
          <w:rFonts w:ascii="Times New Roman" w:hAnsi="Times New Roman"/>
          <w:color w:val="auto"/>
        </w:rPr>
      </w:pPr>
      <w:r>
        <w:rPr>
          <w:rFonts w:ascii="Times New Roman" w:hAnsi="Times New Roman"/>
          <w:color w:val="auto"/>
        </w:rPr>
        <w:t>建设项目拟采取的防治措施及预期治理效果</w:t>
      </w:r>
    </w:p>
    <w:tbl>
      <w:tblPr>
        <w:tblStyle w:val="26"/>
        <w:tblW w:w="900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29"/>
        <w:gridCol w:w="523"/>
        <w:gridCol w:w="831"/>
        <w:gridCol w:w="1446"/>
        <w:gridCol w:w="2249"/>
        <w:gridCol w:w="32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9" w:hRule="atLeast"/>
          <w:jc w:val="center"/>
        </w:trPr>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内容</w:t>
            </w:r>
          </w:p>
          <w:p>
            <w:pPr>
              <w:jc w:val="center"/>
              <w:rPr>
                <w:rFonts w:ascii="Times New Roman" w:hAnsi="Times New Roman"/>
                <w:b/>
                <w:color w:val="auto"/>
                <w:sz w:val="24"/>
              </w:rPr>
            </w:pPr>
            <w:r>
              <w:rPr>
                <w:rFonts w:ascii="Times New Roman" w:hAnsi="Times New Roman"/>
                <w:b/>
                <w:color w:val="auto"/>
                <w:sz w:val="24"/>
              </w:rPr>
              <w:t>类型</w:t>
            </w:r>
          </w:p>
        </w:tc>
        <w:tc>
          <w:tcPr>
            <w:tcW w:w="1354"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排放源</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污染物名称</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防治措施</w:t>
            </w:r>
          </w:p>
        </w:tc>
        <w:tc>
          <w:tcPr>
            <w:tcW w:w="322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b/>
                <w:color w:val="auto"/>
                <w:sz w:val="24"/>
              </w:rPr>
            </w:pPr>
            <w:r>
              <w:rPr>
                <w:rFonts w:ascii="Times New Roman" w:hAnsi="Times New Roman"/>
                <w:b/>
                <w:color w:val="auto"/>
                <w:sz w:val="24"/>
              </w:rPr>
              <w:t>预期治理效果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7" w:hRule="atLeast"/>
          <w:jc w:val="center"/>
        </w:trPr>
        <w:tc>
          <w:tcPr>
            <w:tcW w:w="729"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大气污染物</w:t>
            </w:r>
          </w:p>
        </w:tc>
        <w:tc>
          <w:tcPr>
            <w:tcW w:w="523"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w:t>
            </w:r>
          </w:p>
        </w:tc>
        <w:tc>
          <w:tcPr>
            <w:tcW w:w="831"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建筑施工</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施工扬尘</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洒水抑尘</w:t>
            </w:r>
          </w:p>
        </w:tc>
        <w:tc>
          <w:tcPr>
            <w:tcW w:w="3227"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满足《大气污染物综合排放标准》（GB16297-1996）的相关规定和要求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831"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车辆废气</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隔离阻挡</w:t>
            </w:r>
          </w:p>
        </w:tc>
        <w:tc>
          <w:tcPr>
            <w:tcW w:w="3227" w:type="dxa"/>
            <w:vMerge w:val="continue"/>
            <w:tcBorders>
              <w:left w:val="single" w:color="auto" w:sz="2" w:space="0"/>
              <w:right w:val="single" w:color="auto" w:sz="2" w:space="0"/>
            </w:tcBorders>
            <w:vAlign w:val="center"/>
          </w:tcPr>
          <w:p>
            <w:pPr>
              <w:jc w:val="center"/>
              <w:rPr>
                <w:rFonts w:ascii="Times New Roman" w:hAnsi="Times New Roman"/>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831"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装修过程中产生的有机废气</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通风排气</w:t>
            </w:r>
          </w:p>
        </w:tc>
        <w:tc>
          <w:tcPr>
            <w:tcW w:w="3227" w:type="dxa"/>
            <w:vMerge w:val="continue"/>
            <w:tcBorders>
              <w:left w:val="single" w:color="auto" w:sz="2" w:space="0"/>
              <w:right w:val="single" w:color="auto" w:sz="2" w:space="0"/>
            </w:tcBorders>
            <w:vAlign w:val="center"/>
          </w:tcPr>
          <w:p>
            <w:pPr>
              <w:jc w:val="center"/>
              <w:rPr>
                <w:rFonts w:ascii="Times New Roman" w:hAnsi="Times New Roman"/>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6"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831" w:type="dxa"/>
            <w:vMerge w:val="continue"/>
            <w:tcBorders>
              <w:left w:val="single" w:color="auto" w:sz="2" w:space="0"/>
              <w:right w:val="single" w:color="auto" w:sz="2" w:space="0"/>
            </w:tcBorders>
            <w:vAlign w:val="center"/>
          </w:tcPr>
          <w:p>
            <w:pPr>
              <w:jc w:val="center"/>
              <w:rPr>
                <w:rFonts w:ascii="Times New Roman" w:hAnsi="Times New Roman"/>
                <w:color w:val="auto"/>
                <w:sz w:val="24"/>
              </w:rPr>
            </w:pP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恶臭</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除臭系统采用植物除臭剂</w:t>
            </w:r>
          </w:p>
        </w:tc>
        <w:tc>
          <w:tcPr>
            <w:tcW w:w="3227" w:type="dxa"/>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r>
              <w:rPr>
                <w:rFonts w:ascii="Times New Roman" w:hAnsi="Times New Roman"/>
                <w:color w:val="auto"/>
                <w:sz w:val="24"/>
              </w:rPr>
              <w:t>满足《恶臭污染物排放标准》（GB14554-1993）中表1二级新改扩建厂界标准值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729"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水污染物</w:t>
            </w:r>
          </w:p>
        </w:tc>
        <w:tc>
          <w:tcPr>
            <w:tcW w:w="523"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w:t>
            </w: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建筑施工</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施工废水</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沉淀回用</w:t>
            </w:r>
          </w:p>
        </w:tc>
        <w:tc>
          <w:tcPr>
            <w:tcW w:w="322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2"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施工人员</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生活污水</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泼洒抑尘</w:t>
            </w:r>
          </w:p>
        </w:tc>
        <w:tc>
          <w:tcPr>
            <w:tcW w:w="3227" w:type="dxa"/>
            <w:vMerge w:val="restart"/>
            <w:tcBorders>
              <w:top w:val="single" w:color="auto" w:sz="2" w:space="0"/>
              <w:left w:val="single" w:color="auto" w:sz="2" w:space="0"/>
              <w:right w:val="single" w:color="auto" w:sz="2" w:space="0"/>
            </w:tcBorders>
            <w:vAlign w:val="center"/>
          </w:tcPr>
          <w:p>
            <w:pPr>
              <w:widowControl/>
              <w:jc w:val="center"/>
              <w:rPr>
                <w:rFonts w:ascii="Times New Roman" w:hAnsi="Times New Roman"/>
                <w:color w:val="auto"/>
                <w:sz w:val="24"/>
              </w:rPr>
            </w:pPr>
            <w:r>
              <w:rPr>
                <w:rFonts w:ascii="Times New Roman" w:hAnsi="Times New Roman"/>
                <w:color w:val="auto"/>
                <w:sz w:val="24"/>
              </w:rPr>
              <w:t>妥善处置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运营期</w:t>
            </w:r>
          </w:p>
        </w:tc>
        <w:tc>
          <w:tcPr>
            <w:tcW w:w="831"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垃圾转运压缩</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渗滤液</w:t>
            </w:r>
          </w:p>
        </w:tc>
        <w:tc>
          <w:tcPr>
            <w:tcW w:w="2249" w:type="dxa"/>
            <w:vMerge w:val="restart"/>
            <w:tcBorders>
              <w:top w:val="single" w:color="auto" w:sz="2" w:space="0"/>
              <w:left w:val="single" w:color="auto" w:sz="2" w:space="0"/>
              <w:right w:val="single" w:color="auto" w:sz="2" w:space="0"/>
            </w:tcBorders>
            <w:vAlign w:val="center"/>
          </w:tcPr>
          <w:p>
            <w:pPr>
              <w:widowControl/>
              <w:jc w:val="center"/>
              <w:rPr>
                <w:rFonts w:ascii="Times New Roman" w:hAnsi="Times New Roman"/>
                <w:color w:val="auto"/>
                <w:sz w:val="24"/>
              </w:rPr>
            </w:pPr>
            <w:r>
              <w:rPr>
                <w:rFonts w:ascii="Times New Roman" w:hAnsi="Times New Roman"/>
                <w:color w:val="auto"/>
                <w:sz w:val="24"/>
              </w:rPr>
              <w:t>运至宁县污水处理厂</w:t>
            </w:r>
          </w:p>
        </w:tc>
        <w:tc>
          <w:tcPr>
            <w:tcW w:w="3227" w:type="dxa"/>
            <w:vMerge w:val="continue"/>
            <w:tcBorders>
              <w:left w:val="single" w:color="auto" w:sz="2" w:space="0"/>
              <w:right w:val="single" w:color="auto" w:sz="2" w:space="0"/>
            </w:tcBorders>
            <w:vAlign w:val="center"/>
          </w:tcPr>
          <w:p>
            <w:pPr>
              <w:jc w:val="center"/>
              <w:rPr>
                <w:rFonts w:ascii="Times New Roman" w:hAnsi="Times New Roman"/>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9"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831"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冲洗废水</w:t>
            </w:r>
          </w:p>
        </w:tc>
        <w:tc>
          <w:tcPr>
            <w:tcW w:w="2249" w:type="dxa"/>
            <w:vMerge w:val="continue"/>
            <w:tcBorders>
              <w:left w:val="single" w:color="auto" w:sz="2" w:space="0"/>
              <w:bottom w:val="single" w:color="auto" w:sz="2" w:space="0"/>
              <w:right w:val="single" w:color="auto" w:sz="2" w:space="0"/>
            </w:tcBorders>
            <w:vAlign w:val="center"/>
          </w:tcPr>
          <w:p>
            <w:pPr>
              <w:widowControl/>
              <w:jc w:val="center"/>
              <w:rPr>
                <w:rFonts w:ascii="Times New Roman" w:hAnsi="Times New Roman"/>
                <w:color w:val="auto"/>
                <w:sz w:val="24"/>
              </w:rPr>
            </w:pPr>
          </w:p>
        </w:tc>
        <w:tc>
          <w:tcPr>
            <w:tcW w:w="3227" w:type="dxa"/>
            <w:vMerge w:val="continue"/>
            <w:tcBorders>
              <w:left w:val="single" w:color="auto" w:sz="2" w:space="0"/>
              <w:right w:val="single" w:color="auto" w:sz="2" w:space="0"/>
            </w:tcBorders>
            <w:vAlign w:val="center"/>
          </w:tcPr>
          <w:p>
            <w:pPr>
              <w:widowControl/>
              <w:jc w:val="center"/>
              <w:rPr>
                <w:rFonts w:ascii="Times New Roman" w:hAnsi="Times New Roman"/>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0"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职工生活</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生活污水</w:t>
            </w:r>
          </w:p>
        </w:tc>
        <w:tc>
          <w:tcPr>
            <w:tcW w:w="2249" w:type="dxa"/>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 w:val="24"/>
              </w:rPr>
            </w:pPr>
            <w:r>
              <w:rPr>
                <w:rFonts w:ascii="Times New Roman" w:hAnsi="Times New Roman"/>
                <w:color w:val="auto"/>
                <w:sz w:val="24"/>
              </w:rPr>
              <w:t>泼洒抑尘</w:t>
            </w:r>
          </w:p>
        </w:tc>
        <w:tc>
          <w:tcPr>
            <w:tcW w:w="3227" w:type="dxa"/>
            <w:vMerge w:val="continue"/>
            <w:tcBorders>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0" w:hRule="atLeast"/>
          <w:jc w:val="center"/>
        </w:trPr>
        <w:tc>
          <w:tcPr>
            <w:tcW w:w="3529"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旱厕</w:t>
            </w:r>
          </w:p>
        </w:tc>
        <w:tc>
          <w:tcPr>
            <w:tcW w:w="2249" w:type="dxa"/>
            <w:tcBorders>
              <w:top w:val="single" w:color="auto" w:sz="2" w:space="0"/>
              <w:left w:val="single" w:color="auto" w:sz="2" w:space="0"/>
              <w:bottom w:val="single" w:color="auto" w:sz="2" w:space="0"/>
              <w:right w:val="single" w:color="auto" w:sz="2" w:space="0"/>
            </w:tcBorders>
            <w:vAlign w:val="center"/>
          </w:tcPr>
          <w:p>
            <w:pPr>
              <w:widowControl/>
              <w:jc w:val="center"/>
              <w:rPr>
                <w:rFonts w:ascii="Times New Roman" w:hAnsi="Times New Roman"/>
                <w:color w:val="auto"/>
                <w:sz w:val="24"/>
              </w:rPr>
            </w:pPr>
            <w:r>
              <w:rPr>
                <w:rFonts w:ascii="Times New Roman" w:hAnsi="Times New Roman"/>
                <w:color w:val="auto"/>
                <w:sz w:val="24"/>
              </w:rPr>
              <w:t>定期清掏，用于周边居民堆肥处置</w:t>
            </w:r>
          </w:p>
        </w:tc>
        <w:tc>
          <w:tcPr>
            <w:tcW w:w="3227" w:type="dxa"/>
            <w:tcBorders>
              <w:left w:val="single" w:color="auto" w:sz="2" w:space="0"/>
              <w:bottom w:val="single" w:color="auto" w:sz="2" w:space="0"/>
              <w:right w:val="single" w:color="auto" w:sz="2" w:space="0"/>
            </w:tcBorders>
            <w:vAlign w:val="center"/>
          </w:tcPr>
          <w:p>
            <w:pPr>
              <w:widowControl/>
              <w:jc w:val="center"/>
              <w:rPr>
                <w:rFonts w:ascii="Times New Roman" w:hAnsi="Times New Roman"/>
                <w:color w:val="auto"/>
                <w:sz w:val="24"/>
              </w:rPr>
            </w:pPr>
            <w:r>
              <w:rPr>
                <w:rFonts w:ascii="Times New Roman" w:hAnsi="Times New Roman"/>
                <w:color w:val="auto"/>
                <w:sz w:val="24"/>
              </w:rPr>
              <w:t>妥善处置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32" w:hRule="atLeast"/>
          <w:jc w:val="center"/>
        </w:trPr>
        <w:tc>
          <w:tcPr>
            <w:tcW w:w="729"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固体废物</w:t>
            </w:r>
          </w:p>
        </w:tc>
        <w:tc>
          <w:tcPr>
            <w:tcW w:w="523"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w:t>
            </w: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施工场地</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建筑垃圾、弃土方</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拉运至指定的垃圾处理厂</w:t>
            </w:r>
          </w:p>
        </w:tc>
        <w:tc>
          <w:tcPr>
            <w:tcW w:w="322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满足《一般工业固体废物贮存、处置场污染控制标准》（GB18599-2001）及修改单要求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工人生活</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生活垃圾</w:t>
            </w:r>
          </w:p>
        </w:tc>
        <w:tc>
          <w:tcPr>
            <w:tcW w:w="224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少量</w:t>
            </w:r>
          </w:p>
        </w:tc>
        <w:tc>
          <w:tcPr>
            <w:tcW w:w="3227"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运营期</w:t>
            </w: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垃圾压缩</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压缩垃圾</w:t>
            </w:r>
          </w:p>
        </w:tc>
        <w:tc>
          <w:tcPr>
            <w:tcW w:w="2249"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运至庆阳圣元环保电力有限公司</w:t>
            </w:r>
          </w:p>
        </w:tc>
        <w:tc>
          <w:tcPr>
            <w:tcW w:w="3227"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处置率100%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7"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职工生活</w:t>
            </w:r>
          </w:p>
        </w:tc>
        <w:tc>
          <w:tcPr>
            <w:tcW w:w="1446"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生活垃圾</w:t>
            </w:r>
          </w:p>
        </w:tc>
        <w:tc>
          <w:tcPr>
            <w:tcW w:w="2249" w:type="dxa"/>
            <w:vMerge w:val="continue"/>
            <w:tcBorders>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p>
        </w:tc>
        <w:tc>
          <w:tcPr>
            <w:tcW w:w="322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5" w:hRule="atLeast"/>
          <w:jc w:val="center"/>
        </w:trPr>
        <w:tc>
          <w:tcPr>
            <w:tcW w:w="729" w:type="dxa"/>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噪声</w:t>
            </w:r>
          </w:p>
        </w:tc>
        <w:tc>
          <w:tcPr>
            <w:tcW w:w="523"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w:t>
            </w: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施工场地</w:t>
            </w:r>
          </w:p>
        </w:tc>
        <w:tc>
          <w:tcPr>
            <w:tcW w:w="6922" w:type="dxa"/>
            <w:gridSpan w:val="3"/>
            <w:vMerge w:val="restart"/>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施工期采用隔离阻挡、基础减震等措施厂界噪声满足《建筑施工场界环境噪声排放标准》（GB12523-2011）。</w:t>
            </w:r>
          </w:p>
          <w:p>
            <w:pPr>
              <w:jc w:val="center"/>
              <w:rPr>
                <w:rFonts w:ascii="Times New Roman" w:hAnsi="Times New Roman"/>
                <w:bCs/>
                <w:color w:val="auto"/>
                <w:sz w:val="24"/>
              </w:rPr>
            </w:pPr>
            <w:r>
              <w:rPr>
                <w:rFonts w:ascii="Times New Roman" w:hAnsi="Times New Roman"/>
                <w:color w:val="auto"/>
                <w:sz w:val="24"/>
              </w:rPr>
              <w:t>运营期主要噪声源有压缩、汽车运输等，满足《工业企业厂界环境噪声排放标准》（GB12348-2008）2 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1" w:hRule="atLeast"/>
          <w:jc w:val="center"/>
        </w:trPr>
        <w:tc>
          <w:tcPr>
            <w:tcW w:w="729"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olor w:val="auto"/>
                <w:sz w:val="24"/>
              </w:rPr>
            </w:pPr>
          </w:p>
        </w:tc>
        <w:tc>
          <w:tcPr>
            <w:tcW w:w="523"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运营期</w:t>
            </w:r>
          </w:p>
        </w:tc>
        <w:tc>
          <w:tcPr>
            <w:tcW w:w="831"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auto"/>
                <w:sz w:val="24"/>
              </w:rPr>
            </w:pPr>
            <w:r>
              <w:rPr>
                <w:rFonts w:ascii="Times New Roman" w:hAnsi="Times New Roman"/>
                <w:color w:val="auto"/>
                <w:sz w:val="24"/>
              </w:rPr>
              <w:t>病房居室</w:t>
            </w:r>
          </w:p>
        </w:tc>
        <w:tc>
          <w:tcPr>
            <w:tcW w:w="6922" w:type="dxa"/>
            <w:gridSpan w:val="3"/>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bCs/>
                <w:color w:val="auto"/>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93" w:hRule="atLeast"/>
          <w:jc w:val="center"/>
        </w:trPr>
        <w:tc>
          <w:tcPr>
            <w:tcW w:w="9005" w:type="dxa"/>
            <w:gridSpan w:val="6"/>
            <w:tcBorders>
              <w:top w:val="single" w:color="auto" w:sz="2" w:space="0"/>
              <w:left w:val="single" w:color="auto" w:sz="2" w:space="0"/>
              <w:bottom w:val="single" w:color="auto" w:sz="2" w:space="0"/>
              <w:right w:val="single" w:color="auto" w:sz="2" w:space="0"/>
            </w:tcBorders>
          </w:tcPr>
          <w:p>
            <w:pPr>
              <w:rPr>
                <w:rFonts w:ascii="Times New Roman" w:hAnsi="Times New Roman"/>
                <w:b/>
                <w:color w:val="auto"/>
                <w:sz w:val="24"/>
                <w:lang w:val="zh-CN"/>
              </w:rPr>
            </w:pPr>
            <w:r>
              <w:rPr>
                <w:rFonts w:ascii="Times New Roman" w:hAnsi="Times New Roman"/>
                <w:b/>
                <w:color w:val="auto"/>
                <w:sz w:val="24"/>
                <w:lang w:val="zh-CN"/>
              </w:rPr>
              <w:t>主要生态影响（不够时可附另页）</w:t>
            </w:r>
          </w:p>
          <w:p>
            <w:pPr>
              <w:ind w:firstLine="480" w:firstLineChars="200"/>
              <w:jc w:val="left"/>
              <w:rPr>
                <w:rFonts w:ascii="Times New Roman" w:hAnsi="Times New Roman"/>
                <w:color w:val="auto"/>
                <w:sz w:val="24"/>
              </w:rPr>
            </w:pPr>
            <w:r>
              <w:rPr>
                <w:rFonts w:ascii="Times New Roman" w:hAnsi="Times New Roman"/>
                <w:color w:val="auto"/>
                <w:sz w:val="24"/>
              </w:rPr>
              <w:t>拟建项目场地远离生态保护区，无珍稀物种，施工期和运营期过程中对自然生态系统影响较小。</w:t>
            </w:r>
          </w:p>
          <w:p>
            <w:pPr>
              <w:rPr>
                <w:rFonts w:ascii="Times New Roman" w:hAnsi="Times New Roman"/>
                <w:color w:val="auto"/>
                <w:sz w:val="24"/>
              </w:rPr>
            </w:pPr>
          </w:p>
        </w:tc>
      </w:tr>
    </w:tbl>
    <w:p>
      <w:pPr>
        <w:rPr>
          <w:rFonts w:ascii="Times New Roman" w:hAnsi="Times New Roman"/>
          <w:b/>
          <w:color w:val="auto"/>
          <w:sz w:val="30"/>
        </w:rPr>
        <w:sectPr>
          <w:footerReference r:id="rId6" w:type="default"/>
          <w:pgSz w:w="11907" w:h="16840"/>
          <w:pgMar w:top="1417" w:right="1417" w:bottom="1440" w:left="1701" w:header="851" w:footer="992" w:gutter="0"/>
          <w:cols w:space="720" w:num="1"/>
          <w:docGrid w:linePitch="312" w:charSpace="0"/>
        </w:sectPr>
      </w:pPr>
    </w:p>
    <w:p>
      <w:pPr>
        <w:pStyle w:val="5"/>
        <w:rPr>
          <w:rFonts w:ascii="Times New Roman" w:hAnsi="Times New Roman"/>
          <w:color w:val="auto"/>
        </w:rPr>
      </w:pPr>
      <w:r>
        <w:rPr>
          <w:rFonts w:ascii="Times New Roman" w:hAnsi="Times New Roman"/>
          <w:color w:val="auto"/>
        </w:rPr>
        <w:t>污染物治理措施及可行性分析</w:t>
      </w:r>
    </w:p>
    <w:tbl>
      <w:tblPr>
        <w:tblStyle w:val="26"/>
        <w:tblW w:w="9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9" w:type="dxa"/>
          </w:tcPr>
          <w:p>
            <w:pPr>
              <w:spacing w:line="360" w:lineRule="auto"/>
              <w:rPr>
                <w:rFonts w:ascii="Times New Roman" w:hAnsi="Times New Roman"/>
                <w:b/>
                <w:color w:val="auto"/>
                <w:sz w:val="24"/>
              </w:rPr>
            </w:pPr>
            <w:r>
              <w:rPr>
                <w:rFonts w:ascii="Times New Roman" w:hAnsi="Times New Roman"/>
                <w:b/>
                <w:color w:val="auto"/>
                <w:sz w:val="24"/>
              </w:rPr>
              <w:t>施工期污染物防治措施</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施工过程中产生的扬尘是项目施工期最主要的污染因素之一，主要产生于土建工程阶段的物料堆放、物料运输等过程，所以在施工期，应采取切实有效的措施减少扬尘污染影响，针对项目周边环境特征及工程施工特点，环评提出以下防治措施：</w:t>
            </w:r>
          </w:p>
          <w:p>
            <w:pPr>
              <w:spacing w:line="360" w:lineRule="auto"/>
              <w:ind w:firstLine="482" w:firstLineChars="200"/>
              <w:jc w:val="left"/>
              <w:rPr>
                <w:rFonts w:ascii="Times New Roman" w:hAnsi="Times New Roman"/>
                <w:b/>
                <w:color w:val="auto"/>
                <w:sz w:val="24"/>
              </w:rPr>
            </w:pPr>
            <w:r>
              <w:rPr>
                <w:rFonts w:ascii="Times New Roman" w:hAnsi="Times New Roman"/>
                <w:b/>
                <w:color w:val="auto"/>
                <w:sz w:val="24"/>
              </w:rPr>
              <w:t>1、废气污染物防治措施</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（1）施工工地周边100%围挡</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建设施工工地周边必须设置稳固、整齐、美观并符合安全标准要求的连续封闭式2.5m以上的围挡，严禁敞开式作业。</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（2）物料堆放100%覆盖</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对裸露作业面、物料临时堆场专门设置集中堆放场；不能按时完成清运的，应及时设置防尘网布等覆盖。</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（3）出入车辆100%冲洗</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本项目规模较小，运输车辆较少，运输车辆冲洗可在指定的洗车点冲洗，并在工地出入口采取铺设麻袋、安排保洁人员及时清理，确保运输车辆进出场前车轮、车身不带泥。</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（4）施工现场地面100%硬化</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施工现场出入口、操作场地、材料堆场、生活区、场内道路等应采取细石或其它功能相当的材料进行硬化，并辅以洒水、喷洒抑尘剂等其他有效的防尘措施，保证不扬尘、不泥泞；场地硬化的强度、厚度、宽度应满足安全通行卫生保洁的需要。</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（5）车辆100%密闭运输</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进出工地车辆应采取密闭车斗，并保证物料不遗撒外漏。若无密闭车斗，物料、垃圾、渣土的装载与车厢持平，不得超高；车斗应用苫布盖严、捆实，车厢左右侧各三竖道，车后十字交叉并收紧，保证物料、垃圾、渣土等不露出、不遗撒。车辆运输不得超过车辆荷载，不得私自加装、改装车辆槽帮。</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（6）要求施工单位文明施工，定期对地面洒水、湿法作业，以减少物料运输时洒落在地面上，并对洒落在地面上的渣土及时清除，清理阶段做到先洒水后清扫，避免产生扬尘对周围环境造成影响。</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（7）土方工程作业时，尽量缩短易起尘工段施工时间，加快施工。遇到四级或四级以上大风天气，应停止土方作业。</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8）施工机械和运输车辆尾气排放防治措施：运输车辆禁止超载，不得使用劣质燃料；对车辆的尾气排放进行监督管理，严格执行汽车排污监管办法和汽车排污监测制度。以上措施将降低施工机械和汽车尾气对周围敏感点的影响。</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在采取上述防尘措施后，可以减小施工扬尘对周围环境的影响。根据同等规模施工场地现场调查，施工扬尘浓度可以满足《大气污染物综合排放标准》（GB16297-1996）中无组织排放监控浓度限值的要求。</w:t>
            </w:r>
          </w:p>
          <w:p>
            <w:pPr>
              <w:spacing w:line="360" w:lineRule="auto"/>
              <w:ind w:firstLine="482" w:firstLineChars="200"/>
              <w:jc w:val="left"/>
              <w:rPr>
                <w:rFonts w:ascii="Times New Roman" w:hAnsi="Times New Roman"/>
                <w:b/>
                <w:color w:val="auto"/>
                <w:sz w:val="24"/>
              </w:rPr>
            </w:pPr>
            <w:r>
              <w:rPr>
                <w:rFonts w:ascii="Times New Roman" w:hAnsi="Times New Roman"/>
                <w:b/>
                <w:color w:val="auto"/>
                <w:sz w:val="24"/>
              </w:rPr>
              <w:t>2、废水污染物防治措施</w:t>
            </w:r>
          </w:p>
          <w:p>
            <w:pPr>
              <w:spacing w:line="360" w:lineRule="auto"/>
              <w:ind w:firstLine="480" w:firstLineChars="200"/>
              <w:jc w:val="left"/>
              <w:rPr>
                <w:rFonts w:ascii="Times New Roman" w:hAnsi="Times New Roman"/>
                <w:bCs/>
                <w:color w:val="auto"/>
                <w:sz w:val="24"/>
              </w:rPr>
            </w:pPr>
            <w:r>
              <w:rPr>
                <w:rFonts w:ascii="Times New Roman" w:hAnsi="Times New Roman"/>
                <w:bCs/>
                <w:color w:val="auto"/>
                <w:sz w:val="24"/>
              </w:rPr>
              <w:t>本工程施工期产生的废水主要有施工人员生活污水和少量施工废水。因此，建议施工期废水做好以下防治措施：</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（1）加强对施工队伍管理，</w:t>
            </w:r>
            <w:r>
              <w:rPr>
                <w:rFonts w:ascii="Times New Roman" w:hAnsi="Times New Roman"/>
                <w:color w:val="auto"/>
                <w:kern w:val="0"/>
                <w:sz w:val="24"/>
              </w:rPr>
              <w:t>施工驻地生活污水</w:t>
            </w:r>
            <w:r>
              <w:rPr>
                <w:rFonts w:ascii="Times New Roman" w:hAnsi="Times New Roman"/>
                <w:color w:val="auto"/>
                <w:sz w:val="24"/>
              </w:rPr>
              <w:t>严禁乱排、乱流污染道路；</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sz w:val="24"/>
              </w:rPr>
              <w:t>（2）雨季施工时，施工场地应设置雨水导排系统，对施工现场形成的雨污水及时疏导，防治漫流至校区，对环境造成污染；</w:t>
            </w:r>
          </w:p>
          <w:p>
            <w:pPr>
              <w:widowControl/>
              <w:spacing w:line="360" w:lineRule="auto"/>
              <w:ind w:firstLine="480" w:firstLineChars="200"/>
              <w:jc w:val="left"/>
              <w:rPr>
                <w:rFonts w:ascii="Times New Roman" w:hAnsi="Times New Roman"/>
                <w:color w:val="auto"/>
                <w:sz w:val="24"/>
              </w:rPr>
            </w:pPr>
            <w:r>
              <w:rPr>
                <w:rFonts w:ascii="Times New Roman" w:hAnsi="Times New Roman"/>
                <w:color w:val="auto"/>
                <w:kern w:val="0"/>
                <w:sz w:val="24"/>
              </w:rPr>
              <w:t>（3）对进出工地的车辆及时冲洗车辆轮胎上粘带的泥土，以免对周围的环境卫生造成污染，冲洗车辆废水经临时沉淀池沉淀后可循环利用。场地出入道路应硬化且</w:t>
            </w:r>
            <w:r>
              <w:rPr>
                <w:rFonts w:ascii="Times New Roman" w:hAnsi="Times New Roman"/>
                <w:color w:val="auto"/>
                <w:sz w:val="24"/>
              </w:rPr>
              <w:t>及时清扫、清洗。</w:t>
            </w:r>
          </w:p>
          <w:p>
            <w:pPr>
              <w:pStyle w:val="2"/>
              <w:spacing w:line="360" w:lineRule="auto"/>
              <w:rPr>
                <w:rFonts w:ascii="Times New Roman" w:hAnsi="Times New Roman" w:eastAsia="宋体"/>
                <w:color w:val="auto"/>
                <w:spacing w:val="0"/>
                <w:kern w:val="2"/>
                <w:szCs w:val="24"/>
              </w:rPr>
            </w:pPr>
            <w:r>
              <w:rPr>
                <w:rFonts w:ascii="Times New Roman" w:hAnsi="Times New Roman" w:eastAsia="宋体"/>
                <w:color w:val="auto"/>
                <w:spacing w:val="0"/>
                <w:kern w:val="2"/>
                <w:szCs w:val="24"/>
              </w:rPr>
              <w:t>（4）生活污水就地泼洒，抑制扬尘</w:t>
            </w:r>
            <w:r>
              <w:rPr>
                <w:rFonts w:hint="eastAsia" w:ascii="Times New Roman" w:hAnsi="Times New Roman" w:eastAsia="宋体"/>
                <w:color w:val="auto"/>
                <w:spacing w:val="0"/>
                <w:kern w:val="2"/>
                <w:szCs w:val="24"/>
              </w:rPr>
              <w:t>，厂区设防渗旱厕1座（运营期沿用）。</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在采取上述废水防治措施后，可有效控制施工期废水对周边环境的影响。</w:t>
            </w:r>
          </w:p>
          <w:p>
            <w:pPr>
              <w:spacing w:line="360" w:lineRule="auto"/>
              <w:ind w:firstLine="482" w:firstLineChars="200"/>
              <w:jc w:val="left"/>
              <w:rPr>
                <w:rFonts w:ascii="Times New Roman" w:hAnsi="Times New Roman"/>
                <w:b/>
                <w:color w:val="auto"/>
                <w:sz w:val="24"/>
              </w:rPr>
            </w:pPr>
            <w:r>
              <w:rPr>
                <w:rFonts w:ascii="Times New Roman" w:hAnsi="Times New Roman"/>
                <w:b/>
                <w:color w:val="auto"/>
                <w:sz w:val="24"/>
              </w:rPr>
              <w:t>3、噪声污染物防治措施</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拟建项目噪声声源主要是施工设备产生的机械噪声和运输车辆产生的运输噪声，施工设备有装载机及运输车辆等。为有效降低噪声排放强度，需采取如下防治措施：</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（1）根据施工场所的噪声功能要求，合理安排施工计划。</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（2）施工机械设备应选用低噪声的、先进的，定期对其维护，确保设备良性工作；</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（3）施工过程应合理安排施工工段，避免高噪声设备在同一作业面同时施工，增加噪声局部排放强度；</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（4）加快施工进度，尤其是地基开挖、处理等高噪声施工阶段；</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（5）加强施工设备的维护，避免设备事故运行，导致噪声增加；</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（6）</w:t>
            </w:r>
            <w:r>
              <w:rPr>
                <w:rFonts w:ascii="Times New Roman" w:hAnsi="Times New Roman"/>
                <w:color w:val="auto"/>
                <w:sz w:val="24"/>
              </w:rPr>
              <w:t>建议渣土、原辅材料运输时间尽可能避开休息时间运输；</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（7）应加强施工现场的环境管理，严格执行《建筑施工场界环境噪声排放标准》(GB12523-2011)要求，确保噪声达标排放。</w:t>
            </w:r>
          </w:p>
          <w:p>
            <w:pPr>
              <w:spacing w:line="360" w:lineRule="auto"/>
              <w:ind w:firstLine="482" w:firstLineChars="200"/>
              <w:jc w:val="left"/>
              <w:rPr>
                <w:rFonts w:ascii="Times New Roman" w:hAnsi="Times New Roman"/>
                <w:b/>
                <w:color w:val="auto"/>
                <w:sz w:val="24"/>
              </w:rPr>
            </w:pPr>
            <w:r>
              <w:rPr>
                <w:rFonts w:ascii="Times New Roman" w:hAnsi="Times New Roman"/>
                <w:b/>
                <w:color w:val="auto"/>
                <w:sz w:val="24"/>
              </w:rPr>
              <w:t>4、固体废弃物污染物防治措施</w:t>
            </w:r>
          </w:p>
          <w:p>
            <w:pPr>
              <w:spacing w:line="360" w:lineRule="auto"/>
              <w:ind w:firstLine="200"/>
              <w:jc w:val="left"/>
              <w:rPr>
                <w:rFonts w:ascii="Times New Roman" w:hAnsi="Times New Roman"/>
                <w:bCs/>
                <w:color w:val="auto"/>
                <w:sz w:val="24"/>
              </w:rPr>
            </w:pPr>
            <w:r>
              <w:rPr>
                <w:rFonts w:ascii="Times New Roman" w:hAnsi="Times New Roman"/>
                <w:bCs/>
                <w:color w:val="auto"/>
                <w:sz w:val="24"/>
              </w:rPr>
              <w:t>拟建项目产生的废渣主要包括施工人员生活垃圾、建筑垃圾、剩余土方等。为妥善处理施工过程产生的固体废弃物，针对项目固体废弃物产生特点，应采取如下措施：</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（1）项目建设过程产生的固体废物，务必做好分类，尽量重复使用或回收利用。本工程不能利用的，可用于其他工程。</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（2）每个工区工作面设立指定的渣土堆放点，堆放点要经环保检查机构认可并设专人管理，防止渣土随意堆放。</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（3）搬运土过程中应加盖帆布或挡板，防止散落和产生扬尘，避免造成沿途污染。</w:t>
            </w:r>
          </w:p>
          <w:p>
            <w:pPr>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4）倒土运输过程中，工作面必须设置洒水、喷淋设施，并将渣土压实。渣土尽量在场内周转，就地用于绿化、道路等生态景观建设或转向其他工程项目填土方，必须外运的弃土以及建筑废料应运至指定的建筑垃圾堆放场。</w:t>
            </w:r>
          </w:p>
          <w:p>
            <w:pPr>
              <w:spacing w:line="360" w:lineRule="auto"/>
              <w:ind w:firstLine="480" w:firstLineChars="200"/>
              <w:jc w:val="left"/>
              <w:rPr>
                <w:rFonts w:ascii="Times New Roman" w:hAnsi="Times New Roman"/>
                <w:bCs/>
                <w:color w:val="auto"/>
                <w:sz w:val="24"/>
              </w:rPr>
            </w:pPr>
            <w:r>
              <w:rPr>
                <w:rFonts w:ascii="Times New Roman" w:hAnsi="Times New Roman"/>
                <w:color w:val="auto"/>
                <w:kern w:val="0"/>
                <w:sz w:val="24"/>
              </w:rPr>
              <w:t>（5）施工人员生活垃圾要严格管理，应设有专门的生活垃圾封闭存放点，交由当地的环卫部门统一处理处置，能做到日产日清。</w:t>
            </w:r>
            <w:r>
              <w:rPr>
                <w:rFonts w:ascii="Times New Roman" w:hAnsi="Times New Roman"/>
                <w:bCs/>
                <w:color w:val="auto"/>
                <w:sz w:val="24"/>
              </w:rPr>
              <w:t>采取上述措施，可有效减小固体废弃物对外环境的影响，则施工产生的固体废弃物对外环境影响较小。</w:t>
            </w:r>
          </w:p>
          <w:p>
            <w:pPr>
              <w:keepNext/>
              <w:keepLines/>
              <w:spacing w:line="360" w:lineRule="auto"/>
              <w:ind w:firstLine="482" w:firstLineChars="200"/>
              <w:jc w:val="left"/>
              <w:rPr>
                <w:rFonts w:ascii="Times New Roman" w:hAnsi="Times New Roman"/>
                <w:b/>
                <w:bCs/>
                <w:color w:val="auto"/>
                <w:sz w:val="24"/>
              </w:rPr>
            </w:pPr>
            <w:r>
              <w:rPr>
                <w:rFonts w:ascii="Times New Roman" w:hAnsi="Times New Roman"/>
                <w:b/>
                <w:bCs/>
                <w:color w:val="auto"/>
                <w:sz w:val="24"/>
              </w:rPr>
              <w:t>5、生态环境影响污染防治措施</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项目建设对生态环境的影响主要是施工期地基开挖、修建构筑物等对地表土壤和植被的破坏及水土流失，从而影响区域生态系统的变化或引发相关环境问题。为将这些负面影响降低到最小程度，实现开发建设与生态保护协调发展，应采取的措施有以下几点：</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（1）合理安排施工计划，做好挖填方平衡。合理安排施工单元，减少施工面的裸露时间；</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（2）在满足施工要求的前提下，施工场地要尽量小，不得随意侵占周围土地；</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（3）严格控制施工作业区，不得随意扩大范围，必须减少对附近植被和道路的破坏；</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（4）应采取工程措施与植物措施有机结合，点、线、面水土流失综合防治，充分发挥工程措施的时效性，保证在短期内遏制或减少水土流失；</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（5）根据工期进度和规划分区，修建临时性围墙封闭施工，将水土流失尽量控制在项目区内进行防治，既有利于阻挡水、土外流，又有利于施工管理；</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（6）物料、弃土渣应就近选择平坦地段集中堆放，设置苫布、截洪沟等；</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7）对于临时占地开挖土方实行分层堆放，全部表土都应分开堆放并标注清楚，至少地表30cm厚的土层应被视作表土。填埋时应分层回填，尽可能保持原有地表植被的生长环境、土壤肥力，以便今后开展环境绿化；</w:t>
            </w:r>
          </w:p>
          <w:p>
            <w:pPr>
              <w:pStyle w:val="2"/>
              <w:spacing w:line="360" w:lineRule="auto"/>
              <w:ind w:firstLine="480" w:firstLineChars="200"/>
              <w:jc w:val="left"/>
              <w:rPr>
                <w:rFonts w:ascii="Times New Roman" w:hAnsi="Times New Roman" w:eastAsia="宋体"/>
                <w:color w:val="auto"/>
                <w:spacing w:val="0"/>
                <w:kern w:val="2"/>
                <w:szCs w:val="24"/>
              </w:rPr>
            </w:pPr>
            <w:r>
              <w:rPr>
                <w:rFonts w:ascii="Times New Roman" w:hAnsi="Times New Roman" w:eastAsia="宋体"/>
                <w:color w:val="auto"/>
                <w:spacing w:val="0"/>
                <w:kern w:val="2"/>
                <w:szCs w:val="24"/>
              </w:rPr>
              <w:t>（8）强化建设期生态保护意识，制定并落实生态环境与恢复的监督管理措施，指定专门人员负责建设期生态环境监督与管理工作</w:t>
            </w:r>
          </w:p>
          <w:p>
            <w:pPr>
              <w:spacing w:line="360" w:lineRule="auto"/>
              <w:ind w:firstLine="200"/>
              <w:jc w:val="left"/>
              <w:rPr>
                <w:rFonts w:ascii="Times New Roman" w:hAnsi="Times New Roman"/>
                <w:b/>
                <w:color w:val="auto"/>
                <w:sz w:val="24"/>
              </w:rPr>
            </w:pPr>
            <w:r>
              <w:rPr>
                <w:rFonts w:ascii="Times New Roman" w:hAnsi="Times New Roman"/>
                <w:b/>
                <w:color w:val="auto"/>
                <w:sz w:val="24"/>
              </w:rPr>
              <w:t>运营期污染物防治措施</w:t>
            </w:r>
          </w:p>
          <w:p>
            <w:pPr>
              <w:pStyle w:val="2"/>
              <w:spacing w:line="360" w:lineRule="auto"/>
              <w:ind w:firstLine="482" w:firstLineChars="200"/>
              <w:jc w:val="left"/>
              <w:rPr>
                <w:rFonts w:ascii="Times New Roman" w:hAnsi="Times New Roman" w:eastAsia="宋体"/>
                <w:b/>
                <w:color w:val="auto"/>
                <w:spacing w:val="0"/>
                <w:kern w:val="2"/>
                <w:szCs w:val="24"/>
              </w:rPr>
            </w:pPr>
            <w:r>
              <w:rPr>
                <w:rFonts w:ascii="Times New Roman" w:hAnsi="Times New Roman" w:eastAsia="宋体"/>
                <w:b/>
                <w:color w:val="auto"/>
                <w:spacing w:val="0"/>
                <w:kern w:val="2"/>
                <w:szCs w:val="24"/>
              </w:rPr>
              <w:t>1、废气污染物防治措施</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项目运营过程中产生的废气主要为垃圾装卸及压缩过程中产生的硫化氢、氨等。项目采取植物除臭剂对产生的恶臭气体进行抑制。</w:t>
            </w:r>
          </w:p>
          <w:p>
            <w:pPr>
              <w:pStyle w:val="2"/>
              <w:spacing w:line="360" w:lineRule="auto"/>
              <w:rPr>
                <w:rFonts w:ascii="Times New Roman" w:hAnsi="Times New Roman" w:eastAsia="宋体"/>
                <w:color w:val="auto"/>
                <w:spacing w:val="0"/>
                <w:kern w:val="2"/>
                <w:szCs w:val="24"/>
                <w:highlight w:val="yellow"/>
              </w:rPr>
            </w:pPr>
            <w:r>
              <w:rPr>
                <w:rFonts w:hint="eastAsia" w:ascii="Times New Roman" w:hAnsi="Times New Roman" w:eastAsia="宋体"/>
                <w:color w:val="auto"/>
                <w:spacing w:val="0"/>
                <w:kern w:val="2"/>
                <w:szCs w:val="24"/>
                <w:highlight w:val="yellow"/>
              </w:rPr>
              <w:t>除臭系统喷洒工艺：</w:t>
            </w:r>
          </w:p>
          <w:p>
            <w:pPr>
              <w:pStyle w:val="2"/>
              <w:spacing w:line="360" w:lineRule="auto"/>
              <w:rPr>
                <w:rFonts w:ascii="Times New Roman" w:hAnsi="Times New Roman" w:eastAsia="宋体"/>
                <w:color w:val="auto"/>
                <w:spacing w:val="0"/>
                <w:kern w:val="2"/>
                <w:szCs w:val="24"/>
              </w:rPr>
            </w:pPr>
            <w:r>
              <w:rPr>
                <w:rFonts w:hint="eastAsia" w:ascii="Times New Roman" w:hAnsi="Times New Roman" w:eastAsia="宋体"/>
                <w:color w:val="auto"/>
                <w:spacing w:val="0"/>
                <w:kern w:val="2"/>
                <w:szCs w:val="24"/>
                <w:highlight w:val="yellow"/>
              </w:rPr>
              <w:t>将除臭液(按要求稀释配比好的除臭液，加压至所需压力(一般为 4-8mpa)，经耐高压管道系统通达特制的喷嘴雾化高速喷出，形成 1~10um的微细除臭粒子 污水处理除臭设备，充分与异味、臭味气体分子接触，再将其中的恶臭粒子加以捕捉，然后通过脱臭液的本身的功能促进有益菌生长，将污染物质分解、乳化，并促进氧化而达到长期稳定脱臭的目的。</w:t>
            </w:r>
          </w:p>
          <w:p>
            <w:pPr>
              <w:pStyle w:val="2"/>
              <w:spacing w:line="360" w:lineRule="auto"/>
              <w:rPr>
                <w:rFonts w:ascii="Times New Roman" w:hAnsi="Times New Roman" w:eastAsia="宋体"/>
                <w:color w:val="auto"/>
                <w:spacing w:val="0"/>
                <w:kern w:val="2"/>
                <w:szCs w:val="24"/>
              </w:rPr>
            </w:pPr>
            <w:r>
              <w:rPr>
                <w:rFonts w:hint="eastAsia" w:ascii="Times New Roman" w:hAnsi="Times New Roman" w:eastAsia="宋体"/>
                <w:color w:val="auto"/>
                <w:spacing w:val="0"/>
                <w:kern w:val="2"/>
                <w:szCs w:val="24"/>
              </w:rPr>
              <w:t>反应原理</w:t>
            </w:r>
            <w:r>
              <w:rPr>
                <w:rFonts w:ascii="Times New Roman" w:hAnsi="Times New Roman" w:eastAsia="宋体"/>
                <w:color w:val="auto"/>
                <w:spacing w:val="0"/>
                <w:kern w:val="2"/>
                <w:szCs w:val="24"/>
              </w:rPr>
              <w:t>：</w:t>
            </w:r>
          </w:p>
          <w:p>
            <w:pPr>
              <w:spacing w:line="360" w:lineRule="auto"/>
              <w:ind w:firstLine="480" w:firstLineChars="200"/>
              <w:rPr>
                <w:rFonts w:ascii="Times New Roman" w:hAnsi="Times New Roman"/>
                <w:color w:val="auto"/>
                <w:sz w:val="24"/>
              </w:rPr>
            </w:pPr>
            <w:r>
              <w:rPr>
                <w:rFonts w:ascii="Times New Roman" w:hAnsi="Times New Roman"/>
                <w:color w:val="auto"/>
                <w:sz w:val="24"/>
              </w:rPr>
              <w:t>天然植物除臭剂是萃取多重可食用植物的花、茎、根、叶中萃取汁液，经专业的配方和工艺制程。</w:t>
            </w:r>
          </w:p>
          <w:p>
            <w:pPr>
              <w:spacing w:line="360" w:lineRule="auto"/>
              <w:ind w:firstLine="480" w:firstLineChars="200"/>
              <w:rPr>
                <w:rFonts w:ascii="Times New Roman" w:hAnsi="Times New Roman"/>
                <w:color w:val="auto"/>
                <w:sz w:val="24"/>
              </w:rPr>
            </w:pPr>
            <w:r>
              <w:rPr>
                <w:rFonts w:ascii="Times New Roman" w:hAnsi="Times New Roman"/>
                <w:color w:val="auto"/>
                <w:sz w:val="24"/>
              </w:rPr>
              <w:t>通过与臭气因子发生酯化、氧化、置换、分解等反应来清除异味。植物提取液与异味分子的反应原理：</w:t>
            </w:r>
          </w:p>
          <w:p>
            <w:pPr>
              <w:pStyle w:val="2"/>
              <w:spacing w:line="360" w:lineRule="auto"/>
              <w:rPr>
                <w:rFonts w:ascii="Times New Roman" w:hAnsi="Times New Roman" w:eastAsia="宋体"/>
                <w:color w:val="auto"/>
              </w:rPr>
            </w:pPr>
            <w:r>
              <w:rPr>
                <w:rFonts w:ascii="Times New Roman" w:hAnsi="Times New Roman" w:eastAsia="宋体"/>
                <w:color w:val="auto"/>
              </w:rPr>
              <w:t>A、酸碱反应：植物提取液中含有生物碱可以与硫化氢、氨等臭气分子反应；与一般酸碱反应不同的是，一般的碱是有毒的，不可还是用，不能生物降解。而植物液是能生物降解，无毒。</w:t>
            </w:r>
          </w:p>
          <w:p>
            <w:pPr>
              <w:spacing w:line="360" w:lineRule="auto"/>
              <w:ind w:firstLine="512" w:firstLineChars="200"/>
              <w:rPr>
                <w:rFonts w:ascii="Times New Roman" w:hAnsi="Times New Roman"/>
                <w:color w:val="auto"/>
                <w:spacing w:val="8"/>
                <w:kern w:val="24"/>
                <w:sz w:val="24"/>
                <w:szCs w:val="20"/>
              </w:rPr>
            </w:pPr>
            <w:r>
              <w:rPr>
                <w:rFonts w:ascii="Times New Roman" w:hAnsi="Times New Roman"/>
                <w:color w:val="auto"/>
                <w:spacing w:val="8"/>
                <w:kern w:val="24"/>
                <w:sz w:val="24"/>
                <w:szCs w:val="20"/>
              </w:rPr>
              <w:t>B、催化氧化反应：一般情况下硫化氢不能与空气中的氧进行氧化反应，但在植物提取液所含有效成分的催化作用下，硫化氢则可与空气中的氧发生反应：</w:t>
            </w:r>
          </w:p>
          <w:p>
            <w:pPr>
              <w:pStyle w:val="2"/>
              <w:spacing w:line="360" w:lineRule="auto"/>
              <w:rPr>
                <w:rFonts w:ascii="Times New Roman" w:hAnsi="Times New Roman" w:eastAsia="宋体"/>
                <w:color w:val="auto"/>
              </w:rPr>
            </w:pPr>
            <w:r>
              <w:rPr>
                <w:rFonts w:ascii="Times New Roman" w:hAnsi="Times New Roman" w:eastAsia="宋体"/>
                <w:color w:val="auto"/>
              </w:rPr>
              <w:t>R-NH</w:t>
            </w:r>
            <w:r>
              <w:rPr>
                <w:rFonts w:ascii="Times New Roman" w:hAnsi="Times New Roman" w:eastAsia="宋体"/>
                <w:color w:val="auto"/>
                <w:vertAlign w:val="subscript"/>
              </w:rPr>
              <w:t>2</w:t>
            </w:r>
            <w:r>
              <w:rPr>
                <w:rFonts w:ascii="Times New Roman" w:hAnsi="Times New Roman" w:eastAsia="宋体"/>
                <w:color w:val="auto"/>
              </w:rPr>
              <w:t>+H</w:t>
            </w:r>
            <w:r>
              <w:rPr>
                <w:rFonts w:ascii="Times New Roman" w:hAnsi="Times New Roman" w:eastAsia="宋体"/>
                <w:color w:val="auto"/>
                <w:vertAlign w:val="subscript"/>
              </w:rPr>
              <w:t>2</w:t>
            </w:r>
            <w:r>
              <w:rPr>
                <w:rFonts w:ascii="Times New Roman" w:hAnsi="Times New Roman" w:eastAsia="宋体"/>
                <w:color w:val="auto"/>
              </w:rPr>
              <w:t>S→R-NH</w:t>
            </w:r>
            <w:r>
              <w:rPr>
                <w:rFonts w:ascii="Times New Roman" w:hAnsi="Times New Roman" w:eastAsia="宋体"/>
                <w:color w:val="auto"/>
                <w:vertAlign w:val="subscript"/>
              </w:rPr>
              <w:t>3</w:t>
            </w:r>
            <w:r>
              <w:rPr>
                <w:rFonts w:ascii="Times New Roman" w:hAnsi="Times New Roman" w:eastAsia="宋体"/>
                <w:color w:val="auto"/>
                <w:vertAlign w:val="superscript"/>
              </w:rPr>
              <w:t>+</w:t>
            </w:r>
            <w:r>
              <w:rPr>
                <w:rFonts w:ascii="Times New Roman" w:hAnsi="Times New Roman" w:eastAsia="宋体"/>
                <w:color w:val="auto"/>
              </w:rPr>
              <w:t>+SH</w:t>
            </w:r>
            <w:r>
              <w:rPr>
                <w:rFonts w:ascii="Times New Roman" w:hAnsi="Times New Roman" w:eastAsia="宋体"/>
                <w:color w:val="auto"/>
                <w:vertAlign w:val="superscript"/>
              </w:rPr>
              <w:t>-</w:t>
            </w:r>
          </w:p>
          <w:p>
            <w:pPr>
              <w:spacing w:line="360" w:lineRule="auto"/>
              <w:ind w:firstLine="480" w:firstLineChars="200"/>
              <w:rPr>
                <w:rFonts w:ascii="Times New Roman" w:hAnsi="Times New Roman"/>
                <w:color w:val="auto"/>
                <w:sz w:val="24"/>
              </w:rPr>
            </w:pPr>
            <w:r>
              <w:rPr>
                <w:rFonts w:ascii="Times New Roman" w:hAnsi="Times New Roman"/>
                <w:color w:val="auto"/>
                <w:sz w:val="24"/>
              </w:rPr>
              <w:t>R-NH</w:t>
            </w:r>
            <w:r>
              <w:rPr>
                <w:rFonts w:ascii="Times New Roman" w:hAnsi="Times New Roman"/>
                <w:color w:val="auto"/>
                <w:sz w:val="24"/>
                <w:vertAlign w:val="subscript"/>
              </w:rPr>
              <w:t>2</w:t>
            </w:r>
            <w:r>
              <w:rPr>
                <w:rFonts w:ascii="Times New Roman" w:hAnsi="Times New Roman"/>
                <w:color w:val="auto"/>
                <w:sz w:val="24"/>
              </w:rPr>
              <w:t>+SH</w:t>
            </w:r>
            <w:r>
              <w:rPr>
                <w:rFonts w:ascii="Times New Roman" w:hAnsi="Times New Roman"/>
                <w:color w:val="auto"/>
                <w:sz w:val="24"/>
                <w:vertAlign w:val="superscript"/>
              </w:rPr>
              <w:t>-</w:t>
            </w:r>
            <w:r>
              <w:rPr>
                <w:rFonts w:ascii="Times New Roman" w:hAnsi="Times New Roman"/>
                <w:color w:val="auto"/>
                <w:sz w:val="24"/>
              </w:rPr>
              <w:t>+O</w:t>
            </w:r>
            <w:r>
              <w:rPr>
                <w:rFonts w:ascii="Times New Roman" w:hAnsi="Times New Roman"/>
                <w:color w:val="auto"/>
                <w:sz w:val="24"/>
                <w:vertAlign w:val="subscript"/>
              </w:rPr>
              <w:t>2</w:t>
            </w:r>
            <w:r>
              <w:rPr>
                <w:rFonts w:ascii="Times New Roman" w:hAnsi="Times New Roman"/>
                <w:color w:val="auto"/>
                <w:sz w:val="24"/>
              </w:rPr>
              <w:t>+H</w:t>
            </w:r>
            <w:r>
              <w:rPr>
                <w:rFonts w:ascii="Times New Roman" w:hAnsi="Times New Roman"/>
                <w:color w:val="auto"/>
                <w:sz w:val="24"/>
                <w:vertAlign w:val="subscript"/>
              </w:rPr>
              <w:t>2</w:t>
            </w:r>
            <w:r>
              <w:rPr>
                <w:rFonts w:ascii="Times New Roman" w:hAnsi="Times New Roman"/>
                <w:color w:val="auto"/>
                <w:sz w:val="24"/>
              </w:rPr>
              <w:t>O→R-NH</w:t>
            </w:r>
            <w:r>
              <w:rPr>
                <w:rFonts w:ascii="Times New Roman" w:hAnsi="Times New Roman"/>
                <w:color w:val="auto"/>
                <w:sz w:val="24"/>
                <w:vertAlign w:val="subscript"/>
              </w:rPr>
              <w:t>3</w:t>
            </w:r>
            <w:r>
              <w:rPr>
                <w:rFonts w:ascii="Times New Roman" w:hAnsi="Times New Roman"/>
                <w:color w:val="auto"/>
                <w:sz w:val="24"/>
                <w:vertAlign w:val="superscript"/>
              </w:rPr>
              <w:t>+</w:t>
            </w:r>
            <w:r>
              <w:rPr>
                <w:rFonts w:ascii="Times New Roman" w:hAnsi="Times New Roman"/>
                <w:color w:val="auto"/>
                <w:sz w:val="24"/>
              </w:rPr>
              <w:t>+SO4</w:t>
            </w:r>
            <w:r>
              <w:rPr>
                <w:rFonts w:ascii="Times New Roman" w:hAnsi="Times New Roman"/>
                <w:color w:val="auto"/>
                <w:sz w:val="24"/>
                <w:vertAlign w:val="superscript"/>
              </w:rPr>
              <w:t>2-</w:t>
            </w:r>
            <w:r>
              <w:rPr>
                <w:rFonts w:ascii="Times New Roman" w:hAnsi="Times New Roman"/>
                <w:color w:val="auto"/>
                <w:sz w:val="24"/>
              </w:rPr>
              <w:t>+OH</w:t>
            </w:r>
            <w:r>
              <w:rPr>
                <w:rFonts w:ascii="Times New Roman" w:hAnsi="Times New Roman"/>
                <w:color w:val="auto"/>
                <w:sz w:val="24"/>
                <w:vertAlign w:val="superscript"/>
              </w:rPr>
              <w:t>-</w:t>
            </w:r>
          </w:p>
          <w:p>
            <w:pPr>
              <w:pStyle w:val="2"/>
              <w:spacing w:line="360" w:lineRule="auto"/>
              <w:rPr>
                <w:rFonts w:ascii="Times New Roman" w:hAnsi="Times New Roman"/>
                <w:color w:val="auto"/>
                <w:szCs w:val="24"/>
              </w:rPr>
            </w:pPr>
            <w:r>
              <w:rPr>
                <w:rFonts w:ascii="Times New Roman" w:hAnsi="Times New Roman" w:eastAsia="宋体"/>
                <w:color w:val="auto"/>
                <w:szCs w:val="24"/>
              </w:rPr>
              <w:t>R-NH</w:t>
            </w:r>
            <w:r>
              <w:rPr>
                <w:rFonts w:ascii="Times New Roman" w:hAnsi="Times New Roman" w:eastAsia="宋体"/>
                <w:color w:val="auto"/>
                <w:szCs w:val="24"/>
                <w:vertAlign w:val="subscript"/>
              </w:rPr>
              <w:t>3</w:t>
            </w:r>
            <w:r>
              <w:rPr>
                <w:rFonts w:ascii="Times New Roman" w:hAnsi="Times New Roman" w:eastAsia="宋体"/>
                <w:color w:val="auto"/>
                <w:szCs w:val="24"/>
                <w:vertAlign w:val="superscript"/>
              </w:rPr>
              <w:t>+</w:t>
            </w:r>
            <w:r>
              <w:rPr>
                <w:rFonts w:ascii="Times New Roman" w:hAnsi="Times New Roman" w:eastAsia="宋体"/>
                <w:color w:val="auto"/>
                <w:spacing w:val="0"/>
                <w:kern w:val="2"/>
                <w:szCs w:val="24"/>
              </w:rPr>
              <w:t>+</w:t>
            </w:r>
            <w:r>
              <w:rPr>
                <w:rFonts w:ascii="Times New Roman" w:hAnsi="Times New Roman"/>
                <w:color w:val="auto"/>
                <w:szCs w:val="24"/>
              </w:rPr>
              <w:t xml:space="preserve"> OH</w:t>
            </w:r>
            <w:r>
              <w:rPr>
                <w:rFonts w:ascii="Times New Roman" w:hAnsi="Times New Roman"/>
                <w:color w:val="auto"/>
                <w:szCs w:val="24"/>
                <w:vertAlign w:val="superscript"/>
              </w:rPr>
              <w:t>-</w:t>
            </w:r>
            <w:r>
              <w:rPr>
                <w:rFonts w:ascii="Times New Roman" w:hAnsi="Times New Roman" w:eastAsia="宋体"/>
                <w:color w:val="auto"/>
                <w:szCs w:val="24"/>
              </w:rPr>
              <w:t>→</w:t>
            </w:r>
            <w:r>
              <w:rPr>
                <w:rFonts w:ascii="Times New Roman" w:hAnsi="Times New Roman"/>
                <w:color w:val="auto"/>
                <w:szCs w:val="24"/>
              </w:rPr>
              <w:t>R-NH</w:t>
            </w:r>
            <w:r>
              <w:rPr>
                <w:rFonts w:ascii="Times New Roman" w:hAnsi="Times New Roman"/>
                <w:color w:val="auto"/>
                <w:szCs w:val="24"/>
                <w:vertAlign w:val="subscript"/>
              </w:rPr>
              <w:t>2</w:t>
            </w:r>
            <w:r>
              <w:rPr>
                <w:rFonts w:ascii="Times New Roman" w:hAnsi="Times New Roman"/>
                <w:color w:val="auto"/>
                <w:szCs w:val="24"/>
              </w:rPr>
              <w:t>+H</w:t>
            </w:r>
            <w:r>
              <w:rPr>
                <w:rFonts w:ascii="Times New Roman" w:hAnsi="Times New Roman"/>
                <w:color w:val="auto"/>
                <w:szCs w:val="24"/>
                <w:vertAlign w:val="subscript"/>
              </w:rPr>
              <w:t>2</w:t>
            </w:r>
            <w:r>
              <w:rPr>
                <w:rFonts w:ascii="Times New Roman" w:hAnsi="Times New Roman"/>
                <w:color w:val="auto"/>
                <w:szCs w:val="24"/>
              </w:rPr>
              <w:t>O</w:t>
            </w:r>
          </w:p>
          <w:p>
            <w:pPr>
              <w:spacing w:line="360" w:lineRule="auto"/>
              <w:ind w:firstLine="480" w:firstLineChars="200"/>
              <w:rPr>
                <w:rFonts w:ascii="Times New Roman" w:hAnsi="Times New Roman"/>
                <w:color w:val="auto"/>
                <w:sz w:val="24"/>
              </w:rPr>
            </w:pPr>
            <w:r>
              <w:rPr>
                <w:rFonts w:ascii="Times New Roman" w:hAnsi="Times New Roman"/>
                <w:color w:val="auto"/>
                <w:sz w:val="24"/>
              </w:rPr>
              <w:t>式中R-NH</w:t>
            </w:r>
            <w:r>
              <w:rPr>
                <w:rFonts w:ascii="Times New Roman" w:hAnsi="Times New Roman"/>
                <w:color w:val="auto"/>
                <w:sz w:val="24"/>
                <w:vertAlign w:val="subscript"/>
              </w:rPr>
              <w:t>2</w:t>
            </w:r>
            <w:r>
              <w:rPr>
                <w:rFonts w:ascii="Times New Roman" w:hAnsi="Times New Roman"/>
                <w:color w:val="auto"/>
                <w:sz w:val="24"/>
              </w:rPr>
              <w:t>表示植物液中的有效分子</w:t>
            </w:r>
          </w:p>
          <w:p>
            <w:pPr>
              <w:pStyle w:val="2"/>
              <w:spacing w:line="360" w:lineRule="auto"/>
              <w:rPr>
                <w:rFonts w:ascii="Times New Roman" w:hAnsi="Times New Roman" w:eastAsia="宋体"/>
                <w:color w:val="auto"/>
              </w:rPr>
            </w:pPr>
            <w:r>
              <w:rPr>
                <w:rFonts w:ascii="Times New Roman" w:hAnsi="Times New Roman" w:eastAsia="宋体"/>
                <w:color w:val="auto"/>
              </w:rPr>
              <w:t>又如，硫醇在空气中的反应：</w:t>
            </w:r>
          </w:p>
          <w:p>
            <w:pPr>
              <w:spacing w:line="360" w:lineRule="auto"/>
              <w:ind w:firstLine="480" w:firstLineChars="200"/>
              <w:rPr>
                <w:rFonts w:ascii="Times New Roman" w:hAnsi="Times New Roman"/>
                <w:color w:val="auto"/>
                <w:sz w:val="24"/>
              </w:rPr>
            </w:pPr>
            <w:r>
              <w:rPr>
                <w:rFonts w:ascii="Times New Roman" w:hAnsi="Times New Roman"/>
                <w:color w:val="auto"/>
                <w:sz w:val="24"/>
              </w:rPr>
              <w:t>（空气）+O</w:t>
            </w:r>
            <w:r>
              <w:rPr>
                <w:rFonts w:ascii="Times New Roman" w:hAnsi="Times New Roman"/>
                <w:color w:val="auto"/>
                <w:sz w:val="24"/>
                <w:vertAlign w:val="subscript"/>
              </w:rPr>
              <w:t>2</w:t>
            </w:r>
            <w:r>
              <w:rPr>
                <w:rFonts w:ascii="Times New Roman" w:hAnsi="Times New Roman"/>
                <w:color w:val="auto"/>
                <w:sz w:val="24"/>
              </w:rPr>
              <w:t>→R-SS-R（慢）</w:t>
            </w:r>
          </w:p>
          <w:p>
            <w:pPr>
              <w:pStyle w:val="2"/>
              <w:spacing w:line="360" w:lineRule="auto"/>
              <w:rPr>
                <w:rFonts w:ascii="Times New Roman" w:hAnsi="Times New Roman" w:eastAsia="宋体"/>
                <w:color w:val="auto"/>
              </w:rPr>
            </w:pPr>
            <w:r>
              <w:rPr>
                <w:rFonts w:ascii="Times New Roman" w:hAnsi="Times New Roman" w:eastAsia="宋体"/>
                <w:color w:val="auto"/>
              </w:rPr>
              <w:t>R-SH（ecoIord-0110）+O</w:t>
            </w:r>
            <w:r>
              <w:rPr>
                <w:rFonts w:ascii="Times New Roman" w:hAnsi="Times New Roman" w:eastAsia="宋体"/>
                <w:color w:val="auto"/>
                <w:vertAlign w:val="subscript"/>
              </w:rPr>
              <w:t>2</w:t>
            </w:r>
            <w:r>
              <w:rPr>
                <w:rFonts w:ascii="Times New Roman" w:hAnsi="Times New Roman" w:eastAsia="宋体"/>
                <w:color w:val="auto"/>
                <w:szCs w:val="24"/>
              </w:rPr>
              <w:t>→</w:t>
            </w:r>
            <w:r>
              <w:rPr>
                <w:rFonts w:ascii="Times New Roman" w:hAnsi="Times New Roman"/>
                <w:color w:val="auto"/>
              </w:rPr>
              <w:t>R-SS-R（快）</w:t>
            </w:r>
          </w:p>
          <w:p>
            <w:pPr>
              <w:pStyle w:val="2"/>
              <w:spacing w:line="360" w:lineRule="auto"/>
              <w:rPr>
                <w:rFonts w:ascii="Times New Roman" w:hAnsi="Times New Roman" w:eastAsia="宋体"/>
                <w:color w:val="auto"/>
                <w:spacing w:val="0"/>
                <w:kern w:val="2"/>
                <w:szCs w:val="24"/>
              </w:rPr>
            </w:pPr>
            <w:r>
              <w:rPr>
                <w:rFonts w:ascii="Times New Roman" w:hAnsi="Times New Roman" w:eastAsia="宋体"/>
                <w:color w:val="auto"/>
                <w:spacing w:val="0"/>
                <w:kern w:val="2"/>
                <w:szCs w:val="24"/>
              </w:rPr>
              <w:t>C、氧化还原反应：甲醛具有氧化性，在</w:t>
            </w:r>
            <w:r>
              <w:rPr>
                <w:rFonts w:ascii="Times New Roman" w:hAnsi="Times New Roman" w:eastAsia="宋体"/>
                <w:color w:val="auto"/>
              </w:rPr>
              <w:t>ecoIord-0110中的有效分子具有还原性。甲醛与氨的反应：</w:t>
            </w:r>
          </w:p>
          <w:p>
            <w:pPr>
              <w:pStyle w:val="2"/>
              <w:spacing w:line="360" w:lineRule="auto"/>
              <w:rPr>
                <w:rFonts w:ascii="Times New Roman" w:hAnsi="Times New Roman" w:eastAsia="宋体"/>
                <w:color w:val="auto"/>
                <w:spacing w:val="0"/>
                <w:kern w:val="2"/>
                <w:szCs w:val="24"/>
              </w:rPr>
            </w:pPr>
            <w:r>
              <w:rPr>
                <w:rFonts w:ascii="Times New Roman" w:hAnsi="Times New Roman"/>
                <w:color w:val="auto"/>
                <w:szCs w:val="24"/>
              </w:rPr>
              <w:t>R-NH</w:t>
            </w:r>
            <w:r>
              <w:rPr>
                <w:rFonts w:ascii="Times New Roman" w:hAnsi="Times New Roman"/>
                <w:color w:val="auto"/>
                <w:szCs w:val="24"/>
                <w:vertAlign w:val="subscript"/>
              </w:rPr>
              <w:t>2</w:t>
            </w:r>
            <w:r>
              <w:rPr>
                <w:rFonts w:ascii="Times New Roman" w:hAnsi="Times New Roman" w:eastAsia="宋体"/>
                <w:color w:val="auto"/>
                <w:spacing w:val="0"/>
                <w:kern w:val="2"/>
                <w:szCs w:val="24"/>
              </w:rPr>
              <w:t>+HClO</w:t>
            </w:r>
            <w:r>
              <w:rPr>
                <w:rFonts w:ascii="Times New Roman" w:hAnsi="Times New Roman" w:eastAsia="宋体"/>
                <w:color w:val="auto"/>
                <w:szCs w:val="24"/>
              </w:rPr>
              <w:t>→</w:t>
            </w:r>
            <w:r>
              <w:rPr>
                <w:rFonts w:ascii="Times New Roman" w:hAnsi="Times New Roman"/>
                <w:color w:val="auto"/>
                <w:szCs w:val="24"/>
              </w:rPr>
              <w:t>R-NH</w:t>
            </w:r>
            <w:r>
              <w:rPr>
                <w:rFonts w:ascii="Times New Roman" w:hAnsi="Times New Roman"/>
                <w:color w:val="auto"/>
                <w:szCs w:val="24"/>
                <w:vertAlign w:val="subscript"/>
              </w:rPr>
              <w:t>2</w:t>
            </w:r>
            <w:r>
              <w:rPr>
                <w:rFonts w:ascii="Times New Roman" w:hAnsi="Times New Roman" w:eastAsia="宋体"/>
                <w:color w:val="auto"/>
                <w:szCs w:val="24"/>
              </w:rPr>
              <w:t>+H-C=O→CO</w:t>
            </w:r>
            <w:r>
              <w:rPr>
                <w:rFonts w:ascii="Times New Roman" w:hAnsi="Times New Roman" w:eastAsia="宋体"/>
                <w:color w:val="auto"/>
                <w:szCs w:val="24"/>
                <w:vertAlign w:val="subscript"/>
              </w:rPr>
              <w:t>2</w:t>
            </w:r>
            <w:r>
              <w:rPr>
                <w:rFonts w:ascii="Times New Roman" w:hAnsi="Times New Roman" w:eastAsia="宋体"/>
                <w:color w:val="auto"/>
                <w:szCs w:val="24"/>
              </w:rPr>
              <w:t>+H</w:t>
            </w:r>
            <w:r>
              <w:rPr>
                <w:rFonts w:ascii="Times New Roman" w:hAnsi="Times New Roman" w:eastAsia="宋体"/>
                <w:color w:val="auto"/>
                <w:szCs w:val="24"/>
                <w:vertAlign w:val="subscript"/>
              </w:rPr>
              <w:t>2</w:t>
            </w:r>
            <w:r>
              <w:rPr>
                <w:rFonts w:ascii="Times New Roman" w:hAnsi="Times New Roman" w:eastAsia="宋体"/>
                <w:color w:val="auto"/>
                <w:szCs w:val="24"/>
              </w:rPr>
              <w:t>O</w:t>
            </w:r>
          </w:p>
          <w:p>
            <w:pPr>
              <w:pStyle w:val="2"/>
              <w:spacing w:line="360" w:lineRule="auto"/>
              <w:rPr>
                <w:rFonts w:ascii="Times New Roman" w:hAnsi="Times New Roman" w:eastAsia="宋体"/>
                <w:color w:val="auto"/>
                <w:spacing w:val="0"/>
                <w:kern w:val="2"/>
                <w:szCs w:val="24"/>
              </w:rPr>
            </w:pPr>
            <w:r>
              <w:rPr>
                <w:rFonts w:ascii="Times New Roman" w:hAnsi="Times New Roman" w:eastAsia="宋体"/>
                <w:color w:val="auto"/>
                <w:spacing w:val="0"/>
                <w:kern w:val="2"/>
                <w:szCs w:val="24"/>
              </w:rPr>
              <w:t>R-NH</w:t>
            </w:r>
            <w:r>
              <w:rPr>
                <w:rFonts w:ascii="Times New Roman" w:hAnsi="Times New Roman" w:eastAsia="宋体"/>
                <w:color w:val="auto"/>
                <w:spacing w:val="0"/>
                <w:kern w:val="2"/>
                <w:szCs w:val="24"/>
                <w:vertAlign w:val="subscript"/>
              </w:rPr>
              <w:t>2</w:t>
            </w:r>
            <w:r>
              <w:rPr>
                <w:rFonts w:ascii="Times New Roman" w:hAnsi="Times New Roman" w:eastAsia="宋体"/>
                <w:color w:val="auto"/>
                <w:spacing w:val="0"/>
                <w:kern w:val="2"/>
                <w:szCs w:val="24"/>
              </w:rPr>
              <w:t>+NH</w:t>
            </w:r>
            <w:r>
              <w:rPr>
                <w:rFonts w:ascii="Times New Roman" w:hAnsi="Times New Roman" w:eastAsia="宋体"/>
                <w:color w:val="auto"/>
                <w:spacing w:val="0"/>
                <w:kern w:val="2"/>
                <w:szCs w:val="24"/>
                <w:vertAlign w:val="subscript"/>
              </w:rPr>
              <w:t>3</w:t>
            </w:r>
            <w:r>
              <w:rPr>
                <w:rFonts w:ascii="Times New Roman" w:hAnsi="Times New Roman" w:eastAsia="宋体"/>
                <w:color w:val="auto"/>
                <w:szCs w:val="24"/>
              </w:rPr>
              <w:t>→R-NH</w:t>
            </w:r>
            <w:r>
              <w:rPr>
                <w:rFonts w:ascii="Times New Roman" w:hAnsi="Times New Roman" w:eastAsia="宋体"/>
                <w:color w:val="auto"/>
                <w:szCs w:val="24"/>
                <w:vertAlign w:val="subscript"/>
              </w:rPr>
              <w:t>2</w:t>
            </w:r>
            <w:r>
              <w:rPr>
                <w:rFonts w:ascii="Times New Roman" w:hAnsi="Times New Roman" w:eastAsia="宋体"/>
                <w:color w:val="auto"/>
                <w:szCs w:val="24"/>
              </w:rPr>
              <w:t>+N</w:t>
            </w:r>
            <w:r>
              <w:rPr>
                <w:rFonts w:ascii="Times New Roman" w:hAnsi="Times New Roman" w:eastAsia="宋体"/>
                <w:color w:val="auto"/>
                <w:szCs w:val="24"/>
                <w:vertAlign w:val="superscript"/>
              </w:rPr>
              <w:t>2</w:t>
            </w:r>
            <w:r>
              <w:rPr>
                <w:rFonts w:ascii="Times New Roman" w:hAnsi="Times New Roman" w:eastAsia="宋体"/>
                <w:color w:val="auto"/>
                <w:szCs w:val="24"/>
              </w:rPr>
              <w:t>+H</w:t>
            </w:r>
            <w:r>
              <w:rPr>
                <w:rFonts w:ascii="Times New Roman" w:hAnsi="Times New Roman" w:eastAsia="宋体"/>
                <w:color w:val="auto"/>
                <w:szCs w:val="24"/>
                <w:vertAlign w:val="subscript"/>
              </w:rPr>
              <w:t>2</w:t>
            </w:r>
            <w:r>
              <w:rPr>
                <w:rFonts w:ascii="Times New Roman" w:hAnsi="Times New Roman" w:eastAsia="宋体"/>
                <w:color w:val="auto"/>
                <w:szCs w:val="24"/>
              </w:rPr>
              <w:t>O</w:t>
            </w:r>
          </w:p>
          <w:p>
            <w:pPr>
              <w:pStyle w:val="2"/>
              <w:spacing w:line="360" w:lineRule="auto"/>
              <w:rPr>
                <w:rFonts w:ascii="Times New Roman" w:hAnsi="Times New Roman"/>
                <w:color w:val="auto"/>
              </w:rPr>
            </w:pPr>
            <w:r>
              <w:rPr>
                <w:rFonts w:ascii="Times New Roman" w:hAnsi="Times New Roman" w:eastAsia="宋体"/>
                <w:color w:val="auto"/>
                <w:spacing w:val="0"/>
                <w:kern w:val="2"/>
                <w:szCs w:val="24"/>
              </w:rPr>
              <w:t>本项目对恶臭气体采取雾化喷洒除臭剂，对渗滤池加盖封闭，除臭剂其对NH</w:t>
            </w:r>
            <w:r>
              <w:rPr>
                <w:rFonts w:ascii="Times New Roman" w:hAnsi="Times New Roman" w:eastAsia="宋体"/>
                <w:color w:val="auto"/>
                <w:spacing w:val="0"/>
                <w:kern w:val="2"/>
                <w:szCs w:val="24"/>
                <w:vertAlign w:val="subscript"/>
              </w:rPr>
              <w:t>3</w:t>
            </w:r>
            <w:r>
              <w:rPr>
                <w:rFonts w:ascii="Times New Roman" w:hAnsi="Times New Roman" w:eastAsia="宋体"/>
                <w:color w:val="auto"/>
                <w:spacing w:val="0"/>
                <w:kern w:val="2"/>
                <w:szCs w:val="24"/>
              </w:rPr>
              <w:t>、H</w:t>
            </w:r>
            <w:r>
              <w:rPr>
                <w:rFonts w:ascii="Times New Roman" w:hAnsi="Times New Roman" w:eastAsia="宋体"/>
                <w:color w:val="auto"/>
                <w:spacing w:val="0"/>
                <w:kern w:val="2"/>
                <w:szCs w:val="24"/>
                <w:vertAlign w:val="subscript"/>
              </w:rPr>
              <w:t>2</w:t>
            </w:r>
            <w:r>
              <w:rPr>
                <w:rFonts w:ascii="Times New Roman" w:hAnsi="Times New Roman" w:eastAsia="宋体"/>
                <w:color w:val="auto"/>
                <w:spacing w:val="0"/>
                <w:kern w:val="2"/>
                <w:szCs w:val="24"/>
              </w:rPr>
              <w:t>S、臭气浓度的处理效率约50%，处理后的排放量分别为0.0015t/a、0.00015t/a，排放速率分别为0.001kg/h、0.0001kg/h。满足《恶臭污染排放浓度》（GB14554-1993）表1二级新改扩建标准限值。</w:t>
            </w:r>
            <w:r>
              <w:rPr>
                <w:rFonts w:hint="eastAsia" w:ascii="Times New Roman" w:hAnsi="Times New Roman" w:eastAsia="宋体"/>
                <w:color w:val="auto"/>
                <w:spacing w:val="0"/>
                <w:kern w:val="2"/>
                <w:szCs w:val="24"/>
              </w:rPr>
              <w:t>厂区四周设置绿化带，</w:t>
            </w:r>
            <w:r>
              <w:rPr>
                <w:rFonts w:ascii="Times New Roman" w:hAnsi="Times New Roman" w:eastAsia="宋体"/>
                <w:color w:val="auto"/>
                <w:spacing w:val="0"/>
                <w:kern w:val="2"/>
                <w:szCs w:val="24"/>
              </w:rPr>
              <w:t>项目废气采取以上治理措施后，对周围环境影响较小，采取的治理措施可行。</w:t>
            </w:r>
          </w:p>
          <w:p>
            <w:pPr>
              <w:pStyle w:val="2"/>
              <w:spacing w:line="360" w:lineRule="auto"/>
              <w:ind w:firstLine="482" w:firstLineChars="200"/>
              <w:jc w:val="left"/>
              <w:rPr>
                <w:rFonts w:ascii="Times New Roman" w:hAnsi="Times New Roman" w:eastAsia="宋体"/>
                <w:b/>
                <w:color w:val="auto"/>
                <w:spacing w:val="0"/>
                <w:kern w:val="2"/>
                <w:szCs w:val="24"/>
              </w:rPr>
            </w:pPr>
            <w:r>
              <w:rPr>
                <w:rFonts w:ascii="Times New Roman" w:hAnsi="Times New Roman" w:eastAsia="宋体"/>
                <w:b/>
                <w:color w:val="auto"/>
                <w:spacing w:val="0"/>
                <w:kern w:val="2"/>
                <w:szCs w:val="24"/>
              </w:rPr>
              <w:t>2、水污染防治措施</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本项目废水主要包括设备及地面冲洗废水、垃圾渗滤液、及生活污水。厂区西南角设旱厕1座，生活污水成份较为简单，可用于厂区泼洒抑尘</w:t>
            </w:r>
            <w:r>
              <w:rPr>
                <w:rFonts w:hint="eastAsia" w:ascii="Times New Roman" w:hAnsi="Times New Roman"/>
                <w:color w:val="auto"/>
                <w:sz w:val="24"/>
              </w:rPr>
              <w:t>，运营期沿用施工期的防渗旱厕</w:t>
            </w:r>
            <w:r>
              <w:rPr>
                <w:rFonts w:ascii="Times New Roman" w:hAnsi="Times New Roman"/>
                <w:color w:val="auto"/>
                <w:sz w:val="24"/>
              </w:rPr>
              <w:t>。厂区地面做硬化处理，设1座10m</w:t>
            </w:r>
            <w:r>
              <w:rPr>
                <w:rFonts w:ascii="Times New Roman" w:hAnsi="Times New Roman"/>
                <w:color w:val="auto"/>
                <w:sz w:val="24"/>
                <w:vertAlign w:val="superscript"/>
              </w:rPr>
              <w:t>3</w:t>
            </w:r>
            <w:r>
              <w:rPr>
                <w:rFonts w:ascii="Times New Roman" w:hAnsi="Times New Roman"/>
                <w:color w:val="auto"/>
                <w:sz w:val="24"/>
              </w:rPr>
              <w:t>的渗滤液暂存池，垃圾渗滤液全部进入渗滤液暂存池，运至庆阳圣元环保电力有限公司，环评要求渗滤池的防渗系数达到</w:t>
            </w:r>
            <w:r>
              <w:rPr>
                <w:rFonts w:hint="eastAsia" w:ascii="Times New Roman" w:hAnsi="Times New Roman"/>
                <w:color w:val="auto"/>
                <w:sz w:val="24"/>
              </w:rPr>
              <w:t>1.0×</w:t>
            </w:r>
            <w:r>
              <w:rPr>
                <w:rFonts w:ascii="Times New Roman" w:hAnsi="Times New Roman"/>
                <w:color w:val="auto"/>
                <w:sz w:val="24"/>
              </w:rPr>
              <w:t>≤10</w:t>
            </w:r>
            <w:r>
              <w:rPr>
                <w:rFonts w:ascii="Times New Roman" w:hAnsi="Times New Roman"/>
                <w:color w:val="auto"/>
                <w:sz w:val="24"/>
                <w:vertAlign w:val="superscript"/>
              </w:rPr>
              <w:t>-7</w:t>
            </w:r>
            <w:r>
              <w:rPr>
                <w:rFonts w:ascii="Times New Roman" w:hAnsi="Times New Roman"/>
                <w:color w:val="auto"/>
                <w:sz w:val="24"/>
              </w:rPr>
              <w:t>cm/s</w:t>
            </w:r>
            <w:r>
              <w:rPr>
                <w:rFonts w:hint="eastAsia" w:ascii="Times New Roman" w:hAnsi="Times New Roman"/>
                <w:color w:val="auto"/>
                <w:sz w:val="24"/>
              </w:rPr>
              <w:t>、厚度Mb≥1.0m</w:t>
            </w:r>
            <w:r>
              <w:rPr>
                <w:rFonts w:ascii="Times New Roman" w:hAnsi="Times New Roman"/>
                <w:color w:val="auto"/>
                <w:sz w:val="24"/>
              </w:rPr>
              <w:t>；设1座8m</w:t>
            </w:r>
            <w:r>
              <w:rPr>
                <w:rFonts w:ascii="Times New Roman" w:hAnsi="Times New Roman"/>
                <w:color w:val="auto"/>
                <w:sz w:val="24"/>
                <w:vertAlign w:val="superscript"/>
              </w:rPr>
              <w:t>3</w:t>
            </w:r>
            <w:r>
              <w:rPr>
                <w:rFonts w:ascii="Times New Roman" w:hAnsi="Times New Roman"/>
                <w:color w:val="auto"/>
                <w:sz w:val="24"/>
              </w:rPr>
              <w:t>的沉淀池</w:t>
            </w:r>
            <w:r>
              <w:rPr>
                <w:rFonts w:hint="eastAsia" w:ascii="Times New Roman" w:hAnsi="Times New Roman"/>
                <w:color w:val="auto"/>
                <w:sz w:val="24"/>
              </w:rPr>
              <w:t>，防渗系数达到1.0×10</w:t>
            </w:r>
            <w:r>
              <w:rPr>
                <w:rFonts w:hint="eastAsia" w:ascii="Times New Roman" w:hAnsi="Times New Roman"/>
                <w:color w:val="auto"/>
                <w:sz w:val="24"/>
                <w:vertAlign w:val="superscript"/>
              </w:rPr>
              <w:t>-10</w:t>
            </w:r>
            <w:r>
              <w:rPr>
                <w:rFonts w:hint="eastAsia" w:ascii="Times New Roman" w:hAnsi="Times New Roman"/>
                <w:color w:val="auto"/>
                <w:sz w:val="24"/>
              </w:rPr>
              <w:t>cm/s</w:t>
            </w:r>
            <w:r>
              <w:rPr>
                <w:rFonts w:ascii="Times New Roman" w:hAnsi="Times New Roman"/>
                <w:color w:val="auto"/>
                <w:sz w:val="24"/>
              </w:rPr>
              <w:t>，地面及设备冲洗废水进入沉淀池沉淀后用于厂区抑尘。环评要求转运时加强对渗滤液收集桶的防护措施，避免运输过程中发生泄露。</w:t>
            </w:r>
          </w:p>
          <w:p>
            <w:pPr>
              <w:spacing w:line="360" w:lineRule="auto"/>
              <w:ind w:firstLine="480" w:firstLineChars="200"/>
              <w:jc w:val="left"/>
              <w:rPr>
                <w:rFonts w:ascii="Times New Roman" w:hAnsi="Times New Roman"/>
                <w:color w:val="auto"/>
                <w:sz w:val="24"/>
              </w:rPr>
            </w:pPr>
            <w:r>
              <w:rPr>
                <w:rFonts w:ascii="Times New Roman" w:hAnsi="Times New Roman"/>
                <w:color w:val="auto"/>
                <w:sz w:val="24"/>
              </w:rPr>
              <w:t>生产废水的依托可行分析：</w:t>
            </w:r>
          </w:p>
          <w:p>
            <w:pPr>
              <w:pStyle w:val="2"/>
              <w:spacing w:line="360" w:lineRule="auto"/>
              <w:ind w:firstLine="480" w:firstLineChars="200"/>
              <w:jc w:val="left"/>
              <w:rPr>
                <w:rFonts w:ascii="Times New Roman" w:hAnsi="Times New Roman" w:eastAsia="宋体"/>
                <w:color w:val="auto"/>
                <w:spacing w:val="0"/>
                <w:kern w:val="2"/>
                <w:szCs w:val="24"/>
              </w:rPr>
            </w:pPr>
            <w:r>
              <w:rPr>
                <w:rFonts w:hint="eastAsia" w:ascii="Times New Roman" w:hAnsi="Times New Roman" w:eastAsia="宋体"/>
                <w:color w:val="auto"/>
                <w:spacing w:val="0"/>
                <w:kern w:val="2"/>
                <w:szCs w:val="24"/>
              </w:rPr>
              <w:t>渗滤液</w:t>
            </w:r>
            <w:r>
              <w:rPr>
                <w:rFonts w:ascii="Times New Roman" w:hAnsi="Times New Roman" w:eastAsia="宋体"/>
                <w:color w:val="auto"/>
                <w:spacing w:val="0"/>
                <w:kern w:val="2"/>
                <w:szCs w:val="24"/>
              </w:rPr>
              <w:t>由专用罐运至宁县污水处理厂，宁县污水处理厂的处理规模为5000m</w:t>
            </w:r>
            <w:r>
              <w:rPr>
                <w:rFonts w:ascii="Times New Roman" w:hAnsi="Times New Roman" w:eastAsia="宋体"/>
                <w:color w:val="auto"/>
                <w:spacing w:val="0"/>
                <w:kern w:val="2"/>
                <w:szCs w:val="24"/>
                <w:vertAlign w:val="superscript"/>
              </w:rPr>
              <w:t>3</w:t>
            </w:r>
            <w:r>
              <w:rPr>
                <w:rFonts w:ascii="Times New Roman" w:hAnsi="Times New Roman" w:eastAsia="宋体"/>
                <w:color w:val="auto"/>
                <w:spacing w:val="0"/>
                <w:kern w:val="2"/>
                <w:szCs w:val="24"/>
              </w:rPr>
              <w:t>/d，其处理的核心工艺为A</w:t>
            </w:r>
            <w:r>
              <w:rPr>
                <w:rFonts w:ascii="Times New Roman" w:hAnsi="Times New Roman" w:eastAsia="宋体"/>
                <w:color w:val="auto"/>
                <w:spacing w:val="0"/>
                <w:kern w:val="2"/>
                <w:szCs w:val="24"/>
                <w:vertAlign w:val="superscript"/>
              </w:rPr>
              <w:t>2</w:t>
            </w:r>
            <w:r>
              <w:rPr>
                <w:rFonts w:ascii="Times New Roman" w:hAnsi="Times New Roman" w:eastAsia="宋体"/>
                <w:color w:val="auto"/>
                <w:spacing w:val="0"/>
                <w:kern w:val="2"/>
                <w:szCs w:val="24"/>
              </w:rPr>
              <w:t>/O工艺</w:t>
            </w:r>
            <w:r>
              <w:rPr>
                <w:rFonts w:hint="eastAsia" w:ascii="Times New Roman" w:hAnsi="Times New Roman" w:eastAsia="宋体"/>
                <w:color w:val="auto"/>
                <w:spacing w:val="0"/>
                <w:kern w:val="2"/>
                <w:szCs w:val="24"/>
              </w:rPr>
              <w:t>，参考</w:t>
            </w:r>
            <w:r>
              <w:rPr>
                <w:rFonts w:ascii="Times New Roman" w:hAnsi="Times New Roman" w:eastAsia="宋体"/>
                <w:color w:val="auto"/>
                <w:spacing w:val="0"/>
                <w:kern w:val="2"/>
                <w:szCs w:val="24"/>
              </w:rPr>
              <w:t>《生活垃圾填埋场污染控制标准》（GB16889-2008）9.1.3（2）“城市二级污水处理厂每日处理生活垃圾渗滤液总量不超过污水处理量的0.5%，并不超过城市二级污水处理厂额定的污水处理能力”由工程分析可知，本项目的渗滤液在渗滤液暂存池中暂存，渗滤液产生量0.15t/d（54.75t/a），冲洗废水产生量0.16t/d（58.7t/a），</w:t>
            </w:r>
            <w:r>
              <w:rPr>
                <w:rFonts w:hint="eastAsia" w:ascii="Times New Roman" w:hAnsi="Times New Roman" w:eastAsia="宋体"/>
                <w:color w:val="auto"/>
                <w:spacing w:val="0"/>
                <w:kern w:val="2"/>
                <w:szCs w:val="24"/>
              </w:rPr>
              <w:t>渗滤液与冲洗废水的混合量为0.31t/d（112.55t/a），</w:t>
            </w:r>
            <w:r>
              <w:rPr>
                <w:rFonts w:ascii="Times New Roman" w:hAnsi="Times New Roman" w:eastAsia="宋体"/>
                <w:color w:val="auto"/>
                <w:spacing w:val="0"/>
                <w:kern w:val="2"/>
                <w:szCs w:val="24"/>
              </w:rPr>
              <w:t>渗滤</w:t>
            </w:r>
            <w:r>
              <w:rPr>
                <w:rFonts w:hint="eastAsia" w:ascii="Times New Roman" w:hAnsi="Times New Roman" w:eastAsia="宋体"/>
                <w:color w:val="auto"/>
                <w:spacing w:val="0"/>
                <w:kern w:val="2"/>
                <w:szCs w:val="24"/>
              </w:rPr>
              <w:t>混合</w:t>
            </w:r>
            <w:r>
              <w:rPr>
                <w:rFonts w:ascii="Times New Roman" w:hAnsi="Times New Roman" w:eastAsia="宋体"/>
                <w:color w:val="auto"/>
                <w:spacing w:val="0"/>
                <w:kern w:val="2"/>
                <w:szCs w:val="24"/>
              </w:rPr>
              <w:t>液7d运输一次，本项目参考《生活垃圾填埋场污染控制标准》（GB16889-2008），每次由宁县污水处理厂处理渗滤</w:t>
            </w:r>
            <w:r>
              <w:rPr>
                <w:rFonts w:hint="eastAsia" w:ascii="Times New Roman" w:hAnsi="Times New Roman" w:eastAsia="宋体"/>
                <w:color w:val="auto"/>
                <w:spacing w:val="0"/>
                <w:kern w:val="2"/>
                <w:szCs w:val="24"/>
              </w:rPr>
              <w:t>液</w:t>
            </w:r>
            <w:r>
              <w:rPr>
                <w:rFonts w:ascii="Times New Roman" w:hAnsi="Times New Roman" w:eastAsia="宋体"/>
                <w:color w:val="auto"/>
                <w:spacing w:val="0"/>
                <w:kern w:val="2"/>
                <w:szCs w:val="24"/>
              </w:rPr>
              <w:t>占</w:t>
            </w:r>
            <w:r>
              <w:rPr>
                <w:rFonts w:hint="eastAsia" w:ascii="Times New Roman" w:hAnsi="Times New Roman" w:eastAsia="宋体"/>
                <w:color w:val="auto"/>
                <w:spacing w:val="0"/>
                <w:kern w:val="2"/>
                <w:szCs w:val="24"/>
              </w:rPr>
              <w:t>其污水处理厂</w:t>
            </w:r>
            <w:r>
              <w:rPr>
                <w:rFonts w:ascii="Times New Roman" w:hAnsi="Times New Roman" w:eastAsia="宋体"/>
                <w:color w:val="auto"/>
                <w:spacing w:val="0"/>
                <w:kern w:val="2"/>
                <w:szCs w:val="24"/>
              </w:rPr>
              <w:t>处理量的0.</w:t>
            </w:r>
            <w:r>
              <w:rPr>
                <w:rFonts w:hint="eastAsia" w:ascii="Times New Roman" w:hAnsi="Times New Roman" w:eastAsia="宋体"/>
                <w:color w:val="auto"/>
                <w:spacing w:val="0"/>
                <w:kern w:val="2"/>
                <w:szCs w:val="24"/>
              </w:rPr>
              <w:t>0</w:t>
            </w:r>
            <w:r>
              <w:rPr>
                <w:rFonts w:ascii="Times New Roman" w:hAnsi="Times New Roman" w:eastAsia="宋体"/>
                <w:color w:val="auto"/>
                <w:spacing w:val="0"/>
                <w:kern w:val="2"/>
                <w:szCs w:val="24"/>
              </w:rPr>
              <w:t>4%，小于标准中的规定限值。宁县污水处理厂目前运行稳定，尚有余量可接受本项目渗滤液。</w:t>
            </w:r>
            <w:r>
              <w:rPr>
                <w:rFonts w:ascii="Times New Roman" w:hAnsi="Times New Roman" w:eastAsia="宋体"/>
                <w:color w:val="auto"/>
                <w:spacing w:val="0"/>
                <w:kern w:val="2"/>
                <w:szCs w:val="24"/>
                <w:highlight w:val="yellow"/>
              </w:rPr>
              <w:t>且建设单位已与宁县城市管理局签订接受渗滤液协议（见附件）</w:t>
            </w:r>
            <w:r>
              <w:rPr>
                <w:rFonts w:ascii="Times New Roman" w:hAnsi="Times New Roman" w:eastAsia="宋体"/>
                <w:color w:val="auto"/>
                <w:spacing w:val="0"/>
                <w:kern w:val="2"/>
                <w:szCs w:val="24"/>
              </w:rPr>
              <w:t>因此，生产废水的依托措施可行。</w:t>
            </w:r>
          </w:p>
          <w:p>
            <w:pPr>
              <w:spacing w:line="360" w:lineRule="auto"/>
              <w:ind w:firstLine="480" w:firstLineChars="200"/>
              <w:rPr>
                <w:color w:val="auto"/>
                <w:sz w:val="24"/>
              </w:rPr>
            </w:pPr>
            <w:r>
              <w:rPr>
                <w:rFonts w:hint="eastAsia"/>
                <w:color w:val="auto"/>
                <w:sz w:val="24"/>
                <w:highlight w:val="yellow"/>
              </w:rPr>
              <w:t>备注：因项目的渗滤液及冲洗废水定期运至宁县污水处理厂，建设单位需配备密封的转运设备，运输路线避开居民聚集处、道路出行高峰时期，建设单位承诺渗滤液不乱倒、乱</w:t>
            </w:r>
            <w:r>
              <w:rPr>
                <w:rFonts w:hint="eastAsia"/>
                <w:color w:val="auto"/>
                <w:sz w:val="24"/>
              </w:rPr>
              <w:t>排（</w:t>
            </w:r>
            <w:r>
              <w:rPr>
                <w:rFonts w:hint="eastAsia" w:ascii="Times New Roman" w:hAnsi="Times New Roman"/>
                <w:color w:val="auto"/>
                <w:sz w:val="24"/>
              </w:rPr>
              <w:t>承诺函见附件5</w:t>
            </w:r>
            <w:r>
              <w:rPr>
                <w:rFonts w:hint="eastAsia"/>
                <w:color w:val="auto"/>
                <w:sz w:val="24"/>
              </w:rPr>
              <w:t>）。</w:t>
            </w:r>
          </w:p>
          <w:p>
            <w:pPr>
              <w:pStyle w:val="2"/>
              <w:spacing w:line="360" w:lineRule="auto"/>
              <w:ind w:firstLine="482" w:firstLineChars="200"/>
              <w:jc w:val="left"/>
              <w:rPr>
                <w:rFonts w:ascii="Times New Roman" w:hAnsi="Times New Roman" w:eastAsia="宋体"/>
                <w:b/>
                <w:color w:val="auto"/>
                <w:spacing w:val="0"/>
                <w:kern w:val="2"/>
                <w:szCs w:val="24"/>
              </w:rPr>
            </w:pPr>
            <w:r>
              <w:rPr>
                <w:rFonts w:ascii="Times New Roman" w:hAnsi="Times New Roman" w:eastAsia="宋体"/>
                <w:b/>
                <w:color w:val="auto"/>
                <w:spacing w:val="0"/>
                <w:kern w:val="2"/>
                <w:szCs w:val="24"/>
              </w:rPr>
              <w:t>3、噪声防治措施</w:t>
            </w:r>
          </w:p>
          <w:p>
            <w:pPr>
              <w:autoSpaceDE w:val="0"/>
              <w:autoSpaceDN w:val="0"/>
              <w:adjustRightInd w:val="0"/>
              <w:spacing w:line="360" w:lineRule="auto"/>
              <w:ind w:firstLine="480" w:firstLineChars="200"/>
              <w:jc w:val="left"/>
              <w:rPr>
                <w:rFonts w:ascii="Times New Roman" w:hAnsi="Times New Roman"/>
                <w:bCs/>
                <w:snapToGrid w:val="0"/>
                <w:color w:val="auto"/>
                <w:kern w:val="0"/>
                <w:sz w:val="24"/>
              </w:rPr>
            </w:pPr>
            <w:r>
              <w:rPr>
                <w:rFonts w:ascii="Times New Roman" w:hAnsi="Times New Roman"/>
                <w:bCs/>
                <w:snapToGrid w:val="0"/>
                <w:color w:val="auto"/>
                <w:kern w:val="0"/>
                <w:sz w:val="24"/>
              </w:rPr>
              <w:t>为有效降低噪声排放强度，防止噪声超标排放对周边环境造成污染，实现噪声达标排放，拟采取的噪声污染防治措施如下：</w:t>
            </w:r>
          </w:p>
          <w:p>
            <w:pPr>
              <w:autoSpaceDE w:val="0"/>
              <w:autoSpaceDN w:val="0"/>
              <w:adjustRightInd w:val="0"/>
              <w:spacing w:line="360" w:lineRule="auto"/>
              <w:ind w:firstLine="482" w:firstLineChars="200"/>
              <w:jc w:val="left"/>
              <w:rPr>
                <w:rFonts w:ascii="Times New Roman" w:hAnsi="Times New Roman"/>
                <w:b/>
                <w:bCs/>
                <w:snapToGrid w:val="0"/>
                <w:color w:val="auto"/>
                <w:kern w:val="0"/>
                <w:sz w:val="24"/>
              </w:rPr>
            </w:pPr>
            <w:r>
              <w:rPr>
                <w:rFonts w:ascii="Times New Roman" w:hAnsi="Times New Roman"/>
                <w:b/>
                <w:bCs/>
                <w:snapToGrid w:val="0"/>
                <w:color w:val="auto"/>
                <w:kern w:val="0"/>
                <w:sz w:val="24"/>
              </w:rPr>
              <w:t>转运站内：</w:t>
            </w:r>
          </w:p>
          <w:p>
            <w:pPr>
              <w:autoSpaceDE w:val="0"/>
              <w:autoSpaceDN w:val="0"/>
              <w:adjustRightInd w:val="0"/>
              <w:spacing w:line="360" w:lineRule="auto"/>
              <w:ind w:firstLine="480" w:firstLineChars="200"/>
              <w:jc w:val="left"/>
              <w:rPr>
                <w:rFonts w:ascii="Times New Roman" w:hAnsi="Times New Roman"/>
                <w:bCs/>
                <w:snapToGrid w:val="0"/>
                <w:color w:val="auto"/>
                <w:kern w:val="0"/>
                <w:sz w:val="24"/>
              </w:rPr>
            </w:pPr>
            <w:r>
              <w:rPr>
                <w:rFonts w:hint="eastAsia" w:ascii="宋体" w:hAnsi="宋体" w:cs="宋体"/>
                <w:bCs/>
                <w:snapToGrid w:val="0"/>
                <w:color w:val="auto"/>
                <w:kern w:val="0"/>
                <w:sz w:val="24"/>
              </w:rPr>
              <w:t>①</w:t>
            </w:r>
            <w:r>
              <w:rPr>
                <w:rFonts w:ascii="Times New Roman" w:hAnsi="Times New Roman"/>
                <w:bCs/>
                <w:snapToGrid w:val="0"/>
                <w:color w:val="auto"/>
                <w:kern w:val="0"/>
                <w:sz w:val="24"/>
              </w:rPr>
              <w:t>优化项目平面布置；</w:t>
            </w:r>
          </w:p>
          <w:p>
            <w:pPr>
              <w:autoSpaceDE w:val="0"/>
              <w:autoSpaceDN w:val="0"/>
              <w:adjustRightInd w:val="0"/>
              <w:spacing w:line="360" w:lineRule="auto"/>
              <w:ind w:firstLine="480" w:firstLineChars="200"/>
              <w:jc w:val="left"/>
              <w:rPr>
                <w:rFonts w:ascii="Times New Roman" w:hAnsi="Times New Roman"/>
                <w:bCs/>
                <w:snapToGrid w:val="0"/>
                <w:color w:val="auto"/>
                <w:kern w:val="0"/>
                <w:sz w:val="24"/>
              </w:rPr>
            </w:pPr>
            <w:r>
              <w:rPr>
                <w:rFonts w:hint="eastAsia" w:ascii="宋体" w:hAnsi="宋体" w:cs="宋体"/>
                <w:bCs/>
                <w:snapToGrid w:val="0"/>
                <w:color w:val="auto"/>
                <w:kern w:val="0"/>
                <w:sz w:val="24"/>
              </w:rPr>
              <w:t>②</w:t>
            </w:r>
            <w:r>
              <w:rPr>
                <w:rFonts w:ascii="Times New Roman" w:hAnsi="Times New Roman"/>
                <w:bCs/>
                <w:snapToGrid w:val="0"/>
                <w:color w:val="auto"/>
                <w:kern w:val="0"/>
                <w:sz w:val="24"/>
              </w:rPr>
              <w:t>环评建议项目采用低噪音环保设备，要求在主要设备底座添置减震垫；</w:t>
            </w:r>
          </w:p>
          <w:p>
            <w:pPr>
              <w:autoSpaceDE w:val="0"/>
              <w:autoSpaceDN w:val="0"/>
              <w:adjustRightInd w:val="0"/>
              <w:spacing w:line="360" w:lineRule="auto"/>
              <w:ind w:firstLine="480" w:firstLineChars="200"/>
              <w:jc w:val="left"/>
              <w:rPr>
                <w:rFonts w:ascii="Times New Roman" w:hAnsi="Times New Roman"/>
                <w:bCs/>
                <w:snapToGrid w:val="0"/>
                <w:color w:val="auto"/>
                <w:kern w:val="0"/>
                <w:sz w:val="24"/>
              </w:rPr>
            </w:pPr>
            <w:r>
              <w:rPr>
                <w:rFonts w:hint="eastAsia" w:ascii="宋体" w:hAnsi="宋体" w:cs="宋体"/>
                <w:bCs/>
                <w:snapToGrid w:val="0"/>
                <w:color w:val="auto"/>
                <w:kern w:val="0"/>
                <w:sz w:val="24"/>
              </w:rPr>
              <w:t>③</w:t>
            </w:r>
            <w:r>
              <w:rPr>
                <w:rFonts w:ascii="Times New Roman" w:hAnsi="Times New Roman"/>
                <w:bCs/>
                <w:snapToGrid w:val="0"/>
                <w:color w:val="auto"/>
                <w:kern w:val="0"/>
                <w:sz w:val="24"/>
              </w:rPr>
              <w:t>在厂区厂房附近栽种高大乔木，吸收项目产生的噪声；</w:t>
            </w:r>
          </w:p>
          <w:p>
            <w:pPr>
              <w:autoSpaceDE w:val="0"/>
              <w:autoSpaceDN w:val="0"/>
              <w:adjustRightInd w:val="0"/>
              <w:spacing w:line="360" w:lineRule="auto"/>
              <w:ind w:firstLine="482" w:firstLineChars="200"/>
              <w:jc w:val="left"/>
              <w:rPr>
                <w:rFonts w:ascii="Times New Roman" w:hAnsi="Times New Roman"/>
                <w:bCs/>
                <w:snapToGrid w:val="0"/>
                <w:color w:val="auto"/>
                <w:kern w:val="0"/>
                <w:sz w:val="24"/>
              </w:rPr>
            </w:pPr>
            <w:r>
              <w:rPr>
                <w:rFonts w:ascii="Times New Roman" w:hAnsi="Times New Roman"/>
                <w:b/>
                <w:bCs/>
                <w:snapToGrid w:val="0"/>
                <w:color w:val="auto"/>
                <w:kern w:val="0"/>
                <w:sz w:val="24"/>
              </w:rPr>
              <w:t>转运过程</w:t>
            </w:r>
            <w:r>
              <w:rPr>
                <w:rFonts w:ascii="Times New Roman" w:hAnsi="Times New Roman"/>
                <w:bCs/>
                <w:snapToGrid w:val="0"/>
                <w:color w:val="auto"/>
                <w:kern w:val="0"/>
                <w:sz w:val="24"/>
              </w:rPr>
              <w:t>：</w:t>
            </w:r>
          </w:p>
          <w:p>
            <w:pPr>
              <w:autoSpaceDE w:val="0"/>
              <w:autoSpaceDN w:val="0"/>
              <w:adjustRightInd w:val="0"/>
              <w:spacing w:line="360" w:lineRule="auto"/>
              <w:ind w:firstLine="480" w:firstLineChars="200"/>
              <w:jc w:val="left"/>
              <w:rPr>
                <w:rFonts w:ascii="Times New Roman" w:hAnsi="Times New Roman"/>
                <w:bCs/>
                <w:snapToGrid w:val="0"/>
                <w:color w:val="auto"/>
                <w:kern w:val="0"/>
                <w:sz w:val="24"/>
              </w:rPr>
            </w:pPr>
            <w:r>
              <w:rPr>
                <w:rFonts w:hint="eastAsia" w:ascii="宋体" w:hAnsi="宋体" w:cs="宋体"/>
                <w:bCs/>
                <w:snapToGrid w:val="0"/>
                <w:color w:val="auto"/>
                <w:kern w:val="0"/>
                <w:sz w:val="24"/>
              </w:rPr>
              <w:t>①</w:t>
            </w:r>
            <w:r>
              <w:rPr>
                <w:rFonts w:ascii="Times New Roman" w:hAnsi="Times New Roman"/>
                <w:bCs/>
                <w:snapToGrid w:val="0"/>
                <w:color w:val="auto"/>
                <w:kern w:val="0"/>
                <w:sz w:val="24"/>
              </w:rPr>
              <w:t>转运设备为自配的压缩、装卸一体化的运输车，转运过程避开道路出行高峰时期，对进出时间进行限制；</w:t>
            </w:r>
          </w:p>
          <w:p>
            <w:pPr>
              <w:autoSpaceDE w:val="0"/>
              <w:autoSpaceDN w:val="0"/>
              <w:adjustRightInd w:val="0"/>
              <w:spacing w:line="360" w:lineRule="auto"/>
              <w:ind w:firstLine="480" w:firstLineChars="200"/>
              <w:jc w:val="left"/>
              <w:rPr>
                <w:rFonts w:ascii="Times New Roman" w:hAnsi="Times New Roman"/>
                <w:bCs/>
                <w:snapToGrid w:val="0"/>
                <w:color w:val="auto"/>
                <w:kern w:val="0"/>
                <w:sz w:val="24"/>
              </w:rPr>
            </w:pPr>
            <w:r>
              <w:rPr>
                <w:rFonts w:hint="eastAsia" w:ascii="宋体" w:hAnsi="宋体" w:cs="宋体"/>
                <w:bCs/>
                <w:snapToGrid w:val="0"/>
                <w:color w:val="auto"/>
                <w:kern w:val="0"/>
                <w:sz w:val="24"/>
              </w:rPr>
              <w:t>②</w:t>
            </w:r>
            <w:r>
              <w:rPr>
                <w:rFonts w:ascii="Times New Roman" w:hAnsi="Times New Roman"/>
                <w:bCs/>
                <w:snapToGrid w:val="0"/>
                <w:color w:val="auto"/>
                <w:kern w:val="0"/>
                <w:sz w:val="24"/>
              </w:rPr>
              <w:t>经过居民区时，减速慢行，避免高音扰民</w:t>
            </w:r>
          </w:p>
          <w:p>
            <w:pPr>
              <w:autoSpaceDE w:val="0"/>
              <w:autoSpaceDN w:val="0"/>
              <w:adjustRightInd w:val="0"/>
              <w:spacing w:line="360" w:lineRule="auto"/>
              <w:ind w:firstLine="480" w:firstLineChars="200"/>
              <w:jc w:val="left"/>
              <w:rPr>
                <w:rFonts w:ascii="Times New Roman" w:hAnsi="Times New Roman"/>
                <w:bCs/>
                <w:snapToGrid w:val="0"/>
                <w:color w:val="auto"/>
                <w:kern w:val="0"/>
                <w:sz w:val="24"/>
              </w:rPr>
            </w:pPr>
            <w:r>
              <w:rPr>
                <w:rFonts w:ascii="Times New Roman" w:hAnsi="Times New Roman"/>
                <w:bCs/>
                <w:snapToGrid w:val="0"/>
                <w:color w:val="auto"/>
                <w:kern w:val="0"/>
                <w:sz w:val="24"/>
              </w:rPr>
              <w:t>采取上述措施后，根据预测结果厂界噪声达到《工业企业厂界环境噪声排放标准》（GB12348-2008）中的 1 类标准。</w:t>
            </w:r>
          </w:p>
          <w:p>
            <w:pPr>
              <w:spacing w:line="360" w:lineRule="auto"/>
              <w:ind w:firstLine="482" w:firstLineChars="200"/>
              <w:rPr>
                <w:rFonts w:ascii="Times New Roman" w:hAnsi="Times New Roman"/>
                <w:b/>
                <w:color w:val="auto"/>
                <w:sz w:val="24"/>
              </w:rPr>
            </w:pPr>
            <w:r>
              <w:rPr>
                <w:rFonts w:ascii="Times New Roman" w:hAnsi="Times New Roman"/>
                <w:b/>
                <w:color w:val="auto"/>
                <w:sz w:val="24"/>
              </w:rPr>
              <w:t>4、固体废弃物防治措施</w:t>
            </w:r>
          </w:p>
          <w:p>
            <w:pPr>
              <w:pStyle w:val="2"/>
              <w:spacing w:line="360" w:lineRule="auto"/>
              <w:ind w:firstLine="512" w:firstLineChars="200"/>
              <w:rPr>
                <w:rFonts w:ascii="Times New Roman" w:hAnsi="Times New Roman" w:eastAsia="宋体"/>
                <w:color w:val="auto"/>
                <w:szCs w:val="24"/>
              </w:rPr>
            </w:pPr>
            <w:r>
              <w:rPr>
                <w:rFonts w:ascii="Times New Roman" w:hAnsi="Times New Roman" w:eastAsia="宋体"/>
                <w:color w:val="auto"/>
                <w:szCs w:val="24"/>
              </w:rPr>
              <w:t>项目运营期的固体废弃物主要为压缩垃圾及职工生活垃圾。</w:t>
            </w:r>
          </w:p>
          <w:p>
            <w:pPr>
              <w:pStyle w:val="2"/>
              <w:spacing w:line="360" w:lineRule="auto"/>
              <w:rPr>
                <w:rFonts w:ascii="Times New Roman" w:hAnsi="Times New Roman" w:eastAsia="宋体"/>
                <w:bCs/>
                <w:snapToGrid w:val="0"/>
                <w:color w:val="auto"/>
                <w:spacing w:val="0"/>
                <w:kern w:val="0"/>
                <w:szCs w:val="24"/>
              </w:rPr>
            </w:pPr>
            <w:r>
              <w:rPr>
                <w:rFonts w:ascii="Times New Roman" w:hAnsi="Times New Roman" w:eastAsia="宋体"/>
                <w:bCs/>
                <w:snapToGrid w:val="0"/>
                <w:color w:val="auto"/>
                <w:spacing w:val="0"/>
                <w:kern w:val="0"/>
                <w:szCs w:val="24"/>
              </w:rPr>
              <w:t>生活垃圾随主体工程压缩，与压缩垃圾一同由运输车辆运至</w:t>
            </w:r>
            <w:r>
              <w:rPr>
                <w:rFonts w:hint="eastAsia" w:ascii="Times New Roman" w:hAnsi="Times New Roman" w:eastAsia="宋体"/>
                <w:bCs/>
                <w:snapToGrid w:val="0"/>
                <w:color w:val="auto"/>
                <w:spacing w:val="0"/>
                <w:kern w:val="0"/>
                <w:szCs w:val="24"/>
              </w:rPr>
              <w:t>庆阳圣元环保电力有限公司</w:t>
            </w:r>
            <w:r>
              <w:rPr>
                <w:rFonts w:ascii="Times New Roman" w:hAnsi="Times New Roman" w:eastAsia="宋体"/>
                <w:bCs/>
                <w:snapToGrid w:val="0"/>
                <w:color w:val="auto"/>
                <w:spacing w:val="0"/>
                <w:kern w:val="0"/>
                <w:szCs w:val="24"/>
              </w:rPr>
              <w:t>。环评建议建设单位建立垃圾收集转运台账。</w:t>
            </w:r>
          </w:p>
          <w:p>
            <w:pPr>
              <w:spacing w:line="360" w:lineRule="auto"/>
              <w:ind w:firstLine="480" w:firstLineChars="200"/>
              <w:rPr>
                <w:rFonts w:ascii="Times New Roman" w:hAnsi="Times New Roman"/>
                <w:bCs/>
                <w:snapToGrid w:val="0"/>
                <w:color w:val="auto"/>
                <w:kern w:val="0"/>
                <w:sz w:val="24"/>
              </w:rPr>
            </w:pPr>
            <w:r>
              <w:rPr>
                <w:rFonts w:hint="eastAsia" w:ascii="Times New Roman" w:hAnsi="Times New Roman"/>
                <w:bCs/>
                <w:snapToGrid w:val="0"/>
                <w:color w:val="auto"/>
                <w:kern w:val="0"/>
                <w:sz w:val="24"/>
              </w:rPr>
              <w:t>庆阳垃圾焚烧沸点工程建设项目采用逆推式机械炉排炉工艺，建设规模为日处理生活垃圾1000t/d，分两期建设，一期建设规模500t/d，二期建设规模500t/d，配置一台25MW汽轮发电机组。本项目日处理规模为4t/d，庆阳垃圾焚烧沸点工程建设项目已投入运行，</w:t>
            </w:r>
            <w:r>
              <w:rPr>
                <w:rFonts w:ascii="Times New Roman" w:hAnsi="Times New Roman"/>
                <w:bCs/>
                <w:snapToGrid w:val="0"/>
                <w:color w:val="auto"/>
                <w:kern w:val="0"/>
                <w:sz w:val="24"/>
              </w:rPr>
              <w:t>尚有余量可接受本项目</w:t>
            </w:r>
            <w:r>
              <w:rPr>
                <w:rFonts w:hint="eastAsia" w:ascii="Times New Roman" w:hAnsi="Times New Roman"/>
                <w:bCs/>
                <w:snapToGrid w:val="0"/>
                <w:color w:val="auto"/>
                <w:kern w:val="0"/>
                <w:sz w:val="24"/>
              </w:rPr>
              <w:t>生活垃圾</w:t>
            </w:r>
            <w:r>
              <w:rPr>
                <w:rFonts w:ascii="Times New Roman" w:hAnsi="Times New Roman"/>
                <w:bCs/>
                <w:snapToGrid w:val="0"/>
                <w:color w:val="auto"/>
                <w:kern w:val="0"/>
                <w:sz w:val="24"/>
              </w:rPr>
              <w:t>。已与宁县城市管理局签订接受协议。因此，压缩垃圾的处置去向可行。</w:t>
            </w:r>
          </w:p>
          <w:p>
            <w:pPr>
              <w:spacing w:line="360" w:lineRule="auto"/>
              <w:ind w:firstLine="480" w:firstLineChars="200"/>
              <w:rPr>
                <w:color w:val="auto"/>
                <w:sz w:val="24"/>
              </w:rPr>
            </w:pPr>
            <w:r>
              <w:rPr>
                <w:rFonts w:hint="eastAsia" w:ascii="Times New Roman" w:hAnsi="Times New Roman"/>
                <w:bCs/>
                <w:snapToGrid w:val="0"/>
                <w:color w:val="auto"/>
                <w:kern w:val="0"/>
                <w:sz w:val="24"/>
                <w:highlight w:val="yellow"/>
              </w:rPr>
              <w:t>备注：因项目的压缩垃圾定期运至庆阳圣元环保电力有限公司，建设单位配备</w:t>
            </w:r>
            <w:r>
              <w:rPr>
                <w:rFonts w:ascii="Times New Roman" w:hAnsi="Times New Roman"/>
                <w:bCs/>
                <w:snapToGrid w:val="0"/>
                <w:color w:val="auto"/>
                <w:kern w:val="0"/>
                <w:sz w:val="24"/>
                <w:highlight w:val="yellow"/>
              </w:rPr>
              <w:t>一体式垃圾转运站压缩装置</w:t>
            </w:r>
            <w:r>
              <w:rPr>
                <w:rFonts w:hint="eastAsia" w:ascii="Times New Roman" w:hAnsi="Times New Roman"/>
                <w:bCs/>
                <w:snapToGrid w:val="0"/>
                <w:color w:val="auto"/>
                <w:kern w:val="0"/>
                <w:sz w:val="24"/>
                <w:highlight w:val="yellow"/>
              </w:rPr>
              <w:t>，运输路线避开居民聚集处、道路高峰时期，建设单位承诺压缩垃圾不乱倒、乱排（承诺函见附件5）</w:t>
            </w:r>
            <w:r>
              <w:rPr>
                <w:rFonts w:hint="eastAsia"/>
                <w:color w:val="auto"/>
                <w:sz w:val="24"/>
              </w:rPr>
              <w:t>。</w:t>
            </w:r>
          </w:p>
          <w:p>
            <w:pPr>
              <w:spacing w:line="360" w:lineRule="auto"/>
              <w:rPr>
                <w:rFonts w:ascii="Times New Roman" w:hAnsi="Times New Roman"/>
                <w:b/>
                <w:color w:val="auto"/>
                <w:sz w:val="24"/>
              </w:rPr>
            </w:pPr>
            <w:r>
              <w:rPr>
                <w:rFonts w:ascii="Times New Roman" w:hAnsi="Times New Roman"/>
                <w:b/>
                <w:color w:val="auto"/>
                <w:sz w:val="24"/>
              </w:rPr>
              <w:t>三、环保投资概算</w:t>
            </w:r>
          </w:p>
          <w:p>
            <w:pPr>
              <w:pStyle w:val="2"/>
              <w:spacing w:line="360" w:lineRule="auto"/>
              <w:ind w:firstLine="480" w:firstLineChars="200"/>
              <w:rPr>
                <w:rFonts w:ascii="Times New Roman" w:hAnsi="Times New Roman" w:eastAsia="宋体"/>
                <w:bCs/>
                <w:snapToGrid w:val="0"/>
                <w:color w:val="auto"/>
                <w:spacing w:val="0"/>
                <w:kern w:val="0"/>
                <w:szCs w:val="24"/>
              </w:rPr>
            </w:pPr>
            <w:r>
              <w:rPr>
                <w:rFonts w:ascii="Times New Roman" w:hAnsi="Times New Roman" w:eastAsia="宋体"/>
                <w:bCs/>
                <w:snapToGrid w:val="0"/>
                <w:color w:val="auto"/>
                <w:spacing w:val="0"/>
                <w:kern w:val="0"/>
                <w:szCs w:val="24"/>
              </w:rPr>
              <w:t>拟建项目总投资99.8万元，其中环保投资13.5万元，环保投资占总投资的14%。从工程的性质来看，该项目的环保投资能满足治理要求。具体见表9-1</w:t>
            </w:r>
          </w:p>
          <w:p>
            <w:pPr>
              <w:spacing w:line="360" w:lineRule="auto"/>
              <w:jc w:val="center"/>
              <w:rPr>
                <w:rFonts w:ascii="Times New Roman" w:hAnsi="Times New Roman"/>
                <w:b/>
                <w:color w:val="auto"/>
                <w:szCs w:val="21"/>
              </w:rPr>
            </w:pPr>
            <w:r>
              <w:rPr>
                <w:rFonts w:ascii="Times New Roman" w:hAnsi="Times New Roman"/>
                <w:b/>
                <w:color w:val="auto"/>
                <w:szCs w:val="21"/>
              </w:rPr>
              <w:t>表9-1  环保投资概算表</w:t>
            </w:r>
          </w:p>
          <w:tbl>
            <w:tblPr>
              <w:tblStyle w:val="26"/>
              <w:tblW w:w="93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9"/>
              <w:gridCol w:w="776"/>
              <w:gridCol w:w="1741"/>
              <w:gridCol w:w="4364"/>
              <w:gridCol w:w="13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089"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工期</w:t>
                  </w:r>
                </w:p>
              </w:tc>
              <w:tc>
                <w:tcPr>
                  <w:tcW w:w="2517" w:type="dxa"/>
                  <w:gridSpan w:val="2"/>
                  <w:vAlign w:val="center"/>
                </w:tcPr>
                <w:p>
                  <w:pPr>
                    <w:spacing w:line="0" w:lineRule="atLeast"/>
                    <w:jc w:val="center"/>
                    <w:rPr>
                      <w:rFonts w:ascii="Times New Roman" w:hAnsi="Times New Roman"/>
                      <w:color w:val="auto"/>
                      <w:szCs w:val="21"/>
                    </w:rPr>
                  </w:pPr>
                  <w:r>
                    <w:rPr>
                      <w:rFonts w:ascii="Times New Roman" w:hAnsi="Times New Roman"/>
                      <w:color w:val="auto"/>
                      <w:szCs w:val="21"/>
                    </w:rPr>
                    <w:t>环保项目</w:t>
                  </w:r>
                </w:p>
              </w:tc>
              <w:tc>
                <w:tcPr>
                  <w:tcW w:w="4364"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具体工程内容</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投资(万元)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1089"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施工期</w:t>
                  </w:r>
                </w:p>
              </w:tc>
              <w:tc>
                <w:tcPr>
                  <w:tcW w:w="776"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废水</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施工废水</w:t>
                  </w:r>
                </w:p>
              </w:tc>
              <w:tc>
                <w:tcPr>
                  <w:tcW w:w="4364"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临时沉淀池收集，回用</w:t>
                  </w:r>
                  <w:r>
                    <w:rPr>
                      <w:rFonts w:hint="eastAsia" w:ascii="Times New Roman" w:hAnsi="Times New Roman"/>
                      <w:color w:val="auto"/>
                      <w:szCs w:val="21"/>
                    </w:rPr>
                    <w:t>，设防渗旱厕1座（运营期沿用）</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废气</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施工扬尘</w:t>
                  </w:r>
                </w:p>
              </w:tc>
              <w:tc>
                <w:tcPr>
                  <w:tcW w:w="4364"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洒水降尘，防尘网覆盖</w:t>
                  </w:r>
                </w:p>
              </w:tc>
              <w:tc>
                <w:tcPr>
                  <w:tcW w:w="1347"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Merge w:val="continue"/>
                  <w:vAlign w:val="center"/>
                </w:tcPr>
                <w:p>
                  <w:pPr>
                    <w:widowControl/>
                    <w:jc w:val="left"/>
                    <w:rPr>
                      <w:rFonts w:ascii="Times New Roman" w:hAnsi="Times New Roman"/>
                      <w:color w:val="auto"/>
                      <w:szCs w:val="21"/>
                    </w:rPr>
                  </w:pP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汽车尾气</w:t>
                  </w:r>
                </w:p>
              </w:tc>
              <w:tc>
                <w:tcPr>
                  <w:tcW w:w="4364" w:type="dxa"/>
                  <w:vMerge w:val="continue"/>
                  <w:vAlign w:val="center"/>
                </w:tcPr>
                <w:p>
                  <w:pPr>
                    <w:widowControl/>
                    <w:jc w:val="left"/>
                    <w:rPr>
                      <w:rFonts w:ascii="Times New Roman" w:hAnsi="Times New Roman"/>
                      <w:color w:val="auto"/>
                      <w:szCs w:val="21"/>
                    </w:rPr>
                  </w:pPr>
                </w:p>
              </w:tc>
              <w:tc>
                <w:tcPr>
                  <w:tcW w:w="1347" w:type="dxa"/>
                  <w:vMerge w:val="continue"/>
                  <w:vAlign w:val="center"/>
                </w:tcPr>
                <w:p>
                  <w:pPr>
                    <w:widowControl/>
                    <w:jc w:val="left"/>
                    <w:rPr>
                      <w:rFonts w:ascii="Times New Roman" w:hAnsi="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固废</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建筑垃圾</w:t>
                  </w:r>
                </w:p>
              </w:tc>
              <w:tc>
                <w:tcPr>
                  <w:tcW w:w="4364"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统一收集运往政府指定点</w:t>
                  </w:r>
                </w:p>
              </w:tc>
              <w:tc>
                <w:tcPr>
                  <w:tcW w:w="1347"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Merge w:val="continue"/>
                  <w:vAlign w:val="center"/>
                </w:tcPr>
                <w:p>
                  <w:pPr>
                    <w:widowControl/>
                    <w:jc w:val="left"/>
                    <w:rPr>
                      <w:rFonts w:ascii="Times New Roman" w:hAnsi="Times New Roman"/>
                      <w:color w:val="auto"/>
                      <w:szCs w:val="21"/>
                    </w:rPr>
                  </w:pP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土石方</w:t>
                  </w:r>
                </w:p>
              </w:tc>
              <w:tc>
                <w:tcPr>
                  <w:tcW w:w="4364" w:type="dxa"/>
                  <w:vMerge w:val="continue"/>
                  <w:vAlign w:val="center"/>
                </w:tcPr>
                <w:p>
                  <w:pPr>
                    <w:widowControl/>
                    <w:jc w:val="left"/>
                    <w:rPr>
                      <w:rFonts w:ascii="Times New Roman" w:hAnsi="Times New Roman"/>
                      <w:color w:val="auto"/>
                      <w:szCs w:val="21"/>
                    </w:rPr>
                  </w:pPr>
                </w:p>
              </w:tc>
              <w:tc>
                <w:tcPr>
                  <w:tcW w:w="1347" w:type="dxa"/>
                  <w:vMerge w:val="continue"/>
                  <w:vAlign w:val="center"/>
                </w:tcPr>
                <w:p>
                  <w:pPr>
                    <w:widowControl/>
                    <w:jc w:val="left"/>
                    <w:rPr>
                      <w:rFonts w:ascii="Times New Roman" w:hAnsi="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噪声</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施工机械噪声</w:t>
                  </w:r>
                </w:p>
              </w:tc>
              <w:tc>
                <w:tcPr>
                  <w:tcW w:w="4364"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合理选择施工时段，加强施工管理和施工设备维护，避免设备故障运行，设声屏障</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1089"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运营期</w:t>
                  </w:r>
                </w:p>
              </w:tc>
              <w:tc>
                <w:tcPr>
                  <w:tcW w:w="776" w:type="dxa"/>
                  <w:vMerge w:val="restart"/>
                  <w:vAlign w:val="center"/>
                </w:tcPr>
                <w:p>
                  <w:pPr>
                    <w:spacing w:line="0" w:lineRule="atLeast"/>
                    <w:jc w:val="center"/>
                    <w:rPr>
                      <w:rFonts w:ascii="Times New Roman" w:hAnsi="Times New Roman"/>
                      <w:color w:val="auto"/>
                      <w:szCs w:val="21"/>
                    </w:rPr>
                  </w:pPr>
                  <w:r>
                    <w:rPr>
                      <w:rFonts w:ascii="Times New Roman" w:hAnsi="Times New Roman"/>
                      <w:color w:val="auto"/>
                      <w:szCs w:val="21"/>
                    </w:rPr>
                    <w:t>废水</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生活污水</w:t>
                  </w:r>
                </w:p>
              </w:tc>
              <w:tc>
                <w:tcPr>
                  <w:tcW w:w="4364" w:type="dxa"/>
                  <w:vAlign w:val="center"/>
                </w:tcPr>
                <w:p>
                  <w:pPr>
                    <w:spacing w:line="0" w:lineRule="atLeast"/>
                    <w:jc w:val="center"/>
                    <w:rPr>
                      <w:rFonts w:ascii="Times New Roman" w:hAnsi="Times New Roman"/>
                      <w:color w:val="auto"/>
                      <w:szCs w:val="21"/>
                    </w:rPr>
                  </w:pPr>
                  <w:r>
                    <w:rPr>
                      <w:rFonts w:hint="eastAsia" w:ascii="Times New Roman" w:hAnsi="Times New Roman"/>
                      <w:color w:val="auto"/>
                      <w:kern w:val="44"/>
                      <w:szCs w:val="21"/>
                    </w:rPr>
                    <w:t>沿用施工</w:t>
                  </w:r>
                  <w:r>
                    <w:rPr>
                      <w:rFonts w:ascii="Times New Roman" w:hAnsi="Times New Roman"/>
                      <w:color w:val="auto"/>
                      <w:kern w:val="44"/>
                      <w:szCs w:val="21"/>
                    </w:rPr>
                    <w:t xml:space="preserve">旱厕  </w:t>
                  </w:r>
                </w:p>
              </w:tc>
              <w:tc>
                <w:tcPr>
                  <w:tcW w:w="1347" w:type="dxa"/>
                  <w:vAlign w:val="center"/>
                </w:tcPr>
                <w:p>
                  <w:pPr>
                    <w:spacing w:line="0" w:lineRule="atLeast"/>
                    <w:jc w:val="center"/>
                    <w:rPr>
                      <w:rFonts w:ascii="Times New Roman" w:hAnsi="Times New Roman"/>
                      <w:color w:val="auto"/>
                      <w:szCs w:val="21"/>
                    </w:rPr>
                  </w:pPr>
                  <w:r>
                    <w:rPr>
                      <w:rFonts w:hint="eastAsia" w:ascii="Times New Roman" w:hAnsi="Times New Roman"/>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Merge w:val="continue"/>
                  <w:vAlign w:val="center"/>
                </w:tcPr>
                <w:p>
                  <w:pPr>
                    <w:widowControl/>
                    <w:jc w:val="left"/>
                    <w:rPr>
                      <w:rFonts w:ascii="Times New Roman" w:hAnsi="Times New Roman"/>
                      <w:color w:val="auto"/>
                      <w:szCs w:val="21"/>
                    </w:rPr>
                  </w:pP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生产废水</w:t>
                  </w:r>
                </w:p>
              </w:tc>
              <w:tc>
                <w:tcPr>
                  <w:tcW w:w="4364" w:type="dxa"/>
                  <w:vAlign w:val="center"/>
                </w:tcPr>
                <w:p>
                  <w:pPr>
                    <w:spacing w:line="0" w:lineRule="atLeast"/>
                    <w:jc w:val="center"/>
                    <w:rPr>
                      <w:rFonts w:ascii="Times New Roman" w:hAnsi="Times New Roman"/>
                      <w:color w:val="auto"/>
                      <w:kern w:val="44"/>
                      <w:szCs w:val="21"/>
                    </w:rPr>
                  </w:pPr>
                  <w:r>
                    <w:rPr>
                      <w:rFonts w:ascii="Times New Roman" w:hAnsi="Times New Roman"/>
                      <w:color w:val="auto"/>
                      <w:kern w:val="44"/>
                      <w:szCs w:val="21"/>
                    </w:rPr>
                    <w:t>10m</w:t>
                  </w:r>
                  <w:r>
                    <w:rPr>
                      <w:rFonts w:ascii="Times New Roman" w:hAnsi="Times New Roman"/>
                      <w:color w:val="auto"/>
                      <w:kern w:val="44"/>
                      <w:szCs w:val="21"/>
                      <w:vertAlign w:val="superscript"/>
                    </w:rPr>
                    <w:t>3</w:t>
                  </w:r>
                  <w:r>
                    <w:rPr>
                      <w:rFonts w:ascii="Times New Roman" w:hAnsi="Times New Roman"/>
                      <w:color w:val="auto"/>
                      <w:kern w:val="44"/>
                      <w:szCs w:val="21"/>
                    </w:rPr>
                    <w:t>渗滤液暂存池1座</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噪声</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设备噪声</w:t>
                  </w:r>
                </w:p>
              </w:tc>
              <w:tc>
                <w:tcPr>
                  <w:tcW w:w="4364"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合理布局、基础减震</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废气</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恶臭气体</w:t>
                  </w:r>
                </w:p>
              </w:tc>
              <w:tc>
                <w:tcPr>
                  <w:tcW w:w="4364"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除臭系统，渗滤池加盖</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89" w:type="dxa"/>
                  <w:vMerge w:val="continue"/>
                  <w:vAlign w:val="center"/>
                </w:tcPr>
                <w:p>
                  <w:pPr>
                    <w:widowControl/>
                    <w:jc w:val="left"/>
                    <w:rPr>
                      <w:rFonts w:ascii="Times New Roman" w:hAnsi="Times New Roman"/>
                      <w:color w:val="auto"/>
                      <w:szCs w:val="21"/>
                    </w:rPr>
                  </w:pPr>
                </w:p>
              </w:tc>
              <w:tc>
                <w:tcPr>
                  <w:tcW w:w="776"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固废</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生活垃圾</w:t>
                  </w:r>
                </w:p>
              </w:tc>
              <w:tc>
                <w:tcPr>
                  <w:tcW w:w="4364"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生活垃圾分类收集桶1个</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89" w:type="dxa"/>
                  <w:vMerge w:val="continue"/>
                  <w:vAlign w:val="center"/>
                </w:tcPr>
                <w:p>
                  <w:pPr>
                    <w:rPr>
                      <w:rFonts w:ascii="Times New Roman" w:hAnsi="Times New Roman"/>
                      <w:color w:val="auto"/>
                      <w:szCs w:val="21"/>
                    </w:rPr>
                  </w:pPr>
                </w:p>
              </w:tc>
              <w:tc>
                <w:tcPr>
                  <w:tcW w:w="776"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生态</w:t>
                  </w:r>
                </w:p>
              </w:tc>
              <w:tc>
                <w:tcPr>
                  <w:tcW w:w="1741"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绿化</w:t>
                  </w:r>
                </w:p>
              </w:tc>
              <w:tc>
                <w:tcPr>
                  <w:tcW w:w="4364"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绿化面积436m</w:t>
                  </w:r>
                  <w:r>
                    <w:rPr>
                      <w:rFonts w:ascii="Times New Roman" w:hAnsi="Times New Roman"/>
                      <w:color w:val="auto"/>
                      <w:szCs w:val="21"/>
                      <w:vertAlign w:val="superscript"/>
                    </w:rPr>
                    <w:t>2</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606" w:type="dxa"/>
                  <w:gridSpan w:val="3"/>
                  <w:vAlign w:val="center"/>
                </w:tcPr>
                <w:p>
                  <w:pPr>
                    <w:spacing w:line="0" w:lineRule="atLeast"/>
                    <w:jc w:val="center"/>
                    <w:rPr>
                      <w:rFonts w:ascii="Times New Roman" w:hAnsi="Times New Roman"/>
                      <w:color w:val="auto"/>
                      <w:szCs w:val="21"/>
                    </w:rPr>
                  </w:pPr>
                  <w:r>
                    <w:rPr>
                      <w:rFonts w:ascii="Times New Roman" w:hAnsi="Times New Roman"/>
                      <w:color w:val="auto"/>
                      <w:szCs w:val="21"/>
                    </w:rPr>
                    <w:t>合计</w:t>
                  </w:r>
                </w:p>
              </w:tc>
              <w:tc>
                <w:tcPr>
                  <w:tcW w:w="4364"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w:t>
                  </w:r>
                </w:p>
              </w:tc>
              <w:tc>
                <w:tcPr>
                  <w:tcW w:w="1347" w:type="dxa"/>
                  <w:vAlign w:val="center"/>
                </w:tcPr>
                <w:p>
                  <w:pPr>
                    <w:spacing w:line="0" w:lineRule="atLeast"/>
                    <w:jc w:val="center"/>
                    <w:rPr>
                      <w:rFonts w:ascii="Times New Roman" w:hAnsi="Times New Roman"/>
                      <w:color w:val="auto"/>
                      <w:szCs w:val="21"/>
                    </w:rPr>
                  </w:pPr>
                  <w:r>
                    <w:rPr>
                      <w:rFonts w:ascii="Times New Roman" w:hAnsi="Times New Roman"/>
                      <w:color w:val="auto"/>
                      <w:szCs w:val="21"/>
                    </w:rPr>
                    <w:t>13.5</w:t>
                  </w:r>
                </w:p>
              </w:tc>
            </w:tr>
          </w:tbl>
          <w:p>
            <w:pPr>
              <w:spacing w:line="360" w:lineRule="auto"/>
              <w:rPr>
                <w:rFonts w:ascii="Times New Roman" w:hAnsi="Times New Roman"/>
                <w:b/>
                <w:color w:val="auto"/>
                <w:sz w:val="24"/>
              </w:rPr>
            </w:pPr>
            <w:r>
              <w:rPr>
                <w:rFonts w:ascii="Times New Roman" w:hAnsi="Times New Roman"/>
                <w:b/>
                <w:color w:val="auto"/>
                <w:sz w:val="24"/>
              </w:rPr>
              <w:t>四、三同时验收</w:t>
            </w:r>
          </w:p>
          <w:p>
            <w:pPr>
              <w:spacing w:line="360" w:lineRule="auto"/>
              <w:ind w:firstLine="480" w:firstLineChars="200"/>
              <w:rPr>
                <w:rFonts w:ascii="Times New Roman" w:hAnsi="Times New Roman"/>
                <w:bCs/>
                <w:snapToGrid w:val="0"/>
                <w:color w:val="auto"/>
                <w:kern w:val="0"/>
                <w:sz w:val="24"/>
              </w:rPr>
            </w:pPr>
            <w:r>
              <w:rPr>
                <w:rFonts w:ascii="Times New Roman" w:hAnsi="Times New Roman"/>
                <w:bCs/>
                <w:snapToGrid w:val="0"/>
                <w:color w:val="auto"/>
                <w:kern w:val="0"/>
                <w:sz w:val="24"/>
              </w:rPr>
              <w:t>“三同时”验收一览表见下表9-2。</w:t>
            </w:r>
          </w:p>
          <w:p>
            <w:pPr>
              <w:jc w:val="center"/>
              <w:rPr>
                <w:rFonts w:ascii="Times New Roman" w:hAnsi="Times New Roman"/>
                <w:b/>
                <w:color w:val="auto"/>
                <w:sz w:val="24"/>
              </w:rPr>
            </w:pPr>
            <w:r>
              <w:rPr>
                <w:rFonts w:ascii="Times New Roman" w:hAnsi="Times New Roman"/>
                <w:b/>
                <w:color w:val="auto"/>
                <w:sz w:val="24"/>
              </w:rPr>
              <w:t>表9-2 本项目“三同时”验收一览表</w:t>
            </w:r>
          </w:p>
          <w:tbl>
            <w:tblPr>
              <w:tblStyle w:val="26"/>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25"/>
              <w:gridCol w:w="3287"/>
              <w:gridCol w:w="4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验收项目</w:t>
                  </w:r>
                </w:p>
              </w:tc>
              <w:tc>
                <w:tcPr>
                  <w:tcW w:w="32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治理措施</w:t>
                  </w:r>
                </w:p>
              </w:tc>
              <w:tc>
                <w:tcPr>
                  <w:tcW w:w="40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Cs/>
                      <w:color w:val="auto"/>
                      <w:kern w:val="0"/>
                      <w:szCs w:val="21"/>
                    </w:rPr>
                  </w:pPr>
                  <w:r>
                    <w:rPr>
                      <w:rFonts w:ascii="Times New Roman" w:hAnsi="Times New Roman"/>
                      <w:bCs/>
                      <w:color w:val="auto"/>
                      <w:kern w:val="0"/>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rPr>
                  </w:pPr>
                  <w:r>
                    <w:rPr>
                      <w:rFonts w:ascii="Times New Roman" w:hAnsi="Times New Roman"/>
                      <w:color w:val="auto"/>
                      <w:kern w:val="0"/>
                      <w:szCs w:val="21"/>
                    </w:rPr>
                    <w:t>废气</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kern w:val="0"/>
                      <w:szCs w:val="21"/>
                    </w:rPr>
                  </w:pPr>
                  <w:r>
                    <w:rPr>
                      <w:rFonts w:ascii="Times New Roman" w:hAnsi="Times New Roman"/>
                      <w:color w:val="auto"/>
                      <w:kern w:val="0"/>
                      <w:szCs w:val="21"/>
                    </w:rPr>
                    <w:t>恶臭气体</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kern w:val="0"/>
                      <w:szCs w:val="21"/>
                    </w:rPr>
                  </w:pPr>
                  <w:r>
                    <w:rPr>
                      <w:rFonts w:ascii="Times New Roman" w:hAnsi="Times New Roman"/>
                      <w:color w:val="auto"/>
                    </w:rPr>
                    <w:t>喷洒生物除臭剂</w:t>
                  </w:r>
                </w:p>
              </w:tc>
              <w:tc>
                <w:tcPr>
                  <w:tcW w:w="408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《恶臭污染物排放标准》(GB14554-1993) 表1二级新改扩建标准限值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废水</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生活污水</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0"/>
                      <w:szCs w:val="21"/>
                    </w:rPr>
                  </w:pPr>
                  <w:r>
                    <w:rPr>
                      <w:rFonts w:hint="eastAsia" w:ascii="Times New Roman" w:hAnsi="Times New Roman"/>
                      <w:color w:val="auto"/>
                      <w:kern w:val="0"/>
                      <w:szCs w:val="21"/>
                    </w:rPr>
                    <w:t>沿用施工期旱厕，污水</w:t>
                  </w:r>
                  <w:r>
                    <w:rPr>
                      <w:rFonts w:ascii="Times New Roman" w:hAnsi="Times New Roman"/>
                      <w:color w:val="auto"/>
                      <w:kern w:val="0"/>
                      <w:szCs w:val="21"/>
                    </w:rPr>
                    <w:t>泼洒抑尘</w:t>
                  </w:r>
                </w:p>
              </w:tc>
              <w:tc>
                <w:tcPr>
                  <w:tcW w:w="408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0"/>
                      <w:szCs w:val="21"/>
                    </w:rPr>
                  </w:pPr>
                  <w:r>
                    <w:rPr>
                      <w:rFonts w:ascii="Times New Roman" w:hAnsi="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rPr>
                  </w:pP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生产废水</w:t>
                  </w:r>
                </w:p>
              </w:tc>
              <w:tc>
                <w:tcPr>
                  <w:tcW w:w="32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szCs w:val="21"/>
                    </w:rPr>
                    <w:t>地面及设备冲洗废、</w:t>
                  </w:r>
                  <w:r>
                    <w:rPr>
                      <w:rFonts w:ascii="Times New Roman" w:hAnsi="Times New Roman"/>
                      <w:color w:val="auto"/>
                      <w:kern w:val="0"/>
                      <w:szCs w:val="21"/>
                    </w:rPr>
                    <w:t>渗滤液经1座10m</w:t>
                  </w:r>
                  <w:r>
                    <w:rPr>
                      <w:rFonts w:ascii="Times New Roman" w:hAnsi="Times New Roman"/>
                      <w:color w:val="auto"/>
                      <w:kern w:val="0"/>
                      <w:szCs w:val="21"/>
                      <w:vertAlign w:val="superscript"/>
                    </w:rPr>
                    <w:t>3</w:t>
                  </w:r>
                  <w:r>
                    <w:rPr>
                      <w:rFonts w:ascii="Times New Roman" w:hAnsi="Times New Roman"/>
                      <w:color w:val="auto"/>
                      <w:kern w:val="0"/>
                      <w:szCs w:val="21"/>
                    </w:rPr>
                    <w:t>渗滤液暂存池收集后由罐车运至宁县污水处理厂</w:t>
                  </w:r>
                </w:p>
              </w:tc>
              <w:tc>
                <w:tcPr>
                  <w:tcW w:w="40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《生活垃圾填埋污染控制标准》（GB16889-2008）表2标准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噪声</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厂界噪声</w:t>
                  </w:r>
                </w:p>
              </w:tc>
              <w:tc>
                <w:tcPr>
                  <w:tcW w:w="32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olor w:val="auto"/>
                      <w:szCs w:val="21"/>
                    </w:rPr>
                  </w:pPr>
                  <w:r>
                    <w:rPr>
                      <w:rFonts w:ascii="Times New Roman" w:hAnsi="Times New Roman"/>
                      <w:color w:val="auto"/>
                      <w:szCs w:val="21"/>
                    </w:rPr>
                    <w:t>合理布局、减振降噪</w:t>
                  </w:r>
                </w:p>
                <w:p>
                  <w:pPr>
                    <w:widowControl/>
                    <w:jc w:val="center"/>
                    <w:rPr>
                      <w:rFonts w:ascii="Times New Roman" w:hAnsi="Times New Roman"/>
                      <w:color w:val="auto"/>
                      <w:kern w:val="0"/>
                      <w:szCs w:val="21"/>
                    </w:rPr>
                  </w:pPr>
                  <w:r>
                    <w:rPr>
                      <w:rFonts w:ascii="Times New Roman" w:hAnsi="Times New Roman"/>
                      <w:color w:val="auto"/>
                      <w:szCs w:val="21"/>
                    </w:rPr>
                    <w:t>隔声、距离衰减，避免道路高峰运输时期</w:t>
                  </w:r>
                </w:p>
              </w:tc>
              <w:tc>
                <w:tcPr>
                  <w:tcW w:w="40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《工业企业厂界环境噪声排放标准》(GB12348-2008)1类标准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固废</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kern w:val="0"/>
                      <w:szCs w:val="21"/>
                    </w:rPr>
                  </w:pPr>
                  <w:r>
                    <w:rPr>
                      <w:rFonts w:ascii="Times New Roman" w:hAnsi="Times New Roman"/>
                      <w:color w:val="auto"/>
                      <w:kern w:val="0"/>
                      <w:szCs w:val="21"/>
                    </w:rPr>
                    <w:t>压缩垃圾</w:t>
                  </w:r>
                </w:p>
              </w:tc>
              <w:tc>
                <w:tcPr>
                  <w:tcW w:w="328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运至庆阳圣元环保电力有限公司</w:t>
                  </w:r>
                </w:p>
              </w:tc>
              <w:tc>
                <w:tcPr>
                  <w:tcW w:w="408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0"/>
                      <w:szCs w:val="21"/>
                    </w:rPr>
                  </w:pPr>
                  <w:r>
                    <w:rPr>
                      <w:rFonts w:ascii="Times New Roman" w:hAnsi="Times New Roman"/>
                      <w:color w:val="auto"/>
                      <w:kern w:val="0"/>
                      <w:szCs w:val="21"/>
                    </w:rPr>
                    <w:t>《一般工业固体废物贮存、处置场污染控制标准》(GB18599-2001)及环保部2013年第36号文中相关修订中的要求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rPr>
                  </w:pP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生活垃圾</w:t>
                  </w:r>
                </w:p>
              </w:tc>
              <w:tc>
                <w:tcPr>
                  <w:tcW w:w="3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40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kern w:val="0"/>
                      <w:szCs w:val="21"/>
                    </w:rPr>
                  </w:pPr>
                </w:p>
              </w:tc>
            </w:tr>
          </w:tbl>
          <w:p>
            <w:pPr>
              <w:autoSpaceDE w:val="0"/>
              <w:autoSpaceDN w:val="0"/>
              <w:adjustRightInd w:val="0"/>
              <w:spacing w:line="352" w:lineRule="auto"/>
              <w:jc w:val="left"/>
              <w:rPr>
                <w:rFonts w:ascii="Times New Roman" w:hAnsi="Times New Roman"/>
                <w:b/>
                <w:color w:val="auto"/>
                <w:kern w:val="0"/>
                <w:sz w:val="24"/>
                <w:lang w:val="zh-CN"/>
              </w:rPr>
            </w:pPr>
            <w:r>
              <w:rPr>
                <w:rFonts w:ascii="Times New Roman" w:hAnsi="Times New Roman"/>
                <w:b/>
                <w:color w:val="auto"/>
                <w:kern w:val="0"/>
                <w:sz w:val="24"/>
              </w:rPr>
              <w:t>五、</w:t>
            </w:r>
            <w:r>
              <w:rPr>
                <w:rFonts w:ascii="Times New Roman" w:hAnsi="Times New Roman"/>
                <w:b/>
                <w:color w:val="auto"/>
                <w:kern w:val="0"/>
                <w:sz w:val="24"/>
                <w:lang w:val="zh-CN"/>
              </w:rPr>
              <w:t>项目污染物排放清单及管理要求一览表</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项目污染物排放清单及管理要求一览表见下表9-3。</w:t>
            </w:r>
          </w:p>
          <w:p>
            <w:pPr>
              <w:jc w:val="center"/>
              <w:rPr>
                <w:rFonts w:ascii="Times New Roman" w:hAnsi="Times New Roman"/>
                <w:b/>
                <w:color w:val="auto"/>
                <w:sz w:val="24"/>
              </w:rPr>
            </w:pPr>
            <w:r>
              <w:rPr>
                <w:rFonts w:ascii="Times New Roman" w:hAnsi="Times New Roman"/>
                <w:b/>
                <w:color w:val="auto"/>
                <w:sz w:val="24"/>
              </w:rPr>
              <w:t>表9-3  项目污染物排放清单及管理要求一览表</w:t>
            </w:r>
          </w:p>
          <w:tbl>
            <w:tblPr>
              <w:tblStyle w:val="26"/>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677"/>
              <w:gridCol w:w="1339"/>
              <w:gridCol w:w="1092"/>
              <w:gridCol w:w="814"/>
              <w:gridCol w:w="2268"/>
              <w:gridCol w:w="1209"/>
              <w:gridCol w:w="946"/>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Align w:val="center"/>
                </w:tcPr>
                <w:p>
                  <w:pPr>
                    <w:contextualSpacing/>
                    <w:jc w:val="center"/>
                    <w:rPr>
                      <w:rFonts w:ascii="Times New Roman" w:hAnsi="Times New Roman"/>
                      <w:b/>
                      <w:color w:val="auto"/>
                      <w:szCs w:val="21"/>
                    </w:rPr>
                  </w:pPr>
                  <w:r>
                    <w:rPr>
                      <w:rFonts w:ascii="Times New Roman" w:hAnsi="Times New Roman"/>
                      <w:b/>
                      <w:color w:val="auto"/>
                      <w:szCs w:val="21"/>
                    </w:rPr>
                    <w:t>项目</w:t>
                  </w:r>
                </w:p>
              </w:tc>
              <w:tc>
                <w:tcPr>
                  <w:tcW w:w="677" w:type="dxa"/>
                  <w:vAlign w:val="center"/>
                </w:tcPr>
                <w:p>
                  <w:pPr>
                    <w:contextualSpacing/>
                    <w:jc w:val="center"/>
                    <w:rPr>
                      <w:rFonts w:ascii="Times New Roman" w:hAnsi="Times New Roman"/>
                      <w:b/>
                      <w:color w:val="auto"/>
                      <w:szCs w:val="21"/>
                    </w:rPr>
                  </w:pPr>
                  <w:r>
                    <w:rPr>
                      <w:rFonts w:ascii="Times New Roman" w:hAnsi="Times New Roman"/>
                      <w:b/>
                      <w:color w:val="auto"/>
                      <w:szCs w:val="21"/>
                    </w:rPr>
                    <w:t>污染工序</w:t>
                  </w:r>
                </w:p>
              </w:tc>
              <w:tc>
                <w:tcPr>
                  <w:tcW w:w="1339" w:type="dxa"/>
                  <w:vAlign w:val="center"/>
                </w:tcPr>
                <w:p>
                  <w:pPr>
                    <w:contextualSpacing/>
                    <w:jc w:val="center"/>
                    <w:rPr>
                      <w:rFonts w:ascii="Times New Roman" w:hAnsi="Times New Roman"/>
                      <w:b/>
                      <w:color w:val="auto"/>
                      <w:szCs w:val="21"/>
                    </w:rPr>
                  </w:pPr>
                  <w:r>
                    <w:rPr>
                      <w:rFonts w:ascii="Times New Roman" w:hAnsi="Times New Roman"/>
                      <w:b/>
                      <w:color w:val="auto"/>
                      <w:szCs w:val="21"/>
                    </w:rPr>
                    <w:t>污染因子</w:t>
                  </w:r>
                </w:p>
              </w:tc>
              <w:tc>
                <w:tcPr>
                  <w:tcW w:w="1092" w:type="dxa"/>
                  <w:vAlign w:val="center"/>
                </w:tcPr>
                <w:p>
                  <w:pPr>
                    <w:contextualSpacing/>
                    <w:jc w:val="center"/>
                    <w:rPr>
                      <w:rFonts w:ascii="Times New Roman" w:hAnsi="Times New Roman"/>
                      <w:b/>
                      <w:color w:val="auto"/>
                      <w:szCs w:val="21"/>
                    </w:rPr>
                  </w:pPr>
                  <w:r>
                    <w:rPr>
                      <w:rFonts w:ascii="Times New Roman" w:hAnsi="Times New Roman"/>
                      <w:b/>
                      <w:color w:val="auto"/>
                      <w:szCs w:val="21"/>
                    </w:rPr>
                    <w:t>环保措施</w:t>
                  </w:r>
                </w:p>
              </w:tc>
              <w:tc>
                <w:tcPr>
                  <w:tcW w:w="814" w:type="dxa"/>
                  <w:vAlign w:val="center"/>
                </w:tcPr>
                <w:p>
                  <w:pPr>
                    <w:contextualSpacing/>
                    <w:jc w:val="center"/>
                    <w:rPr>
                      <w:rFonts w:ascii="Times New Roman" w:hAnsi="Times New Roman"/>
                      <w:b/>
                      <w:color w:val="auto"/>
                      <w:szCs w:val="21"/>
                    </w:rPr>
                  </w:pPr>
                  <w:r>
                    <w:rPr>
                      <w:rFonts w:ascii="Times New Roman" w:hAnsi="Times New Roman"/>
                      <w:b/>
                      <w:color w:val="auto"/>
                      <w:szCs w:val="21"/>
                    </w:rPr>
                    <w:t>排放浓度</w:t>
                  </w:r>
                </w:p>
                <w:p>
                  <w:pPr>
                    <w:contextualSpacing/>
                    <w:jc w:val="center"/>
                    <w:rPr>
                      <w:rFonts w:ascii="Times New Roman" w:hAnsi="Times New Roman"/>
                      <w:b/>
                      <w:color w:val="auto"/>
                      <w:szCs w:val="21"/>
                    </w:rPr>
                  </w:pPr>
                  <w:r>
                    <w:rPr>
                      <w:rFonts w:ascii="Times New Roman" w:hAnsi="Times New Roman"/>
                      <w:b/>
                      <w:color w:val="auto"/>
                      <w:szCs w:val="21"/>
                    </w:rPr>
                    <w:t>mg/m</w:t>
                  </w:r>
                  <w:r>
                    <w:rPr>
                      <w:rFonts w:ascii="Times New Roman" w:hAnsi="Times New Roman"/>
                      <w:b/>
                      <w:color w:val="auto"/>
                      <w:szCs w:val="21"/>
                      <w:vertAlign w:val="superscript"/>
                    </w:rPr>
                    <w:t>3</w:t>
                  </w:r>
                </w:p>
              </w:tc>
              <w:tc>
                <w:tcPr>
                  <w:tcW w:w="2268" w:type="dxa"/>
                  <w:vAlign w:val="center"/>
                </w:tcPr>
                <w:p>
                  <w:pPr>
                    <w:contextualSpacing/>
                    <w:jc w:val="center"/>
                    <w:rPr>
                      <w:rFonts w:ascii="Times New Roman" w:hAnsi="Times New Roman"/>
                      <w:b/>
                      <w:color w:val="auto"/>
                      <w:szCs w:val="21"/>
                    </w:rPr>
                  </w:pPr>
                  <w:r>
                    <w:rPr>
                      <w:rFonts w:ascii="Times New Roman" w:hAnsi="Times New Roman"/>
                      <w:b/>
                      <w:color w:val="auto"/>
                      <w:szCs w:val="21"/>
                    </w:rPr>
                    <w:t>执行标准</w:t>
                  </w:r>
                </w:p>
              </w:tc>
              <w:tc>
                <w:tcPr>
                  <w:tcW w:w="1209" w:type="dxa"/>
                  <w:vAlign w:val="center"/>
                </w:tcPr>
                <w:p>
                  <w:pPr>
                    <w:contextualSpacing/>
                    <w:jc w:val="center"/>
                    <w:rPr>
                      <w:rFonts w:ascii="Times New Roman" w:hAnsi="Times New Roman"/>
                      <w:b/>
                      <w:color w:val="auto"/>
                      <w:szCs w:val="21"/>
                    </w:rPr>
                  </w:pPr>
                  <w:r>
                    <w:rPr>
                      <w:rFonts w:ascii="Times New Roman" w:hAnsi="Times New Roman"/>
                      <w:b/>
                      <w:color w:val="auto"/>
                      <w:szCs w:val="21"/>
                    </w:rPr>
                    <w:t>排放量t/a</w:t>
                  </w:r>
                </w:p>
              </w:tc>
              <w:tc>
                <w:tcPr>
                  <w:tcW w:w="946" w:type="dxa"/>
                  <w:vAlign w:val="center"/>
                </w:tcPr>
                <w:p>
                  <w:pPr>
                    <w:contextualSpacing/>
                    <w:jc w:val="center"/>
                    <w:rPr>
                      <w:rFonts w:ascii="Times New Roman" w:hAnsi="Times New Roman"/>
                      <w:b/>
                      <w:color w:val="auto"/>
                      <w:szCs w:val="21"/>
                    </w:rPr>
                  </w:pPr>
                  <w:r>
                    <w:rPr>
                      <w:rFonts w:ascii="Times New Roman" w:hAnsi="Times New Roman"/>
                      <w:b/>
                      <w:color w:val="auto"/>
                      <w:szCs w:val="21"/>
                    </w:rPr>
                    <w:t>排污口</w:t>
                  </w:r>
                </w:p>
              </w:tc>
              <w:tc>
                <w:tcPr>
                  <w:tcW w:w="539" w:type="dxa"/>
                  <w:vAlign w:val="center"/>
                </w:tcPr>
                <w:p>
                  <w:pPr>
                    <w:contextualSpacing/>
                    <w:jc w:val="center"/>
                    <w:rPr>
                      <w:rFonts w:ascii="Times New Roman" w:hAnsi="Times New Roman"/>
                      <w:b/>
                      <w:color w:val="auto"/>
                      <w:szCs w:val="21"/>
                    </w:rPr>
                  </w:pPr>
                  <w:r>
                    <w:rPr>
                      <w:rFonts w:ascii="Times New Roman" w:hAnsi="Times New Roman"/>
                      <w:b/>
                      <w:color w:val="auto"/>
                      <w:szCs w:val="21"/>
                    </w:rPr>
                    <w:t>环境监测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废气</w:t>
                  </w:r>
                </w:p>
              </w:tc>
              <w:tc>
                <w:tcPr>
                  <w:tcW w:w="677" w:type="dxa"/>
                  <w:vMerge w:val="restart"/>
                  <w:vAlign w:val="center"/>
                </w:tcPr>
                <w:p>
                  <w:pPr>
                    <w:jc w:val="center"/>
                    <w:rPr>
                      <w:rFonts w:ascii="Times New Roman" w:hAnsi="Times New Roman"/>
                      <w:color w:val="auto"/>
                      <w:szCs w:val="21"/>
                    </w:rPr>
                  </w:pPr>
                  <w:r>
                    <w:rPr>
                      <w:rFonts w:ascii="Times New Roman" w:hAnsi="Times New Roman"/>
                      <w:color w:val="auto"/>
                      <w:szCs w:val="21"/>
                    </w:rPr>
                    <w:t>卸料、压缩</w:t>
                  </w:r>
                </w:p>
              </w:tc>
              <w:tc>
                <w:tcPr>
                  <w:tcW w:w="1339" w:type="dxa"/>
                  <w:vAlign w:val="center"/>
                </w:tcPr>
                <w:p>
                  <w:pPr>
                    <w:contextualSpacing/>
                    <w:jc w:val="center"/>
                    <w:rPr>
                      <w:rFonts w:ascii="Times New Roman" w:hAnsi="Times New Roman"/>
                      <w:snapToGrid w:val="0"/>
                      <w:color w:val="auto"/>
                      <w:kern w:val="0"/>
                    </w:rPr>
                  </w:pPr>
                  <w:r>
                    <w:rPr>
                      <w:rFonts w:ascii="Times New Roman" w:hAnsi="Times New Roman"/>
                      <w:snapToGrid w:val="0"/>
                      <w:color w:val="auto"/>
                      <w:kern w:val="0"/>
                    </w:rPr>
                    <w:t>氨</w:t>
                  </w:r>
                </w:p>
              </w:tc>
              <w:tc>
                <w:tcPr>
                  <w:tcW w:w="1092" w:type="dxa"/>
                  <w:vMerge w:val="restart"/>
                  <w:vAlign w:val="center"/>
                </w:tcPr>
                <w:p>
                  <w:pPr>
                    <w:jc w:val="center"/>
                    <w:rPr>
                      <w:rFonts w:ascii="Times New Roman" w:hAnsi="Times New Roman"/>
                      <w:color w:val="auto"/>
                      <w:szCs w:val="21"/>
                    </w:rPr>
                  </w:pPr>
                  <w:r>
                    <w:rPr>
                      <w:rFonts w:ascii="Times New Roman" w:hAnsi="Times New Roman"/>
                      <w:color w:val="auto"/>
                    </w:rPr>
                    <w:t>除尘除臭系统，喷洒生物除臭剂</w:t>
                  </w:r>
                </w:p>
              </w:tc>
              <w:tc>
                <w:tcPr>
                  <w:tcW w:w="814" w:type="dxa"/>
                  <w:vMerge w:val="restart"/>
                  <w:vAlign w:val="center"/>
                </w:tcPr>
                <w:p>
                  <w:pPr>
                    <w:contextualSpacing/>
                    <w:jc w:val="center"/>
                    <w:rPr>
                      <w:rFonts w:ascii="Times New Roman" w:hAnsi="Times New Roman"/>
                      <w:color w:val="auto"/>
                    </w:rPr>
                  </w:pPr>
                  <w:r>
                    <w:rPr>
                      <w:rFonts w:ascii="Times New Roman" w:hAnsi="Times New Roman"/>
                      <w:bCs/>
                      <w:color w:val="auto"/>
                    </w:rPr>
                    <w:t>/</w:t>
                  </w:r>
                </w:p>
              </w:tc>
              <w:tc>
                <w:tcPr>
                  <w:tcW w:w="2268" w:type="dxa"/>
                  <w:vMerge w:val="restart"/>
                  <w:vAlign w:val="center"/>
                </w:tcPr>
                <w:p>
                  <w:pPr>
                    <w:jc w:val="center"/>
                    <w:rPr>
                      <w:rFonts w:ascii="Times New Roman" w:hAnsi="Times New Roman"/>
                      <w:bCs/>
                      <w:color w:val="auto"/>
                    </w:rPr>
                  </w:pPr>
                  <w:r>
                    <w:rPr>
                      <w:rFonts w:ascii="Times New Roman" w:hAnsi="Times New Roman"/>
                      <w:color w:val="auto"/>
                      <w:szCs w:val="21"/>
                    </w:rPr>
                    <w:t>《恶臭污染物排放标准》(GB14554-1993) 表1二级新改扩建标准限值</w:t>
                  </w:r>
                </w:p>
              </w:tc>
              <w:tc>
                <w:tcPr>
                  <w:tcW w:w="1209" w:type="dxa"/>
                  <w:vAlign w:val="center"/>
                </w:tcPr>
                <w:p>
                  <w:pPr>
                    <w:contextualSpacing/>
                    <w:jc w:val="center"/>
                    <w:rPr>
                      <w:rFonts w:ascii="Times New Roman" w:hAnsi="Times New Roman"/>
                      <w:snapToGrid w:val="0"/>
                      <w:color w:val="auto"/>
                      <w:kern w:val="0"/>
                      <w:szCs w:val="21"/>
                    </w:rPr>
                  </w:pPr>
                  <w:r>
                    <w:rPr>
                      <w:rFonts w:ascii="Times New Roman" w:hAnsi="Times New Roman"/>
                      <w:snapToGrid w:val="0"/>
                      <w:color w:val="auto"/>
                      <w:kern w:val="0"/>
                      <w:szCs w:val="21"/>
                    </w:rPr>
                    <w:t>0.0015</w:t>
                  </w:r>
                </w:p>
              </w:tc>
              <w:tc>
                <w:tcPr>
                  <w:tcW w:w="946"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w:t>
                  </w:r>
                </w:p>
              </w:tc>
              <w:tc>
                <w:tcPr>
                  <w:tcW w:w="539"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rPr>
                  </w:pPr>
                </w:p>
              </w:tc>
              <w:tc>
                <w:tcPr>
                  <w:tcW w:w="677" w:type="dxa"/>
                  <w:vMerge w:val="continue"/>
                  <w:vAlign w:val="center"/>
                </w:tcPr>
                <w:p>
                  <w:pPr>
                    <w:contextualSpacing/>
                    <w:jc w:val="center"/>
                    <w:rPr>
                      <w:rFonts w:ascii="Times New Roman" w:hAnsi="Times New Roman"/>
                      <w:color w:val="auto"/>
                    </w:rPr>
                  </w:pPr>
                </w:p>
              </w:tc>
              <w:tc>
                <w:tcPr>
                  <w:tcW w:w="1339" w:type="dxa"/>
                  <w:vAlign w:val="center"/>
                </w:tcPr>
                <w:p>
                  <w:pPr>
                    <w:contextualSpacing/>
                    <w:jc w:val="center"/>
                    <w:rPr>
                      <w:rFonts w:ascii="Times New Roman" w:hAnsi="Times New Roman"/>
                      <w:snapToGrid w:val="0"/>
                      <w:color w:val="auto"/>
                      <w:kern w:val="0"/>
                    </w:rPr>
                  </w:pPr>
                  <w:r>
                    <w:rPr>
                      <w:rFonts w:ascii="Times New Roman" w:hAnsi="Times New Roman"/>
                      <w:snapToGrid w:val="0"/>
                      <w:color w:val="auto"/>
                      <w:kern w:val="0"/>
                    </w:rPr>
                    <w:t>硫化氢</w:t>
                  </w:r>
                </w:p>
              </w:tc>
              <w:tc>
                <w:tcPr>
                  <w:tcW w:w="1092" w:type="dxa"/>
                  <w:vMerge w:val="continue"/>
                  <w:vAlign w:val="center"/>
                </w:tcPr>
                <w:p>
                  <w:pPr>
                    <w:contextualSpacing/>
                    <w:jc w:val="center"/>
                    <w:rPr>
                      <w:rFonts w:ascii="Times New Roman" w:hAnsi="Times New Roman"/>
                      <w:snapToGrid w:val="0"/>
                      <w:color w:val="auto"/>
                      <w:kern w:val="0"/>
                    </w:rPr>
                  </w:pPr>
                </w:p>
              </w:tc>
              <w:tc>
                <w:tcPr>
                  <w:tcW w:w="814" w:type="dxa"/>
                  <w:vMerge w:val="continue"/>
                  <w:vAlign w:val="center"/>
                </w:tcPr>
                <w:p>
                  <w:pPr>
                    <w:contextualSpacing/>
                    <w:jc w:val="center"/>
                    <w:rPr>
                      <w:rFonts w:ascii="Times New Roman" w:hAnsi="Times New Roman"/>
                      <w:snapToGrid w:val="0"/>
                      <w:color w:val="auto"/>
                      <w:kern w:val="0"/>
                    </w:rPr>
                  </w:pPr>
                </w:p>
              </w:tc>
              <w:tc>
                <w:tcPr>
                  <w:tcW w:w="2268" w:type="dxa"/>
                  <w:vMerge w:val="continue"/>
                  <w:vAlign w:val="center"/>
                </w:tcPr>
                <w:p>
                  <w:pPr>
                    <w:contextualSpacing/>
                    <w:jc w:val="center"/>
                    <w:rPr>
                      <w:rFonts w:ascii="Times New Roman" w:hAnsi="Times New Roman"/>
                      <w:snapToGrid w:val="0"/>
                      <w:color w:val="auto"/>
                      <w:kern w:val="0"/>
                    </w:rPr>
                  </w:pPr>
                </w:p>
              </w:tc>
              <w:tc>
                <w:tcPr>
                  <w:tcW w:w="1209" w:type="dxa"/>
                  <w:vAlign w:val="center"/>
                </w:tcPr>
                <w:p>
                  <w:pPr>
                    <w:contextualSpacing/>
                    <w:jc w:val="center"/>
                    <w:rPr>
                      <w:rFonts w:ascii="Times New Roman" w:hAnsi="Times New Roman"/>
                      <w:snapToGrid w:val="0"/>
                      <w:color w:val="auto"/>
                      <w:kern w:val="0"/>
                    </w:rPr>
                  </w:pPr>
                  <w:r>
                    <w:rPr>
                      <w:rFonts w:ascii="Times New Roman" w:hAnsi="Times New Roman"/>
                      <w:snapToGrid w:val="0"/>
                      <w:color w:val="auto"/>
                      <w:kern w:val="0"/>
                    </w:rPr>
                    <w:t>0.00015</w:t>
                  </w:r>
                </w:p>
              </w:tc>
              <w:tc>
                <w:tcPr>
                  <w:tcW w:w="946" w:type="dxa"/>
                  <w:vMerge w:val="continue"/>
                  <w:vAlign w:val="center"/>
                </w:tcPr>
                <w:p>
                  <w:pPr>
                    <w:contextualSpacing/>
                    <w:jc w:val="center"/>
                    <w:rPr>
                      <w:rFonts w:ascii="Times New Roman" w:hAnsi="Times New Roman"/>
                      <w:snapToGrid w:val="0"/>
                      <w:color w:val="auto"/>
                      <w:kern w:val="0"/>
                    </w:rPr>
                  </w:pPr>
                </w:p>
              </w:tc>
              <w:tc>
                <w:tcPr>
                  <w:tcW w:w="539" w:type="dxa"/>
                  <w:vMerge w:val="continue"/>
                  <w:vAlign w:val="center"/>
                </w:tcPr>
                <w:p>
                  <w:pPr>
                    <w:contextualSpacing/>
                    <w:jc w:val="center"/>
                    <w:rPr>
                      <w:rFonts w:ascii="Times New Roman" w:hAnsi="Times New Roman"/>
                      <w:snapToGrid w:val="0"/>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rPr>
                  </w:pPr>
                </w:p>
              </w:tc>
              <w:tc>
                <w:tcPr>
                  <w:tcW w:w="677" w:type="dxa"/>
                  <w:vMerge w:val="continue"/>
                  <w:vAlign w:val="center"/>
                </w:tcPr>
                <w:p>
                  <w:pPr>
                    <w:contextualSpacing/>
                    <w:jc w:val="center"/>
                    <w:rPr>
                      <w:rFonts w:ascii="Times New Roman" w:hAnsi="Times New Roman"/>
                      <w:color w:val="auto"/>
                    </w:rPr>
                  </w:pPr>
                </w:p>
              </w:tc>
              <w:tc>
                <w:tcPr>
                  <w:tcW w:w="1339" w:type="dxa"/>
                  <w:vAlign w:val="center"/>
                </w:tcPr>
                <w:p>
                  <w:pPr>
                    <w:contextualSpacing/>
                    <w:jc w:val="center"/>
                    <w:rPr>
                      <w:rFonts w:ascii="Times New Roman" w:hAnsi="Times New Roman"/>
                      <w:snapToGrid w:val="0"/>
                      <w:color w:val="auto"/>
                      <w:kern w:val="0"/>
                    </w:rPr>
                  </w:pPr>
                  <w:r>
                    <w:rPr>
                      <w:rFonts w:ascii="Times New Roman" w:hAnsi="Times New Roman"/>
                      <w:snapToGrid w:val="0"/>
                      <w:color w:val="auto"/>
                      <w:kern w:val="0"/>
                    </w:rPr>
                    <w:t>臭气浓度</w:t>
                  </w:r>
                </w:p>
              </w:tc>
              <w:tc>
                <w:tcPr>
                  <w:tcW w:w="1092" w:type="dxa"/>
                  <w:vMerge w:val="continue"/>
                  <w:vAlign w:val="center"/>
                </w:tcPr>
                <w:p>
                  <w:pPr>
                    <w:contextualSpacing/>
                    <w:jc w:val="center"/>
                    <w:rPr>
                      <w:rFonts w:ascii="Times New Roman" w:hAnsi="Times New Roman"/>
                      <w:snapToGrid w:val="0"/>
                      <w:color w:val="auto"/>
                      <w:kern w:val="0"/>
                    </w:rPr>
                  </w:pPr>
                </w:p>
              </w:tc>
              <w:tc>
                <w:tcPr>
                  <w:tcW w:w="814" w:type="dxa"/>
                  <w:vAlign w:val="center"/>
                </w:tcPr>
                <w:p>
                  <w:pPr>
                    <w:contextualSpacing/>
                    <w:jc w:val="center"/>
                    <w:rPr>
                      <w:rFonts w:ascii="Times New Roman" w:hAnsi="Times New Roman"/>
                      <w:snapToGrid w:val="0"/>
                      <w:color w:val="auto"/>
                      <w:kern w:val="0"/>
                    </w:rPr>
                  </w:pPr>
                  <w:r>
                    <w:rPr>
                      <w:rFonts w:ascii="Times New Roman" w:hAnsi="Times New Roman"/>
                      <w:snapToGrid w:val="0"/>
                      <w:color w:val="auto"/>
                      <w:kern w:val="0"/>
                    </w:rPr>
                    <w:t>/</w:t>
                  </w:r>
                </w:p>
              </w:tc>
              <w:tc>
                <w:tcPr>
                  <w:tcW w:w="2268" w:type="dxa"/>
                  <w:vMerge w:val="continue"/>
                  <w:vAlign w:val="center"/>
                </w:tcPr>
                <w:p>
                  <w:pPr>
                    <w:contextualSpacing/>
                    <w:jc w:val="center"/>
                    <w:rPr>
                      <w:rFonts w:ascii="Times New Roman" w:hAnsi="Times New Roman"/>
                      <w:snapToGrid w:val="0"/>
                      <w:color w:val="auto"/>
                      <w:kern w:val="0"/>
                    </w:rPr>
                  </w:pPr>
                </w:p>
              </w:tc>
              <w:tc>
                <w:tcPr>
                  <w:tcW w:w="1209" w:type="dxa"/>
                  <w:vAlign w:val="center"/>
                </w:tcPr>
                <w:p>
                  <w:pPr>
                    <w:contextualSpacing/>
                    <w:jc w:val="center"/>
                    <w:rPr>
                      <w:rFonts w:ascii="Times New Roman" w:hAnsi="Times New Roman"/>
                      <w:snapToGrid w:val="0"/>
                      <w:color w:val="auto"/>
                      <w:kern w:val="0"/>
                    </w:rPr>
                  </w:pPr>
                  <w:r>
                    <w:rPr>
                      <w:rFonts w:ascii="Times New Roman" w:hAnsi="Times New Roman"/>
                      <w:snapToGrid w:val="0"/>
                      <w:color w:val="auto"/>
                      <w:kern w:val="0"/>
                    </w:rPr>
                    <w:t>＜20（无量纲，厂界）</w:t>
                  </w:r>
                </w:p>
              </w:tc>
              <w:tc>
                <w:tcPr>
                  <w:tcW w:w="946" w:type="dxa"/>
                  <w:vAlign w:val="center"/>
                </w:tcPr>
                <w:p>
                  <w:pPr>
                    <w:contextualSpacing/>
                    <w:jc w:val="center"/>
                    <w:rPr>
                      <w:rFonts w:ascii="Times New Roman" w:hAnsi="Times New Roman"/>
                      <w:snapToGrid w:val="0"/>
                      <w:color w:val="auto"/>
                      <w:kern w:val="0"/>
                    </w:rPr>
                  </w:pPr>
                  <w:r>
                    <w:rPr>
                      <w:rFonts w:ascii="Times New Roman" w:hAnsi="Times New Roman"/>
                      <w:snapToGrid w:val="0"/>
                      <w:color w:val="auto"/>
                      <w:kern w:val="0"/>
                    </w:rPr>
                    <w:t>/</w:t>
                  </w:r>
                </w:p>
              </w:tc>
              <w:tc>
                <w:tcPr>
                  <w:tcW w:w="539" w:type="dxa"/>
                  <w:vMerge w:val="continue"/>
                  <w:vAlign w:val="center"/>
                </w:tcPr>
                <w:p>
                  <w:pPr>
                    <w:contextualSpacing/>
                    <w:jc w:val="center"/>
                    <w:rPr>
                      <w:rFonts w:ascii="Times New Roman" w:hAnsi="Times New Roman"/>
                      <w:snapToGrid w:val="0"/>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rPr>
                  </w:pPr>
                </w:p>
              </w:tc>
              <w:tc>
                <w:tcPr>
                  <w:tcW w:w="677"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渗滤液</w:t>
                  </w:r>
                </w:p>
              </w:tc>
              <w:tc>
                <w:tcPr>
                  <w:tcW w:w="1339" w:type="dxa"/>
                  <w:vAlign w:val="center"/>
                </w:tcPr>
                <w:p>
                  <w:pPr>
                    <w:adjustRightInd w:val="0"/>
                    <w:snapToGrid w:val="0"/>
                    <w:jc w:val="center"/>
                    <w:rPr>
                      <w:rFonts w:ascii="Times New Roman" w:hAnsi="Times New Roman"/>
                      <w:color w:val="auto"/>
                      <w:szCs w:val="21"/>
                    </w:rPr>
                  </w:pPr>
                  <w:r>
                    <w:rPr>
                      <w:rFonts w:ascii="Times New Roman" w:hAnsi="Times New Roman"/>
                      <w:snapToGrid w:val="0"/>
                      <w:color w:val="auto"/>
                      <w:szCs w:val="21"/>
                    </w:rPr>
                    <w:t>COD</w:t>
                  </w:r>
                  <w:r>
                    <w:rPr>
                      <w:rFonts w:ascii="Times New Roman" w:hAnsi="Times New Roman"/>
                      <w:snapToGrid w:val="0"/>
                      <w:color w:val="auto"/>
                      <w:szCs w:val="21"/>
                      <w:vertAlign w:val="subscript"/>
                    </w:rPr>
                    <w:t>Cr</w:t>
                  </w:r>
                </w:p>
              </w:tc>
              <w:tc>
                <w:tcPr>
                  <w:tcW w:w="1092" w:type="dxa"/>
                  <w:vMerge w:val="restart"/>
                  <w:vAlign w:val="center"/>
                </w:tcPr>
                <w:p>
                  <w:pPr>
                    <w:jc w:val="center"/>
                    <w:rPr>
                      <w:rFonts w:ascii="Times New Roman" w:hAnsi="Times New Roman"/>
                      <w:color w:val="auto"/>
                      <w:szCs w:val="21"/>
                    </w:rPr>
                  </w:pPr>
                  <w:r>
                    <w:rPr>
                      <w:rFonts w:ascii="Times New Roman" w:hAnsi="Times New Roman"/>
                      <w:color w:val="auto"/>
                      <w:kern w:val="0"/>
                      <w:szCs w:val="21"/>
                    </w:rPr>
                    <w:t>经渗滤液暂存池收集后由罐车运至宁县污水处理厂</w:t>
                  </w:r>
                </w:p>
              </w:tc>
              <w:tc>
                <w:tcPr>
                  <w:tcW w:w="814" w:type="dxa"/>
                  <w:vAlign w:val="center"/>
                </w:tcPr>
                <w:p>
                  <w:pPr>
                    <w:jc w:val="center"/>
                    <w:rPr>
                      <w:rFonts w:ascii="Times New Roman" w:hAnsi="Times New Roman"/>
                      <w:color w:val="auto"/>
                      <w:szCs w:val="21"/>
                    </w:rPr>
                  </w:pPr>
                  <w:r>
                    <w:rPr>
                      <w:rFonts w:hint="eastAsia" w:ascii="Times New Roman" w:hAnsi="Times New Roman"/>
                      <w:color w:val="auto"/>
                      <w:szCs w:val="21"/>
                    </w:rPr>
                    <w:t>2</w:t>
                  </w:r>
                  <w:r>
                    <w:rPr>
                      <w:rFonts w:ascii="Times New Roman" w:hAnsi="Times New Roman"/>
                      <w:color w:val="auto"/>
                      <w:szCs w:val="21"/>
                    </w:rPr>
                    <w:t>000</w:t>
                  </w:r>
                </w:p>
              </w:tc>
              <w:tc>
                <w:tcPr>
                  <w:tcW w:w="2268" w:type="dxa"/>
                  <w:vMerge w:val="restart"/>
                  <w:vAlign w:val="center"/>
                </w:tcPr>
                <w:p>
                  <w:pPr>
                    <w:contextualSpacing/>
                    <w:jc w:val="center"/>
                    <w:rPr>
                      <w:rFonts w:ascii="Times New Roman" w:hAnsi="Times New Roman"/>
                      <w:color w:val="auto"/>
                      <w:szCs w:val="21"/>
                    </w:rPr>
                  </w:pPr>
                  <w:r>
                    <w:rPr>
                      <w:rFonts w:ascii="Times New Roman" w:hAnsi="Times New Roman"/>
                      <w:color w:val="auto"/>
                      <w:kern w:val="0"/>
                      <w:szCs w:val="21"/>
                    </w:rPr>
                    <w:t>《生活垃圾填埋污染控制标准》（GB16889-2008）表2标准</w:t>
                  </w:r>
                </w:p>
              </w:tc>
              <w:tc>
                <w:tcPr>
                  <w:tcW w:w="1209" w:type="dxa"/>
                  <w:vAlign w:val="center"/>
                </w:tcPr>
                <w:p>
                  <w:pPr>
                    <w:jc w:val="center"/>
                    <w:rPr>
                      <w:rFonts w:ascii="Times New Roman" w:hAnsi="Times New Roman"/>
                      <w:color w:val="auto"/>
                      <w:szCs w:val="21"/>
                    </w:rPr>
                  </w:pPr>
                  <w:r>
                    <w:rPr>
                      <w:rFonts w:ascii="Times New Roman" w:hAnsi="Times New Roman"/>
                      <w:color w:val="auto"/>
                      <w:szCs w:val="21"/>
                    </w:rPr>
                    <w:t>0.</w:t>
                  </w:r>
                  <w:r>
                    <w:rPr>
                      <w:rFonts w:hint="eastAsia" w:ascii="Times New Roman" w:hAnsi="Times New Roman"/>
                      <w:color w:val="auto"/>
                      <w:szCs w:val="21"/>
                    </w:rPr>
                    <w:t>1</w:t>
                  </w:r>
                </w:p>
              </w:tc>
              <w:tc>
                <w:tcPr>
                  <w:tcW w:w="946"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宁县污水处理厂</w:t>
                  </w: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rPr>
                  </w:pPr>
                </w:p>
              </w:tc>
              <w:tc>
                <w:tcPr>
                  <w:tcW w:w="677" w:type="dxa"/>
                  <w:vMerge w:val="continue"/>
                  <w:vAlign w:val="center"/>
                </w:tcPr>
                <w:p>
                  <w:pPr>
                    <w:contextualSpacing/>
                    <w:jc w:val="center"/>
                    <w:rPr>
                      <w:rFonts w:ascii="Times New Roman" w:hAnsi="Times New Roman"/>
                      <w:color w:val="auto"/>
                    </w:rPr>
                  </w:pPr>
                </w:p>
              </w:tc>
              <w:tc>
                <w:tcPr>
                  <w:tcW w:w="1339" w:type="dxa"/>
                  <w:vAlign w:val="center"/>
                </w:tcPr>
                <w:p>
                  <w:pPr>
                    <w:adjustRightInd w:val="0"/>
                    <w:snapToGrid w:val="0"/>
                    <w:jc w:val="center"/>
                    <w:rPr>
                      <w:rFonts w:ascii="Times New Roman" w:hAnsi="Times New Roman"/>
                      <w:color w:val="auto"/>
                      <w:szCs w:val="21"/>
                    </w:rPr>
                  </w:pPr>
                  <w:r>
                    <w:rPr>
                      <w:rFonts w:ascii="Times New Roman" w:hAnsi="Times New Roman"/>
                      <w:snapToGrid w:val="0"/>
                      <w:color w:val="auto"/>
                      <w:szCs w:val="21"/>
                    </w:rPr>
                    <w:t xml:space="preserve">SS </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jc w:val="center"/>
                    <w:rPr>
                      <w:rFonts w:ascii="Times New Roman" w:hAnsi="Times New Roman"/>
                      <w:color w:val="auto"/>
                      <w:szCs w:val="21"/>
                    </w:rPr>
                  </w:pPr>
                  <w:r>
                    <w:rPr>
                      <w:rFonts w:hint="eastAsia" w:ascii="Times New Roman" w:hAnsi="Times New Roman"/>
                      <w:color w:val="auto"/>
                      <w:szCs w:val="21"/>
                    </w:rPr>
                    <w:t>300</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jc w:val="center"/>
                    <w:rPr>
                      <w:rFonts w:ascii="Times New Roman" w:hAnsi="Times New Roman"/>
                      <w:color w:val="auto"/>
                      <w:szCs w:val="21"/>
                    </w:rPr>
                  </w:pPr>
                  <w:r>
                    <w:rPr>
                      <w:rFonts w:ascii="Times New Roman" w:hAnsi="Times New Roman"/>
                      <w:color w:val="auto"/>
                      <w:szCs w:val="21"/>
                    </w:rPr>
                    <w:t>0.02</w:t>
                  </w:r>
                </w:p>
              </w:tc>
              <w:tc>
                <w:tcPr>
                  <w:tcW w:w="946" w:type="dxa"/>
                  <w:vMerge w:val="continue"/>
                  <w:vAlign w:val="center"/>
                </w:tcPr>
                <w:p>
                  <w:pPr>
                    <w:contextualSpacing/>
                    <w:jc w:val="center"/>
                    <w:rPr>
                      <w:rFonts w:ascii="Times New Roman" w:hAnsi="Times New Roman"/>
                      <w:color w:val="auto"/>
                      <w:szCs w:val="21"/>
                    </w:rPr>
                  </w:pP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677" w:type="dxa"/>
                  <w:vMerge w:val="continue"/>
                  <w:vAlign w:val="center"/>
                </w:tcPr>
                <w:p>
                  <w:pPr>
                    <w:contextualSpacing/>
                    <w:jc w:val="center"/>
                    <w:rPr>
                      <w:rFonts w:ascii="Times New Roman" w:hAnsi="Times New Roman"/>
                      <w:color w:val="auto"/>
                      <w:szCs w:val="21"/>
                    </w:rPr>
                  </w:pPr>
                </w:p>
              </w:tc>
              <w:tc>
                <w:tcPr>
                  <w:tcW w:w="1339" w:type="dxa"/>
                  <w:vAlign w:val="center"/>
                </w:tcPr>
                <w:p>
                  <w:pPr>
                    <w:adjustRightInd w:val="0"/>
                    <w:snapToGrid w:val="0"/>
                    <w:jc w:val="center"/>
                    <w:rPr>
                      <w:rFonts w:ascii="Times New Roman" w:hAnsi="Times New Roman"/>
                      <w:color w:val="auto"/>
                      <w:szCs w:val="21"/>
                    </w:rPr>
                  </w:pPr>
                  <w:r>
                    <w:rPr>
                      <w:rFonts w:ascii="Times New Roman" w:hAnsi="Times New Roman"/>
                      <w:snapToGrid w:val="0"/>
                      <w:color w:val="auto"/>
                      <w:szCs w:val="21"/>
                    </w:rPr>
                    <w:t>氨氮</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jc w:val="center"/>
                    <w:rPr>
                      <w:rFonts w:ascii="Times New Roman" w:hAnsi="Times New Roman"/>
                      <w:color w:val="auto"/>
                      <w:szCs w:val="21"/>
                    </w:rPr>
                  </w:pPr>
                  <w:r>
                    <w:rPr>
                      <w:rFonts w:ascii="Times New Roman" w:hAnsi="Times New Roman"/>
                      <w:color w:val="auto"/>
                      <w:szCs w:val="21"/>
                    </w:rPr>
                    <w:t>550</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jc w:val="center"/>
                    <w:rPr>
                      <w:rFonts w:ascii="Times New Roman" w:hAnsi="Times New Roman"/>
                      <w:color w:val="auto"/>
                      <w:szCs w:val="21"/>
                    </w:rPr>
                  </w:pPr>
                  <w:r>
                    <w:rPr>
                      <w:rFonts w:ascii="Times New Roman" w:hAnsi="Times New Roman"/>
                      <w:color w:val="auto"/>
                      <w:szCs w:val="21"/>
                    </w:rPr>
                    <w:t>0.03</w:t>
                  </w:r>
                </w:p>
              </w:tc>
              <w:tc>
                <w:tcPr>
                  <w:tcW w:w="946" w:type="dxa"/>
                  <w:vMerge w:val="continue"/>
                  <w:vAlign w:val="center"/>
                </w:tcPr>
                <w:p>
                  <w:pPr>
                    <w:contextualSpacing/>
                    <w:jc w:val="center"/>
                    <w:rPr>
                      <w:rFonts w:ascii="Times New Roman" w:hAnsi="Times New Roman"/>
                      <w:color w:val="auto"/>
                      <w:szCs w:val="21"/>
                    </w:rPr>
                  </w:pP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677" w:type="dxa"/>
                  <w:vMerge w:val="continue"/>
                  <w:vAlign w:val="center"/>
                </w:tcPr>
                <w:p>
                  <w:pPr>
                    <w:contextualSpacing/>
                    <w:jc w:val="center"/>
                    <w:rPr>
                      <w:rFonts w:ascii="Times New Roman" w:hAnsi="Times New Roman"/>
                      <w:color w:val="auto"/>
                      <w:szCs w:val="21"/>
                    </w:rPr>
                  </w:pPr>
                </w:p>
              </w:tc>
              <w:tc>
                <w:tcPr>
                  <w:tcW w:w="1339" w:type="dxa"/>
                  <w:vAlign w:val="center"/>
                </w:tcPr>
                <w:p>
                  <w:pPr>
                    <w:jc w:val="center"/>
                    <w:rPr>
                      <w:rFonts w:ascii="Times New Roman" w:hAnsi="Times New Roman"/>
                      <w:color w:val="auto"/>
                      <w:szCs w:val="21"/>
                    </w:rPr>
                  </w:pPr>
                  <w:r>
                    <w:rPr>
                      <w:rFonts w:ascii="Times New Roman" w:hAnsi="Times New Roman"/>
                      <w:color w:val="auto"/>
                      <w:szCs w:val="21"/>
                    </w:rPr>
                    <w:t>TN</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jc w:val="center"/>
                    <w:rPr>
                      <w:rFonts w:ascii="Times New Roman" w:hAnsi="Times New Roman"/>
                      <w:color w:val="auto"/>
                      <w:szCs w:val="21"/>
                    </w:rPr>
                  </w:pPr>
                  <w:r>
                    <w:rPr>
                      <w:rFonts w:ascii="Times New Roman" w:hAnsi="Times New Roman"/>
                      <w:color w:val="auto"/>
                      <w:szCs w:val="21"/>
                    </w:rPr>
                    <w:t>400</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jc w:val="center"/>
                    <w:rPr>
                      <w:rFonts w:ascii="Times New Roman" w:hAnsi="Times New Roman"/>
                      <w:color w:val="auto"/>
                    </w:rPr>
                  </w:pPr>
                  <w:r>
                    <w:rPr>
                      <w:rFonts w:ascii="Times New Roman" w:hAnsi="Times New Roman"/>
                      <w:color w:val="auto"/>
                    </w:rPr>
                    <w:t>0.02</w:t>
                  </w:r>
                </w:p>
              </w:tc>
              <w:tc>
                <w:tcPr>
                  <w:tcW w:w="946" w:type="dxa"/>
                  <w:vMerge w:val="continue"/>
                  <w:vAlign w:val="center"/>
                </w:tcPr>
                <w:p>
                  <w:pPr>
                    <w:contextualSpacing/>
                    <w:jc w:val="center"/>
                    <w:rPr>
                      <w:rFonts w:ascii="Times New Roman" w:hAnsi="Times New Roman"/>
                      <w:color w:val="auto"/>
                      <w:szCs w:val="21"/>
                    </w:rPr>
                  </w:pP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677" w:type="dxa"/>
                  <w:vMerge w:val="continue"/>
                  <w:vAlign w:val="center"/>
                </w:tcPr>
                <w:p>
                  <w:pPr>
                    <w:contextualSpacing/>
                    <w:jc w:val="center"/>
                    <w:rPr>
                      <w:rFonts w:ascii="Times New Roman" w:hAnsi="Times New Roman"/>
                      <w:color w:val="auto"/>
                      <w:szCs w:val="21"/>
                    </w:rPr>
                  </w:pPr>
                </w:p>
              </w:tc>
              <w:tc>
                <w:tcPr>
                  <w:tcW w:w="1339" w:type="dxa"/>
                  <w:vAlign w:val="center"/>
                </w:tcPr>
                <w:p>
                  <w:pPr>
                    <w:jc w:val="center"/>
                    <w:rPr>
                      <w:rFonts w:ascii="Times New Roman" w:hAnsi="Times New Roman"/>
                      <w:color w:val="auto"/>
                      <w:szCs w:val="21"/>
                    </w:rPr>
                  </w:pPr>
                  <w:r>
                    <w:rPr>
                      <w:rFonts w:ascii="Times New Roman" w:hAnsi="Times New Roman"/>
                      <w:color w:val="auto"/>
                      <w:szCs w:val="21"/>
                    </w:rPr>
                    <w:t>TP</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jc w:val="center"/>
                    <w:rPr>
                      <w:rFonts w:ascii="Times New Roman" w:hAnsi="Times New Roman"/>
                      <w:color w:val="auto"/>
                      <w:szCs w:val="21"/>
                    </w:rPr>
                  </w:pPr>
                  <w:r>
                    <w:rPr>
                      <w:rFonts w:ascii="Times New Roman" w:hAnsi="Times New Roman"/>
                      <w:color w:val="auto"/>
                      <w:szCs w:val="21"/>
                    </w:rPr>
                    <w:t>50</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jc w:val="center"/>
                    <w:rPr>
                      <w:rFonts w:ascii="Times New Roman" w:hAnsi="Times New Roman"/>
                      <w:color w:val="auto"/>
                    </w:rPr>
                  </w:pPr>
                  <w:r>
                    <w:rPr>
                      <w:rFonts w:ascii="Times New Roman" w:hAnsi="Times New Roman"/>
                      <w:color w:val="auto"/>
                    </w:rPr>
                    <w:t>0.002</w:t>
                  </w:r>
                </w:p>
              </w:tc>
              <w:tc>
                <w:tcPr>
                  <w:tcW w:w="946" w:type="dxa"/>
                  <w:vMerge w:val="continue"/>
                  <w:vAlign w:val="center"/>
                </w:tcPr>
                <w:p>
                  <w:pPr>
                    <w:contextualSpacing/>
                    <w:jc w:val="center"/>
                    <w:rPr>
                      <w:rFonts w:ascii="Times New Roman" w:hAnsi="Times New Roman"/>
                      <w:color w:val="auto"/>
                      <w:szCs w:val="21"/>
                    </w:rPr>
                  </w:pP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677"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冲洗废水</w:t>
                  </w:r>
                </w:p>
              </w:tc>
              <w:tc>
                <w:tcPr>
                  <w:tcW w:w="1339" w:type="dxa"/>
                  <w:vAlign w:val="center"/>
                </w:tcPr>
                <w:p>
                  <w:pPr>
                    <w:adjustRightInd w:val="0"/>
                    <w:snapToGrid w:val="0"/>
                    <w:jc w:val="center"/>
                    <w:rPr>
                      <w:rFonts w:ascii="Times New Roman" w:hAnsi="Times New Roman"/>
                      <w:color w:val="auto"/>
                      <w:szCs w:val="21"/>
                    </w:rPr>
                  </w:pPr>
                  <w:r>
                    <w:rPr>
                      <w:rFonts w:ascii="Times New Roman" w:hAnsi="Times New Roman"/>
                      <w:snapToGrid w:val="0"/>
                      <w:color w:val="auto"/>
                      <w:szCs w:val="21"/>
                    </w:rPr>
                    <w:t>COD</w:t>
                  </w:r>
                  <w:r>
                    <w:rPr>
                      <w:rFonts w:ascii="Times New Roman" w:hAnsi="Times New Roman"/>
                      <w:snapToGrid w:val="0"/>
                      <w:color w:val="auto"/>
                      <w:szCs w:val="21"/>
                      <w:vertAlign w:val="subscript"/>
                    </w:rPr>
                    <w:t>Cr</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jc w:val="center"/>
                    <w:rPr>
                      <w:rFonts w:ascii="Times New Roman" w:hAnsi="Times New Roman"/>
                      <w:color w:val="auto"/>
                      <w:szCs w:val="21"/>
                    </w:rPr>
                  </w:pPr>
                  <w:r>
                    <w:rPr>
                      <w:rFonts w:ascii="Times New Roman" w:hAnsi="Times New Roman"/>
                      <w:color w:val="auto"/>
                      <w:szCs w:val="21"/>
                    </w:rPr>
                    <w:t>400</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jc w:val="center"/>
                    <w:rPr>
                      <w:rFonts w:ascii="Times New Roman" w:hAnsi="Times New Roman"/>
                      <w:color w:val="auto"/>
                      <w:szCs w:val="21"/>
                    </w:rPr>
                  </w:pPr>
                  <w:r>
                    <w:rPr>
                      <w:rFonts w:ascii="Times New Roman" w:hAnsi="Times New Roman"/>
                      <w:color w:val="auto"/>
                      <w:szCs w:val="21"/>
                    </w:rPr>
                    <w:t>0.02</w:t>
                  </w:r>
                </w:p>
              </w:tc>
              <w:tc>
                <w:tcPr>
                  <w:tcW w:w="946" w:type="dxa"/>
                  <w:vMerge w:val="continue"/>
                  <w:vAlign w:val="center"/>
                </w:tcPr>
                <w:p>
                  <w:pPr>
                    <w:contextualSpacing/>
                    <w:jc w:val="center"/>
                    <w:rPr>
                      <w:rFonts w:ascii="Times New Roman" w:hAnsi="Times New Roman"/>
                      <w:color w:val="auto"/>
                      <w:szCs w:val="21"/>
                    </w:rPr>
                  </w:pP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677" w:type="dxa"/>
                  <w:vMerge w:val="continue"/>
                  <w:vAlign w:val="center"/>
                </w:tcPr>
                <w:p>
                  <w:pPr>
                    <w:contextualSpacing/>
                    <w:jc w:val="center"/>
                    <w:rPr>
                      <w:rFonts w:ascii="Times New Roman" w:hAnsi="Times New Roman"/>
                      <w:color w:val="auto"/>
                      <w:szCs w:val="21"/>
                    </w:rPr>
                  </w:pPr>
                </w:p>
              </w:tc>
              <w:tc>
                <w:tcPr>
                  <w:tcW w:w="1339" w:type="dxa"/>
                  <w:vAlign w:val="center"/>
                </w:tcPr>
                <w:p>
                  <w:pPr>
                    <w:adjustRightInd w:val="0"/>
                    <w:snapToGrid w:val="0"/>
                    <w:jc w:val="center"/>
                    <w:rPr>
                      <w:rFonts w:ascii="Times New Roman" w:hAnsi="Times New Roman"/>
                      <w:snapToGrid w:val="0"/>
                      <w:color w:val="auto"/>
                      <w:szCs w:val="21"/>
                    </w:rPr>
                  </w:pPr>
                  <w:r>
                    <w:rPr>
                      <w:rFonts w:ascii="Times New Roman" w:hAnsi="Times New Roman"/>
                      <w:snapToGrid w:val="0"/>
                      <w:color w:val="auto"/>
                      <w:szCs w:val="21"/>
                    </w:rPr>
                    <w:t>BOD</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jc w:val="center"/>
                    <w:rPr>
                      <w:rFonts w:ascii="Times New Roman" w:hAnsi="Times New Roman"/>
                      <w:color w:val="auto"/>
                      <w:szCs w:val="21"/>
                    </w:rPr>
                  </w:pPr>
                  <w:r>
                    <w:rPr>
                      <w:rFonts w:ascii="Times New Roman" w:hAnsi="Times New Roman"/>
                      <w:color w:val="auto"/>
                      <w:szCs w:val="21"/>
                    </w:rPr>
                    <w:t>185</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jc w:val="center"/>
                    <w:rPr>
                      <w:rFonts w:ascii="Times New Roman" w:hAnsi="Times New Roman"/>
                      <w:color w:val="auto"/>
                      <w:szCs w:val="21"/>
                    </w:rPr>
                  </w:pPr>
                  <w:r>
                    <w:rPr>
                      <w:rFonts w:ascii="Times New Roman" w:hAnsi="Times New Roman"/>
                      <w:color w:val="auto"/>
                      <w:szCs w:val="21"/>
                    </w:rPr>
                    <w:t>0.01</w:t>
                  </w:r>
                </w:p>
              </w:tc>
              <w:tc>
                <w:tcPr>
                  <w:tcW w:w="946" w:type="dxa"/>
                  <w:vMerge w:val="continue"/>
                  <w:vAlign w:val="center"/>
                </w:tcPr>
                <w:p>
                  <w:pPr>
                    <w:contextualSpacing/>
                    <w:jc w:val="center"/>
                    <w:rPr>
                      <w:rFonts w:ascii="Times New Roman" w:hAnsi="Times New Roman"/>
                      <w:color w:val="auto"/>
                      <w:szCs w:val="21"/>
                    </w:rPr>
                  </w:pP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677" w:type="dxa"/>
                  <w:vMerge w:val="continue"/>
                  <w:vAlign w:val="center"/>
                </w:tcPr>
                <w:p>
                  <w:pPr>
                    <w:contextualSpacing/>
                    <w:jc w:val="center"/>
                    <w:rPr>
                      <w:rFonts w:ascii="Times New Roman" w:hAnsi="Times New Roman"/>
                      <w:color w:val="auto"/>
                      <w:szCs w:val="21"/>
                    </w:rPr>
                  </w:pPr>
                </w:p>
              </w:tc>
              <w:tc>
                <w:tcPr>
                  <w:tcW w:w="1339" w:type="dxa"/>
                  <w:vAlign w:val="center"/>
                </w:tcPr>
                <w:p>
                  <w:pPr>
                    <w:adjustRightInd w:val="0"/>
                    <w:snapToGrid w:val="0"/>
                    <w:jc w:val="center"/>
                    <w:rPr>
                      <w:rFonts w:ascii="Times New Roman" w:hAnsi="Times New Roman"/>
                      <w:color w:val="auto"/>
                      <w:szCs w:val="21"/>
                    </w:rPr>
                  </w:pPr>
                  <w:r>
                    <w:rPr>
                      <w:rFonts w:ascii="Times New Roman" w:hAnsi="Times New Roman"/>
                      <w:snapToGrid w:val="0"/>
                      <w:color w:val="auto"/>
                      <w:szCs w:val="21"/>
                    </w:rPr>
                    <w:t xml:space="preserve">氨氮 </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jc w:val="center"/>
                    <w:rPr>
                      <w:rFonts w:ascii="Times New Roman" w:hAnsi="Times New Roman"/>
                      <w:color w:val="auto"/>
                      <w:szCs w:val="21"/>
                    </w:rPr>
                  </w:pPr>
                  <w:r>
                    <w:rPr>
                      <w:rFonts w:ascii="Times New Roman" w:hAnsi="Times New Roman"/>
                      <w:color w:val="auto"/>
                      <w:szCs w:val="21"/>
                    </w:rPr>
                    <w:t>30</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jc w:val="center"/>
                    <w:rPr>
                      <w:rFonts w:ascii="Times New Roman" w:hAnsi="Times New Roman"/>
                      <w:color w:val="auto"/>
                      <w:szCs w:val="21"/>
                    </w:rPr>
                  </w:pPr>
                  <w:r>
                    <w:rPr>
                      <w:rFonts w:ascii="Times New Roman" w:hAnsi="Times New Roman"/>
                      <w:color w:val="auto"/>
                      <w:szCs w:val="21"/>
                    </w:rPr>
                    <w:t>0.001</w:t>
                  </w:r>
                </w:p>
              </w:tc>
              <w:tc>
                <w:tcPr>
                  <w:tcW w:w="946" w:type="dxa"/>
                  <w:vMerge w:val="continue"/>
                  <w:vAlign w:val="center"/>
                </w:tcPr>
                <w:p>
                  <w:pPr>
                    <w:contextualSpacing/>
                    <w:jc w:val="center"/>
                    <w:rPr>
                      <w:rFonts w:ascii="Times New Roman" w:hAnsi="Times New Roman"/>
                      <w:color w:val="auto"/>
                      <w:szCs w:val="21"/>
                    </w:rPr>
                  </w:pP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677" w:type="dxa"/>
                  <w:vMerge w:val="continue"/>
                  <w:vAlign w:val="center"/>
                </w:tcPr>
                <w:p>
                  <w:pPr>
                    <w:contextualSpacing/>
                    <w:jc w:val="center"/>
                    <w:rPr>
                      <w:rFonts w:ascii="Times New Roman" w:hAnsi="Times New Roman"/>
                      <w:color w:val="auto"/>
                      <w:szCs w:val="21"/>
                    </w:rPr>
                  </w:pPr>
                </w:p>
              </w:tc>
              <w:tc>
                <w:tcPr>
                  <w:tcW w:w="1339" w:type="dxa"/>
                  <w:vAlign w:val="center"/>
                </w:tcPr>
                <w:p>
                  <w:pPr>
                    <w:adjustRightInd w:val="0"/>
                    <w:snapToGrid w:val="0"/>
                    <w:jc w:val="center"/>
                    <w:rPr>
                      <w:rFonts w:ascii="Times New Roman" w:hAnsi="Times New Roman"/>
                      <w:color w:val="auto"/>
                      <w:szCs w:val="21"/>
                    </w:rPr>
                  </w:pPr>
                  <w:r>
                    <w:rPr>
                      <w:rFonts w:ascii="Times New Roman" w:hAnsi="Times New Roman"/>
                      <w:snapToGrid w:val="0"/>
                      <w:color w:val="auto"/>
                      <w:szCs w:val="21"/>
                    </w:rPr>
                    <w:t>SS</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jc w:val="center"/>
                    <w:rPr>
                      <w:rFonts w:ascii="Times New Roman" w:hAnsi="Times New Roman"/>
                      <w:color w:val="auto"/>
                      <w:szCs w:val="21"/>
                    </w:rPr>
                  </w:pPr>
                  <w:r>
                    <w:rPr>
                      <w:rFonts w:ascii="Times New Roman" w:hAnsi="Times New Roman"/>
                      <w:color w:val="auto"/>
                      <w:szCs w:val="21"/>
                    </w:rPr>
                    <w:t>500</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jc w:val="center"/>
                    <w:rPr>
                      <w:rFonts w:ascii="Times New Roman" w:hAnsi="Times New Roman"/>
                      <w:color w:val="auto"/>
                      <w:szCs w:val="21"/>
                    </w:rPr>
                  </w:pPr>
                  <w:r>
                    <w:rPr>
                      <w:rFonts w:ascii="Times New Roman" w:hAnsi="Times New Roman"/>
                      <w:color w:val="auto"/>
                      <w:szCs w:val="21"/>
                    </w:rPr>
                    <w:t>0.03</w:t>
                  </w:r>
                </w:p>
              </w:tc>
              <w:tc>
                <w:tcPr>
                  <w:tcW w:w="946" w:type="dxa"/>
                  <w:vMerge w:val="continue"/>
                  <w:vAlign w:val="center"/>
                </w:tcPr>
                <w:p>
                  <w:pPr>
                    <w:contextualSpacing/>
                    <w:jc w:val="center"/>
                    <w:rPr>
                      <w:rFonts w:ascii="Times New Roman" w:hAnsi="Times New Roman"/>
                      <w:color w:val="auto"/>
                      <w:szCs w:val="21"/>
                    </w:rPr>
                  </w:pPr>
                </w:p>
              </w:tc>
              <w:tc>
                <w:tcPr>
                  <w:tcW w:w="539" w:type="dxa"/>
                  <w:vMerge w:val="continue"/>
                  <w:vAlign w:val="center"/>
                </w:tcPr>
                <w:p>
                  <w:pPr>
                    <w:contextualSpacing/>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固废</w:t>
                  </w:r>
                </w:p>
              </w:tc>
              <w:tc>
                <w:tcPr>
                  <w:tcW w:w="677" w:type="dxa"/>
                  <w:vAlign w:val="center"/>
                </w:tcPr>
                <w:p>
                  <w:pPr>
                    <w:contextualSpacing/>
                    <w:jc w:val="center"/>
                    <w:rPr>
                      <w:rFonts w:ascii="Times New Roman" w:hAnsi="Times New Roman"/>
                      <w:color w:val="auto"/>
                      <w:szCs w:val="21"/>
                    </w:rPr>
                  </w:pPr>
                  <w:r>
                    <w:rPr>
                      <w:rFonts w:ascii="Times New Roman" w:hAnsi="Times New Roman"/>
                      <w:color w:val="auto"/>
                      <w:szCs w:val="21"/>
                    </w:rPr>
                    <w:t>生产</w:t>
                  </w:r>
                </w:p>
              </w:tc>
              <w:tc>
                <w:tcPr>
                  <w:tcW w:w="1339" w:type="dxa"/>
                  <w:vAlign w:val="center"/>
                </w:tcPr>
                <w:p>
                  <w:pPr>
                    <w:widowControl/>
                    <w:jc w:val="center"/>
                    <w:rPr>
                      <w:rFonts w:ascii="Times New Roman" w:hAnsi="Times New Roman"/>
                      <w:color w:val="auto"/>
                      <w:szCs w:val="21"/>
                    </w:rPr>
                  </w:pPr>
                  <w:r>
                    <w:rPr>
                      <w:rFonts w:ascii="Times New Roman" w:hAnsi="Times New Roman"/>
                      <w:color w:val="auto"/>
                      <w:kern w:val="0"/>
                      <w:szCs w:val="21"/>
                    </w:rPr>
                    <w:t>压缩垃圾</w:t>
                  </w:r>
                </w:p>
              </w:tc>
              <w:tc>
                <w:tcPr>
                  <w:tcW w:w="1092"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 xml:space="preserve">运至庆阳圣元环保电力有限公司； </w:t>
                  </w:r>
                </w:p>
              </w:tc>
              <w:tc>
                <w:tcPr>
                  <w:tcW w:w="814" w:type="dxa"/>
                  <w:vAlign w:val="center"/>
                </w:tcPr>
                <w:p>
                  <w:pPr>
                    <w:contextualSpacing/>
                    <w:jc w:val="center"/>
                    <w:rPr>
                      <w:rFonts w:ascii="Times New Roman" w:hAnsi="Times New Roman"/>
                      <w:color w:val="auto"/>
                      <w:szCs w:val="21"/>
                    </w:rPr>
                  </w:pPr>
                  <w:r>
                    <w:rPr>
                      <w:rFonts w:ascii="Times New Roman" w:hAnsi="Times New Roman"/>
                      <w:color w:val="auto"/>
                      <w:szCs w:val="21"/>
                    </w:rPr>
                    <w:t>/</w:t>
                  </w:r>
                </w:p>
              </w:tc>
              <w:tc>
                <w:tcPr>
                  <w:tcW w:w="2268" w:type="dxa"/>
                  <w:vMerge w:val="restart"/>
                  <w:vAlign w:val="center"/>
                </w:tcPr>
                <w:p>
                  <w:pPr>
                    <w:contextualSpacing/>
                    <w:jc w:val="center"/>
                    <w:rPr>
                      <w:rFonts w:ascii="Times New Roman" w:hAnsi="Times New Roman"/>
                      <w:color w:val="auto"/>
                      <w:szCs w:val="21"/>
                    </w:rPr>
                  </w:pPr>
                  <w:r>
                    <w:rPr>
                      <w:rFonts w:ascii="Times New Roman" w:hAnsi="Times New Roman"/>
                      <w:color w:val="auto"/>
                      <w:kern w:val="0"/>
                      <w:szCs w:val="21"/>
                    </w:rPr>
                    <w:t>《一般工业固体废物贮存、处置场污染控制标准》(GB18599-2001)及其修改单</w:t>
                  </w:r>
                </w:p>
              </w:tc>
              <w:tc>
                <w:tcPr>
                  <w:tcW w:w="1209" w:type="dxa"/>
                  <w:vAlign w:val="center"/>
                </w:tcPr>
                <w:p>
                  <w:pPr>
                    <w:contextualSpacing/>
                    <w:jc w:val="center"/>
                    <w:rPr>
                      <w:rFonts w:ascii="Times New Roman" w:hAnsi="Times New Roman"/>
                      <w:color w:val="auto"/>
                      <w:szCs w:val="21"/>
                    </w:rPr>
                  </w:pPr>
                  <w:r>
                    <w:rPr>
                      <w:rFonts w:ascii="Times New Roman" w:hAnsi="Times New Roman"/>
                      <w:color w:val="auto"/>
                      <w:szCs w:val="21"/>
                    </w:rPr>
                    <w:t>1303.5</w:t>
                  </w:r>
                </w:p>
              </w:tc>
              <w:tc>
                <w:tcPr>
                  <w:tcW w:w="946"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w:t>
                  </w:r>
                </w:p>
              </w:tc>
              <w:tc>
                <w:tcPr>
                  <w:tcW w:w="539" w:type="dxa"/>
                  <w:vAlign w:val="center"/>
                </w:tcPr>
                <w:p>
                  <w:pPr>
                    <w:contextualSpacing/>
                    <w:jc w:val="center"/>
                    <w:rPr>
                      <w:rFonts w:ascii="Times New Roman" w:hAnsi="Times New Roman"/>
                      <w:color w:val="auto"/>
                      <w:szCs w:val="21"/>
                    </w:rPr>
                  </w:pPr>
                  <w:r>
                    <w:rPr>
                      <w:rFonts w:ascii="Times New Roman" w:hAnsi="Times New Roman"/>
                      <w:color w:val="auto"/>
                      <w:szCs w:val="21"/>
                    </w:rPr>
                    <w:t>台账管理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677" w:type="dxa"/>
                  <w:vAlign w:val="center"/>
                </w:tcPr>
                <w:p>
                  <w:pPr>
                    <w:contextualSpacing/>
                    <w:jc w:val="center"/>
                    <w:rPr>
                      <w:rFonts w:ascii="Times New Roman" w:hAnsi="Times New Roman"/>
                      <w:color w:val="auto"/>
                      <w:szCs w:val="21"/>
                    </w:rPr>
                  </w:pPr>
                  <w:r>
                    <w:rPr>
                      <w:rFonts w:ascii="Times New Roman" w:hAnsi="Times New Roman"/>
                      <w:color w:val="auto"/>
                      <w:szCs w:val="21"/>
                    </w:rPr>
                    <w:t>生活</w:t>
                  </w:r>
                </w:p>
              </w:tc>
              <w:tc>
                <w:tcPr>
                  <w:tcW w:w="1339" w:type="dxa"/>
                  <w:vAlign w:val="center"/>
                </w:tcPr>
                <w:p>
                  <w:pPr>
                    <w:contextualSpacing/>
                    <w:jc w:val="center"/>
                    <w:rPr>
                      <w:rFonts w:ascii="Times New Roman" w:hAnsi="Times New Roman"/>
                      <w:color w:val="auto"/>
                      <w:szCs w:val="21"/>
                    </w:rPr>
                  </w:pPr>
                  <w:r>
                    <w:rPr>
                      <w:rFonts w:ascii="Times New Roman" w:hAnsi="Times New Roman"/>
                      <w:color w:val="auto"/>
                      <w:szCs w:val="21"/>
                    </w:rPr>
                    <w:t>生活垃圾</w:t>
                  </w:r>
                </w:p>
              </w:tc>
              <w:tc>
                <w:tcPr>
                  <w:tcW w:w="1092" w:type="dxa"/>
                  <w:vMerge w:val="continue"/>
                  <w:vAlign w:val="center"/>
                </w:tcPr>
                <w:p>
                  <w:pPr>
                    <w:contextualSpacing/>
                    <w:jc w:val="center"/>
                    <w:rPr>
                      <w:rFonts w:ascii="Times New Roman" w:hAnsi="Times New Roman"/>
                      <w:color w:val="auto"/>
                      <w:szCs w:val="21"/>
                    </w:rPr>
                  </w:pPr>
                </w:p>
              </w:tc>
              <w:tc>
                <w:tcPr>
                  <w:tcW w:w="814" w:type="dxa"/>
                  <w:vAlign w:val="center"/>
                </w:tcPr>
                <w:p>
                  <w:pPr>
                    <w:contextualSpacing/>
                    <w:jc w:val="center"/>
                    <w:rPr>
                      <w:rFonts w:ascii="Times New Roman" w:hAnsi="Times New Roman"/>
                      <w:color w:val="auto"/>
                      <w:szCs w:val="21"/>
                    </w:rPr>
                  </w:pPr>
                  <w:r>
                    <w:rPr>
                      <w:rFonts w:ascii="Times New Roman" w:hAnsi="Times New Roman"/>
                      <w:color w:val="auto"/>
                      <w:szCs w:val="21"/>
                    </w:rPr>
                    <w:t>/</w:t>
                  </w:r>
                </w:p>
              </w:tc>
              <w:tc>
                <w:tcPr>
                  <w:tcW w:w="2268" w:type="dxa"/>
                  <w:vMerge w:val="continue"/>
                  <w:vAlign w:val="center"/>
                </w:tcPr>
                <w:p>
                  <w:pPr>
                    <w:contextualSpacing/>
                    <w:jc w:val="center"/>
                    <w:rPr>
                      <w:rFonts w:ascii="Times New Roman" w:hAnsi="Times New Roman"/>
                      <w:color w:val="auto"/>
                      <w:szCs w:val="21"/>
                    </w:rPr>
                  </w:pPr>
                </w:p>
              </w:tc>
              <w:tc>
                <w:tcPr>
                  <w:tcW w:w="1209" w:type="dxa"/>
                  <w:vAlign w:val="center"/>
                </w:tcPr>
                <w:p>
                  <w:pPr>
                    <w:contextualSpacing/>
                    <w:jc w:val="center"/>
                    <w:rPr>
                      <w:rFonts w:ascii="Times New Roman" w:hAnsi="Times New Roman"/>
                      <w:color w:val="auto"/>
                      <w:szCs w:val="21"/>
                    </w:rPr>
                  </w:pPr>
                  <w:r>
                    <w:rPr>
                      <w:rFonts w:ascii="Times New Roman" w:hAnsi="Times New Roman"/>
                      <w:color w:val="auto"/>
                      <w:szCs w:val="21"/>
                    </w:rPr>
                    <w:t>0.36</w:t>
                  </w:r>
                </w:p>
              </w:tc>
              <w:tc>
                <w:tcPr>
                  <w:tcW w:w="946" w:type="dxa"/>
                  <w:vMerge w:val="continue"/>
                  <w:vAlign w:val="center"/>
                </w:tcPr>
                <w:p>
                  <w:pPr>
                    <w:contextualSpacing/>
                    <w:jc w:val="center"/>
                    <w:rPr>
                      <w:rFonts w:ascii="Times New Roman" w:hAnsi="Times New Roman"/>
                      <w:color w:val="auto"/>
                      <w:szCs w:val="21"/>
                    </w:rPr>
                  </w:pPr>
                </w:p>
              </w:tc>
              <w:tc>
                <w:tcPr>
                  <w:tcW w:w="539" w:type="dxa"/>
                  <w:vAlign w:val="center"/>
                </w:tcPr>
                <w:p>
                  <w:pPr>
                    <w:contextualSpacing/>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Align w:val="center"/>
                </w:tcPr>
                <w:p>
                  <w:pPr>
                    <w:contextualSpacing/>
                    <w:jc w:val="center"/>
                    <w:rPr>
                      <w:rFonts w:ascii="Times New Roman" w:hAnsi="Times New Roman"/>
                      <w:color w:val="auto"/>
                      <w:szCs w:val="21"/>
                    </w:rPr>
                  </w:pPr>
                  <w:r>
                    <w:rPr>
                      <w:rFonts w:ascii="Times New Roman" w:hAnsi="Times New Roman"/>
                      <w:color w:val="auto"/>
                      <w:szCs w:val="21"/>
                    </w:rPr>
                    <w:t>噪声</w:t>
                  </w:r>
                </w:p>
              </w:tc>
              <w:tc>
                <w:tcPr>
                  <w:tcW w:w="677" w:type="dxa"/>
                  <w:vAlign w:val="center"/>
                </w:tcPr>
                <w:p>
                  <w:pPr>
                    <w:contextualSpacing/>
                    <w:jc w:val="center"/>
                    <w:rPr>
                      <w:rFonts w:ascii="Times New Roman" w:hAnsi="Times New Roman"/>
                      <w:color w:val="auto"/>
                      <w:szCs w:val="21"/>
                    </w:rPr>
                  </w:pPr>
                  <w:r>
                    <w:rPr>
                      <w:rFonts w:ascii="Times New Roman" w:hAnsi="Times New Roman"/>
                      <w:color w:val="auto"/>
                    </w:rPr>
                    <w:t>设备运转噪声、垃圾转运车运输噪声</w:t>
                  </w:r>
                </w:p>
              </w:tc>
              <w:tc>
                <w:tcPr>
                  <w:tcW w:w="1339" w:type="dxa"/>
                  <w:vAlign w:val="center"/>
                </w:tcPr>
                <w:p>
                  <w:pPr>
                    <w:contextualSpacing/>
                    <w:jc w:val="center"/>
                    <w:rPr>
                      <w:rFonts w:ascii="Times New Roman" w:hAnsi="Times New Roman"/>
                      <w:color w:val="auto"/>
                      <w:szCs w:val="21"/>
                    </w:rPr>
                  </w:pPr>
                  <w:r>
                    <w:rPr>
                      <w:rFonts w:ascii="Times New Roman" w:hAnsi="Times New Roman"/>
                      <w:color w:val="auto"/>
                      <w:szCs w:val="21"/>
                    </w:rPr>
                    <w:t>Leq</w:t>
                  </w:r>
                </w:p>
              </w:tc>
              <w:tc>
                <w:tcPr>
                  <w:tcW w:w="1092" w:type="dxa"/>
                  <w:vAlign w:val="center"/>
                </w:tcPr>
                <w:p>
                  <w:pPr>
                    <w:contextualSpacing/>
                    <w:jc w:val="center"/>
                    <w:rPr>
                      <w:rFonts w:ascii="Times New Roman" w:hAnsi="Times New Roman"/>
                      <w:color w:val="auto"/>
                      <w:szCs w:val="21"/>
                    </w:rPr>
                  </w:pPr>
                  <w:r>
                    <w:rPr>
                      <w:rFonts w:ascii="Times New Roman" w:hAnsi="Times New Roman"/>
                      <w:color w:val="auto"/>
                      <w:szCs w:val="21"/>
                    </w:rPr>
                    <w:t>基础减振、隔声</w:t>
                  </w:r>
                </w:p>
              </w:tc>
              <w:tc>
                <w:tcPr>
                  <w:tcW w:w="814" w:type="dxa"/>
                  <w:vAlign w:val="center"/>
                </w:tcPr>
                <w:p>
                  <w:pPr>
                    <w:contextualSpacing/>
                    <w:jc w:val="center"/>
                    <w:rPr>
                      <w:rFonts w:ascii="Times New Roman" w:hAnsi="Times New Roman"/>
                      <w:color w:val="auto"/>
                      <w:szCs w:val="21"/>
                    </w:rPr>
                  </w:pPr>
                  <w:r>
                    <w:rPr>
                      <w:rFonts w:ascii="Times New Roman" w:hAnsi="Times New Roman"/>
                      <w:color w:val="auto"/>
                      <w:szCs w:val="21"/>
                    </w:rPr>
                    <w:t>/</w:t>
                  </w:r>
                </w:p>
              </w:tc>
              <w:tc>
                <w:tcPr>
                  <w:tcW w:w="2268" w:type="dxa"/>
                  <w:vAlign w:val="center"/>
                </w:tcPr>
                <w:p>
                  <w:pPr>
                    <w:contextualSpacing/>
                    <w:jc w:val="center"/>
                    <w:rPr>
                      <w:rFonts w:ascii="Times New Roman" w:hAnsi="Times New Roman"/>
                      <w:color w:val="auto"/>
                      <w:szCs w:val="21"/>
                    </w:rPr>
                  </w:pPr>
                  <w:r>
                    <w:rPr>
                      <w:rFonts w:ascii="Times New Roman" w:hAnsi="Times New Roman"/>
                      <w:color w:val="auto"/>
                      <w:szCs w:val="21"/>
                    </w:rPr>
                    <w:t>《工业企业厂界环境噪声排放标准》（GB12348-2008）1 类</w:t>
                  </w:r>
                </w:p>
              </w:tc>
              <w:tc>
                <w:tcPr>
                  <w:tcW w:w="1209" w:type="dxa"/>
                  <w:vAlign w:val="center"/>
                </w:tcPr>
                <w:p>
                  <w:pPr>
                    <w:contextualSpacing/>
                    <w:jc w:val="center"/>
                    <w:rPr>
                      <w:rFonts w:ascii="Times New Roman" w:hAnsi="Times New Roman"/>
                      <w:color w:val="auto"/>
                      <w:szCs w:val="21"/>
                    </w:rPr>
                  </w:pPr>
                  <w:r>
                    <w:rPr>
                      <w:rFonts w:ascii="Times New Roman" w:hAnsi="Times New Roman"/>
                      <w:color w:val="auto"/>
                      <w:szCs w:val="21"/>
                    </w:rPr>
                    <w:t>/</w:t>
                  </w:r>
                </w:p>
              </w:tc>
              <w:tc>
                <w:tcPr>
                  <w:tcW w:w="946" w:type="dxa"/>
                  <w:vAlign w:val="center"/>
                </w:tcPr>
                <w:p>
                  <w:pPr>
                    <w:contextualSpacing/>
                    <w:jc w:val="center"/>
                    <w:rPr>
                      <w:rFonts w:ascii="Times New Roman" w:hAnsi="Times New Roman"/>
                      <w:color w:val="auto"/>
                      <w:szCs w:val="21"/>
                    </w:rPr>
                  </w:pPr>
                  <w:r>
                    <w:rPr>
                      <w:rFonts w:ascii="Times New Roman" w:hAnsi="Times New Roman"/>
                      <w:color w:val="auto"/>
                      <w:szCs w:val="21"/>
                    </w:rPr>
                    <w:t>/</w:t>
                  </w:r>
                </w:p>
              </w:tc>
              <w:tc>
                <w:tcPr>
                  <w:tcW w:w="539" w:type="dxa"/>
                  <w:vAlign w:val="center"/>
                </w:tcPr>
                <w:p>
                  <w:pPr>
                    <w:contextualSpacing/>
                    <w:jc w:val="center"/>
                    <w:rPr>
                      <w:rFonts w:ascii="Times New Roman" w:hAnsi="Times New Roman"/>
                      <w:color w:val="auto"/>
                      <w:szCs w:val="21"/>
                    </w:rPr>
                  </w:pPr>
                  <w:r>
                    <w:rPr>
                      <w:rFonts w:ascii="Times New Roman" w:hAnsi="Times New Roman"/>
                      <w:color w:val="auto"/>
                      <w:szCs w:val="21"/>
                    </w:rPr>
                    <w:t>每季度1次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Align w:val="center"/>
                </w:tcPr>
                <w:p>
                  <w:pPr>
                    <w:contextualSpacing/>
                    <w:jc w:val="center"/>
                    <w:rPr>
                      <w:rFonts w:ascii="Times New Roman" w:hAnsi="Times New Roman"/>
                      <w:color w:val="auto"/>
                      <w:szCs w:val="21"/>
                    </w:rPr>
                  </w:pPr>
                  <w:r>
                    <w:rPr>
                      <w:rFonts w:ascii="Times New Roman" w:hAnsi="Times New Roman"/>
                      <w:color w:val="auto"/>
                      <w:szCs w:val="21"/>
                    </w:rPr>
                    <w:t>风险</w:t>
                  </w:r>
                </w:p>
              </w:tc>
              <w:tc>
                <w:tcPr>
                  <w:tcW w:w="8884" w:type="dxa"/>
                  <w:gridSpan w:val="8"/>
                  <w:vAlign w:val="center"/>
                </w:tcPr>
                <w:p>
                  <w:pPr>
                    <w:contextualSpacing/>
                    <w:jc w:val="center"/>
                    <w:rPr>
                      <w:rFonts w:ascii="Times New Roman" w:hAnsi="Times New Roman"/>
                      <w:color w:val="auto"/>
                      <w:szCs w:val="21"/>
                    </w:rPr>
                  </w:pPr>
                  <w:r>
                    <w:rPr>
                      <w:rFonts w:ascii="Times New Roman" w:hAnsi="Times New Roman"/>
                      <w:color w:val="auto"/>
                      <w:szCs w:val="21"/>
                    </w:rPr>
                    <w:t>无重大风险源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restart"/>
                  <w:vAlign w:val="center"/>
                </w:tcPr>
                <w:p>
                  <w:pPr>
                    <w:contextualSpacing/>
                    <w:jc w:val="center"/>
                    <w:rPr>
                      <w:rFonts w:ascii="Times New Roman" w:hAnsi="Times New Roman"/>
                      <w:color w:val="auto"/>
                      <w:szCs w:val="21"/>
                    </w:rPr>
                  </w:pPr>
                  <w:r>
                    <w:rPr>
                      <w:rFonts w:ascii="Times New Roman" w:hAnsi="Times New Roman"/>
                      <w:color w:val="auto"/>
                      <w:szCs w:val="21"/>
                    </w:rPr>
                    <w:t>防渗</w:t>
                  </w:r>
                </w:p>
              </w:tc>
              <w:tc>
                <w:tcPr>
                  <w:tcW w:w="2016" w:type="dxa"/>
                  <w:gridSpan w:val="2"/>
                  <w:vAlign w:val="center"/>
                </w:tcPr>
                <w:p>
                  <w:pPr>
                    <w:contextualSpacing/>
                    <w:jc w:val="center"/>
                    <w:rPr>
                      <w:rFonts w:ascii="Times New Roman" w:hAnsi="Times New Roman"/>
                      <w:color w:val="auto"/>
                      <w:szCs w:val="21"/>
                    </w:rPr>
                  </w:pPr>
                  <w:r>
                    <w:rPr>
                      <w:rFonts w:ascii="Times New Roman" w:hAnsi="Times New Roman"/>
                      <w:color w:val="auto"/>
                      <w:szCs w:val="21"/>
                    </w:rPr>
                    <w:t>一般防渗区</w:t>
                  </w:r>
                </w:p>
              </w:tc>
              <w:tc>
                <w:tcPr>
                  <w:tcW w:w="6868" w:type="dxa"/>
                  <w:gridSpan w:val="6"/>
                  <w:vAlign w:val="center"/>
                </w:tcPr>
                <w:p>
                  <w:pPr>
                    <w:contextualSpacing/>
                    <w:jc w:val="center"/>
                    <w:rPr>
                      <w:rFonts w:ascii="Times New Roman" w:hAnsi="Times New Roman"/>
                      <w:color w:val="auto"/>
                      <w:szCs w:val="21"/>
                    </w:rPr>
                  </w:pPr>
                  <w:r>
                    <w:rPr>
                      <w:rFonts w:ascii="Times New Roman" w:hAnsi="Times New Roman"/>
                      <w:color w:val="auto"/>
                      <w:szCs w:val="21"/>
                    </w:rPr>
                    <w:t>渗滤液暂存池、中转房地面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 w:type="dxa"/>
                  <w:vMerge w:val="continue"/>
                  <w:vAlign w:val="center"/>
                </w:tcPr>
                <w:p>
                  <w:pPr>
                    <w:contextualSpacing/>
                    <w:jc w:val="center"/>
                    <w:rPr>
                      <w:rFonts w:ascii="Times New Roman" w:hAnsi="Times New Roman"/>
                      <w:color w:val="auto"/>
                      <w:szCs w:val="21"/>
                    </w:rPr>
                  </w:pPr>
                </w:p>
              </w:tc>
              <w:tc>
                <w:tcPr>
                  <w:tcW w:w="2016" w:type="dxa"/>
                  <w:gridSpan w:val="2"/>
                  <w:vAlign w:val="center"/>
                </w:tcPr>
                <w:p>
                  <w:pPr>
                    <w:contextualSpacing/>
                    <w:jc w:val="center"/>
                    <w:rPr>
                      <w:rFonts w:ascii="Times New Roman" w:hAnsi="Times New Roman"/>
                      <w:color w:val="auto"/>
                      <w:szCs w:val="21"/>
                    </w:rPr>
                  </w:pPr>
                  <w:r>
                    <w:rPr>
                      <w:rFonts w:ascii="Times New Roman" w:hAnsi="Times New Roman"/>
                      <w:color w:val="auto"/>
                      <w:szCs w:val="21"/>
                    </w:rPr>
                    <w:t>简单防渗区</w:t>
                  </w:r>
                </w:p>
              </w:tc>
              <w:tc>
                <w:tcPr>
                  <w:tcW w:w="6868" w:type="dxa"/>
                  <w:gridSpan w:val="6"/>
                  <w:vAlign w:val="center"/>
                </w:tcPr>
                <w:p>
                  <w:pPr>
                    <w:contextualSpacing/>
                    <w:jc w:val="center"/>
                    <w:rPr>
                      <w:rFonts w:ascii="Times New Roman" w:hAnsi="Times New Roman"/>
                      <w:color w:val="auto"/>
                      <w:szCs w:val="21"/>
                    </w:rPr>
                  </w:pPr>
                  <w:r>
                    <w:rPr>
                      <w:rFonts w:ascii="Times New Roman" w:hAnsi="Times New Roman"/>
                      <w:color w:val="auto"/>
                      <w:szCs w:val="21"/>
                    </w:rPr>
                    <w:t>办公室、厂区路面</w:t>
                  </w:r>
                </w:p>
              </w:tc>
            </w:tr>
          </w:tbl>
          <w:p>
            <w:pPr>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ind w:firstLine="0"/>
              <w:rPr>
                <w:rFonts w:ascii="Times New Roman" w:hAnsi="Times New Roman"/>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tc>
      </w:tr>
    </w:tbl>
    <w:p>
      <w:pPr>
        <w:pStyle w:val="5"/>
        <w:rPr>
          <w:rFonts w:ascii="Times New Roman" w:hAnsi="Times New Roman"/>
          <w:color w:val="auto"/>
        </w:rPr>
      </w:pPr>
      <w:r>
        <w:rPr>
          <w:rFonts w:ascii="Times New Roman" w:hAnsi="Times New Roman"/>
          <w:color w:val="auto"/>
        </w:rPr>
        <w:t>环境管理与监控计划</w:t>
      </w:r>
    </w:p>
    <w:tbl>
      <w:tblPr>
        <w:tblStyle w:val="26"/>
        <w:tblW w:w="9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5" w:type="dxa"/>
          </w:tcPr>
          <w:p>
            <w:pPr>
              <w:spacing w:line="360" w:lineRule="auto"/>
              <w:rPr>
                <w:rFonts w:ascii="Times New Roman" w:hAnsi="Times New Roman"/>
                <w:b/>
                <w:color w:val="auto"/>
                <w:kern w:val="0"/>
                <w:sz w:val="24"/>
              </w:rPr>
            </w:pPr>
            <w:r>
              <w:rPr>
                <w:rFonts w:ascii="Times New Roman" w:hAnsi="Times New Roman"/>
                <w:b/>
                <w:color w:val="auto"/>
                <w:kern w:val="0"/>
                <w:sz w:val="24"/>
              </w:rPr>
              <w:t>一、环境管理与监测计划</w:t>
            </w:r>
          </w:p>
          <w:p>
            <w:pPr>
              <w:spacing w:line="360" w:lineRule="auto"/>
              <w:ind w:firstLine="480" w:firstLineChars="200"/>
              <w:rPr>
                <w:rFonts w:ascii="Times New Roman" w:hAnsi="Times New Roman"/>
                <w:color w:val="auto"/>
                <w:sz w:val="24"/>
              </w:rPr>
            </w:pPr>
            <w:bookmarkStart w:id="20" w:name="_Toc484509386"/>
            <w:r>
              <w:rPr>
                <w:rFonts w:ascii="Times New Roman" w:hAnsi="Times New Roman"/>
                <w:color w:val="auto"/>
                <w:sz w:val="24"/>
              </w:rPr>
              <w:t>（一）环境管理机构</w:t>
            </w:r>
            <w:bookmarkEnd w:id="20"/>
          </w:p>
          <w:p>
            <w:pPr>
              <w:spacing w:line="360" w:lineRule="auto"/>
              <w:ind w:firstLine="480" w:firstLineChars="200"/>
              <w:rPr>
                <w:rFonts w:ascii="Times New Roman" w:hAnsi="Times New Roman"/>
                <w:color w:val="auto"/>
                <w:sz w:val="24"/>
              </w:rPr>
            </w:pPr>
            <w:r>
              <w:rPr>
                <w:rFonts w:ascii="Times New Roman" w:hAnsi="Times New Roman"/>
                <w:color w:val="auto"/>
                <w:sz w:val="24"/>
              </w:rPr>
              <w:t>1、环保机构设置</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项目配备1名环保设施专职管理人员，负责定期检查环保设施运行情况，组织对环保设施定期检修及相关环保管理。环境管理机构的具体职责包括：</w:t>
            </w:r>
          </w:p>
          <w:p>
            <w:pPr>
              <w:spacing w:line="360" w:lineRule="auto"/>
              <w:ind w:firstLine="480" w:firstLineChars="200"/>
              <w:rPr>
                <w:rFonts w:ascii="Times New Roman" w:hAnsi="Times New Roman"/>
                <w:color w:val="auto"/>
                <w:sz w:val="24"/>
              </w:rPr>
            </w:pPr>
            <w:r>
              <w:rPr>
                <w:rFonts w:ascii="Times New Roman" w:hAnsi="Times New Roman"/>
                <w:color w:val="auto"/>
                <w:sz w:val="24"/>
              </w:rPr>
              <w:t>（1）建立健全环保工作规章制度，明确环保责任制及奖惩办法；</w:t>
            </w:r>
          </w:p>
          <w:p>
            <w:pPr>
              <w:spacing w:line="360" w:lineRule="auto"/>
              <w:ind w:firstLine="480" w:firstLineChars="200"/>
              <w:rPr>
                <w:rFonts w:ascii="Times New Roman" w:hAnsi="Times New Roman"/>
                <w:color w:val="auto"/>
                <w:sz w:val="24"/>
              </w:rPr>
            </w:pPr>
            <w:r>
              <w:rPr>
                <w:rFonts w:ascii="Times New Roman" w:hAnsi="Times New Roman"/>
                <w:color w:val="auto"/>
                <w:sz w:val="24"/>
              </w:rPr>
              <w:t>（2）确定环境管理目标，如 “三废”达标排放，固废及时处置等；</w:t>
            </w:r>
          </w:p>
          <w:p>
            <w:pPr>
              <w:spacing w:line="360" w:lineRule="auto"/>
              <w:ind w:firstLine="480" w:firstLineChars="200"/>
              <w:rPr>
                <w:rFonts w:ascii="Times New Roman" w:hAnsi="Times New Roman"/>
                <w:color w:val="auto"/>
                <w:sz w:val="24"/>
              </w:rPr>
            </w:pPr>
            <w:r>
              <w:rPr>
                <w:rFonts w:ascii="Times New Roman" w:hAnsi="Times New Roman"/>
                <w:color w:val="auto"/>
                <w:sz w:val="24"/>
              </w:rPr>
              <w:t>（3）建立环保档案，包括环评报告表、环保工程验收报告、污染源监测报告，环保设施运行记录以及其他的环境统计资料；</w:t>
            </w:r>
          </w:p>
          <w:p>
            <w:pPr>
              <w:spacing w:line="360" w:lineRule="auto"/>
              <w:ind w:firstLine="480" w:firstLineChars="200"/>
              <w:rPr>
                <w:rFonts w:ascii="Times New Roman" w:hAnsi="Times New Roman"/>
                <w:color w:val="auto"/>
                <w:sz w:val="24"/>
              </w:rPr>
            </w:pPr>
            <w:r>
              <w:rPr>
                <w:rFonts w:ascii="Times New Roman" w:hAnsi="Times New Roman"/>
                <w:color w:val="auto"/>
                <w:sz w:val="24"/>
              </w:rPr>
              <w:t>（4）收集与管理有关的污染物排放标准、环保法规、环保技术资料；</w:t>
            </w:r>
          </w:p>
          <w:p>
            <w:pPr>
              <w:spacing w:line="360" w:lineRule="auto"/>
              <w:ind w:firstLine="480" w:firstLineChars="200"/>
              <w:rPr>
                <w:rFonts w:ascii="Times New Roman" w:hAnsi="Times New Roman"/>
                <w:color w:val="auto"/>
                <w:sz w:val="24"/>
              </w:rPr>
            </w:pPr>
            <w:r>
              <w:rPr>
                <w:rFonts w:ascii="Times New Roman" w:hAnsi="Times New Roman"/>
                <w:color w:val="auto"/>
                <w:sz w:val="24"/>
              </w:rPr>
              <w:t>（5）对各部门环保工作进行监督考核；</w:t>
            </w:r>
          </w:p>
          <w:p>
            <w:pPr>
              <w:spacing w:line="360" w:lineRule="auto"/>
              <w:ind w:firstLine="480" w:firstLineChars="200"/>
              <w:rPr>
                <w:rFonts w:ascii="Times New Roman" w:hAnsi="Times New Roman"/>
                <w:color w:val="auto"/>
                <w:sz w:val="24"/>
              </w:rPr>
            </w:pPr>
            <w:r>
              <w:rPr>
                <w:rFonts w:ascii="Times New Roman" w:hAnsi="Times New Roman"/>
                <w:color w:val="auto"/>
                <w:sz w:val="24"/>
              </w:rPr>
              <w:t>（6）通过环境管理保证污染防治设施稳定正常运行；</w:t>
            </w:r>
          </w:p>
          <w:p>
            <w:pPr>
              <w:spacing w:line="360" w:lineRule="auto"/>
              <w:ind w:firstLine="480" w:firstLineChars="200"/>
              <w:rPr>
                <w:rFonts w:ascii="Times New Roman" w:hAnsi="Times New Roman"/>
                <w:color w:val="auto"/>
                <w:sz w:val="24"/>
              </w:rPr>
            </w:pPr>
            <w:r>
              <w:rPr>
                <w:rFonts w:ascii="Times New Roman" w:hAnsi="Times New Roman"/>
                <w:color w:val="auto"/>
                <w:sz w:val="24"/>
              </w:rPr>
              <w:t>（7）搞好污染物排放总量控制；</w:t>
            </w:r>
          </w:p>
          <w:p>
            <w:pPr>
              <w:spacing w:line="360" w:lineRule="auto"/>
              <w:ind w:firstLine="480" w:firstLineChars="200"/>
              <w:rPr>
                <w:rFonts w:ascii="Times New Roman" w:hAnsi="Times New Roman"/>
                <w:color w:val="auto"/>
                <w:sz w:val="24"/>
              </w:rPr>
            </w:pPr>
            <w:r>
              <w:rPr>
                <w:rFonts w:ascii="Times New Roman" w:hAnsi="Times New Roman"/>
                <w:color w:val="auto"/>
                <w:sz w:val="24"/>
              </w:rPr>
              <w:t>（8）负责一般的污染事故处理；</w:t>
            </w:r>
          </w:p>
          <w:p>
            <w:pPr>
              <w:spacing w:line="360" w:lineRule="auto"/>
              <w:ind w:firstLine="480" w:firstLineChars="200"/>
              <w:rPr>
                <w:rFonts w:ascii="Times New Roman" w:hAnsi="Times New Roman"/>
                <w:color w:val="auto"/>
                <w:sz w:val="24"/>
              </w:rPr>
            </w:pPr>
            <w:r>
              <w:rPr>
                <w:rFonts w:ascii="Times New Roman" w:hAnsi="Times New Roman"/>
                <w:color w:val="auto"/>
                <w:sz w:val="24"/>
              </w:rPr>
              <w:t>（9）组织职工的环保教育，做好环境宣传工作。</w:t>
            </w:r>
          </w:p>
          <w:p>
            <w:pPr>
              <w:spacing w:line="360" w:lineRule="auto"/>
              <w:ind w:firstLine="480" w:firstLineChars="200"/>
              <w:rPr>
                <w:rFonts w:ascii="Times New Roman" w:hAnsi="Times New Roman"/>
                <w:color w:val="auto"/>
                <w:sz w:val="24"/>
              </w:rPr>
            </w:pPr>
            <w:r>
              <w:rPr>
                <w:rFonts w:ascii="Times New Roman" w:hAnsi="Times New Roman"/>
                <w:color w:val="auto"/>
                <w:sz w:val="24"/>
              </w:rPr>
              <w:t>2、环境管理措施</w:t>
            </w:r>
          </w:p>
          <w:p>
            <w:pPr>
              <w:spacing w:line="360" w:lineRule="auto"/>
              <w:ind w:firstLine="480" w:firstLineChars="200"/>
              <w:rPr>
                <w:rFonts w:ascii="Times New Roman" w:hAnsi="Times New Roman"/>
                <w:color w:val="auto"/>
                <w:sz w:val="24"/>
              </w:rPr>
            </w:pPr>
            <w:r>
              <w:rPr>
                <w:rFonts w:ascii="Times New Roman" w:hAnsi="Times New Roman"/>
                <w:color w:val="auto"/>
                <w:sz w:val="24"/>
              </w:rPr>
              <w:t>工程环保工作要纳入公司全面工作之中，在工程管理的每个环节都要注重环境保护，把环保工作贯穿到工程管理的每个部分。公司环保管理机构要对环境保护工作统一管理，对公司环保工作定期检查，并接受政府环境保护部门的监督和指导。</w:t>
            </w:r>
          </w:p>
          <w:p>
            <w:pPr>
              <w:spacing w:line="360" w:lineRule="auto"/>
              <w:ind w:firstLine="480" w:firstLineChars="200"/>
              <w:rPr>
                <w:rFonts w:ascii="Times New Roman" w:hAnsi="Times New Roman"/>
                <w:color w:val="auto"/>
                <w:sz w:val="24"/>
              </w:rPr>
            </w:pPr>
            <w:bookmarkStart w:id="21" w:name="_Toc484509387"/>
            <w:r>
              <w:rPr>
                <w:rFonts w:ascii="Times New Roman" w:hAnsi="Times New Roman"/>
                <w:color w:val="auto"/>
                <w:sz w:val="24"/>
              </w:rPr>
              <w:t>（二）环境监测计划</w:t>
            </w:r>
            <w:bookmarkEnd w:id="21"/>
          </w:p>
          <w:p>
            <w:pPr>
              <w:spacing w:line="360" w:lineRule="auto"/>
              <w:ind w:firstLine="480" w:firstLineChars="200"/>
              <w:rPr>
                <w:rFonts w:ascii="Times New Roman" w:hAnsi="Times New Roman"/>
                <w:color w:val="auto"/>
                <w:sz w:val="24"/>
              </w:rPr>
            </w:pPr>
            <w:r>
              <w:rPr>
                <w:rFonts w:ascii="Times New Roman" w:hAnsi="Times New Roman"/>
                <w:color w:val="auto"/>
                <w:sz w:val="24"/>
              </w:rPr>
              <w:t>1、监测目的</w:t>
            </w:r>
          </w:p>
          <w:p>
            <w:pPr>
              <w:autoSpaceDE w:val="0"/>
              <w:autoSpaceDN w:val="0"/>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环境监测是环境保护中最重要的环节和技术支持，其目的在于：</w:t>
            </w:r>
          </w:p>
          <w:p>
            <w:pPr>
              <w:autoSpaceDE w:val="0"/>
              <w:autoSpaceDN w:val="0"/>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（1）检查、跟踪项目运行过程中各项环保措施的实施情况和效果，掌握环境质量的变化动态；</w:t>
            </w:r>
          </w:p>
          <w:p>
            <w:pPr>
              <w:autoSpaceDE w:val="0"/>
              <w:autoSpaceDN w:val="0"/>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（2）了解项目环境工程设施的运行状况，确保设施的正常运行；</w:t>
            </w:r>
          </w:p>
          <w:p>
            <w:pPr>
              <w:autoSpaceDE w:val="0"/>
              <w:autoSpaceDN w:val="0"/>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（3）为改善项目周围区域环境质量提供技术支持。</w:t>
            </w:r>
          </w:p>
          <w:p>
            <w:pPr>
              <w:spacing w:line="360" w:lineRule="auto"/>
              <w:ind w:firstLine="480" w:firstLineChars="200"/>
              <w:rPr>
                <w:rFonts w:ascii="Times New Roman" w:hAnsi="Times New Roman"/>
                <w:color w:val="auto"/>
                <w:sz w:val="24"/>
              </w:rPr>
            </w:pPr>
            <w:r>
              <w:rPr>
                <w:rFonts w:ascii="Times New Roman" w:hAnsi="Times New Roman"/>
                <w:color w:val="auto"/>
                <w:sz w:val="24"/>
              </w:rPr>
              <w:t>2、监测内容</w:t>
            </w:r>
          </w:p>
          <w:p>
            <w:pPr>
              <w:autoSpaceDE w:val="0"/>
              <w:autoSpaceDN w:val="0"/>
              <w:adjustRightInd w:val="0"/>
              <w:spacing w:line="360" w:lineRule="auto"/>
              <w:ind w:firstLine="480" w:firstLineChars="200"/>
              <w:rPr>
                <w:rFonts w:ascii="Times New Roman" w:hAnsi="Times New Roman"/>
                <w:bCs/>
                <w:color w:val="auto"/>
                <w:sz w:val="24"/>
              </w:rPr>
            </w:pPr>
            <w:r>
              <w:rPr>
                <w:rFonts w:ascii="Times New Roman" w:hAnsi="Times New Roman"/>
                <w:color w:val="auto"/>
                <w:sz w:val="24"/>
              </w:rPr>
              <w:t>对项目运营过程中产生的污染物进行监测，监测点的选取、监测项目确定均按《排污单位自行监测技术指南  总则》执行。</w:t>
            </w:r>
            <w:r>
              <w:rPr>
                <w:rFonts w:ascii="Times New Roman" w:hAnsi="Times New Roman"/>
                <w:bCs/>
                <w:color w:val="auto"/>
                <w:sz w:val="24"/>
              </w:rPr>
              <w:t>污染物监测计划具体如下表10-1所示。</w:t>
            </w:r>
          </w:p>
          <w:p>
            <w:pPr>
              <w:jc w:val="center"/>
              <w:rPr>
                <w:rFonts w:ascii="Times New Roman" w:hAnsi="Times New Roman"/>
                <w:b/>
                <w:color w:val="auto"/>
                <w:szCs w:val="21"/>
              </w:rPr>
            </w:pPr>
          </w:p>
          <w:p>
            <w:pPr>
              <w:jc w:val="center"/>
              <w:rPr>
                <w:rFonts w:ascii="Times New Roman" w:hAnsi="Times New Roman"/>
                <w:b/>
                <w:color w:val="auto"/>
                <w:szCs w:val="21"/>
              </w:rPr>
            </w:pPr>
            <w:r>
              <w:rPr>
                <w:rFonts w:ascii="Times New Roman" w:hAnsi="Times New Roman"/>
                <w:b/>
                <w:color w:val="auto"/>
                <w:szCs w:val="21"/>
              </w:rPr>
              <w:t>表10-1  项目污染源监测计划</w:t>
            </w:r>
          </w:p>
          <w:tbl>
            <w:tblPr>
              <w:tblStyle w:val="26"/>
              <w:tblW w:w="876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78"/>
              <w:gridCol w:w="910"/>
              <w:gridCol w:w="751"/>
              <w:gridCol w:w="2850"/>
              <w:gridCol w:w="338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8" w:type="dxa"/>
                  <w:tcBorders>
                    <w:top w:val="single" w:color="auto" w:sz="8" w:space="0"/>
                    <w:left w:val="single" w:color="auto" w:sz="8"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类型</w:t>
                  </w:r>
                </w:p>
              </w:tc>
              <w:tc>
                <w:tcPr>
                  <w:tcW w:w="1661" w:type="dxa"/>
                  <w:gridSpan w:val="2"/>
                  <w:tcBorders>
                    <w:top w:val="single" w:color="auto" w:sz="8" w:space="0"/>
                    <w:left w:val="single" w:color="auto" w:sz="6"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监测点位</w:t>
                  </w:r>
                </w:p>
              </w:tc>
              <w:tc>
                <w:tcPr>
                  <w:tcW w:w="2850" w:type="dxa"/>
                  <w:tcBorders>
                    <w:top w:val="single" w:color="auto" w:sz="8" w:space="0"/>
                    <w:left w:val="single" w:color="auto" w:sz="6"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监测项目</w:t>
                  </w:r>
                </w:p>
              </w:tc>
              <w:tc>
                <w:tcPr>
                  <w:tcW w:w="3380" w:type="dxa"/>
                  <w:tcBorders>
                    <w:top w:val="single" w:color="auto" w:sz="8" w:space="0"/>
                    <w:left w:val="single" w:color="auto" w:sz="6" w:space="0"/>
                    <w:bottom w:val="single" w:color="auto" w:sz="6" w:space="0"/>
                    <w:right w:val="single" w:color="auto" w:sz="8" w:space="0"/>
                  </w:tcBorders>
                  <w:vAlign w:val="center"/>
                </w:tcPr>
                <w:p>
                  <w:pPr>
                    <w:jc w:val="center"/>
                    <w:textAlignment w:val="baseline"/>
                    <w:rPr>
                      <w:rFonts w:ascii="Times New Roman" w:hAnsi="Times New Roman"/>
                      <w:color w:val="auto"/>
                    </w:rPr>
                  </w:pPr>
                  <w:r>
                    <w:rPr>
                      <w:rFonts w:ascii="Times New Roman" w:hAnsi="Times New Roman"/>
                      <w:color w:val="auto"/>
                    </w:rPr>
                    <w:t>监测频次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8" w:type="dxa"/>
                  <w:tcBorders>
                    <w:top w:val="single" w:color="auto" w:sz="6" w:space="0"/>
                    <w:left w:val="single" w:color="auto" w:sz="8"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废气</w:t>
                  </w:r>
                </w:p>
              </w:tc>
              <w:tc>
                <w:tcPr>
                  <w:tcW w:w="910" w:type="dxa"/>
                  <w:tcBorders>
                    <w:top w:val="single" w:color="auto" w:sz="6" w:space="0"/>
                    <w:left w:val="single" w:color="auto" w:sz="6" w:space="0"/>
                    <w:bottom w:val="single" w:color="auto" w:sz="6" w:space="0"/>
                    <w:right w:val="single" w:color="auto" w:sz="6" w:space="0"/>
                  </w:tcBorders>
                  <w:vAlign w:val="center"/>
                </w:tcPr>
                <w:p>
                  <w:pPr>
                    <w:pStyle w:val="49"/>
                    <w:spacing w:after="0" w:line="240" w:lineRule="auto"/>
                    <w:textAlignment w:val="baseline"/>
                    <w:rPr>
                      <w:rFonts w:ascii="Times New Roman" w:hAnsi="Times New Roman" w:eastAsia="宋体" w:cs="Times New Roman"/>
                      <w:b w:val="0"/>
                      <w:bCs w:val="0"/>
                      <w:color w:val="auto"/>
                      <w:kern w:val="2"/>
                      <w:sz w:val="21"/>
                      <w:szCs w:val="24"/>
                      <w:lang w:eastAsia="zh-CN" w:bidi="ar-SA"/>
                    </w:rPr>
                  </w:pPr>
                  <w:r>
                    <w:rPr>
                      <w:rFonts w:ascii="Times New Roman" w:hAnsi="Times New Roman" w:eastAsia="宋体" w:cs="Times New Roman"/>
                      <w:b w:val="0"/>
                      <w:bCs w:val="0"/>
                      <w:color w:val="auto"/>
                      <w:kern w:val="2"/>
                      <w:sz w:val="21"/>
                      <w:szCs w:val="24"/>
                      <w:lang w:eastAsia="zh-CN" w:bidi="ar-SA"/>
                    </w:rPr>
                    <w:t>无组织</w:t>
                  </w:r>
                </w:p>
              </w:tc>
              <w:tc>
                <w:tcPr>
                  <w:tcW w:w="751" w:type="dxa"/>
                  <w:tcBorders>
                    <w:top w:val="single" w:color="auto" w:sz="6" w:space="0"/>
                    <w:left w:val="single" w:color="auto" w:sz="6" w:space="0"/>
                    <w:bottom w:val="single" w:color="auto" w:sz="6" w:space="0"/>
                    <w:right w:val="single" w:color="auto" w:sz="6" w:space="0"/>
                  </w:tcBorders>
                  <w:vAlign w:val="center"/>
                </w:tcPr>
                <w:p>
                  <w:pPr>
                    <w:pStyle w:val="49"/>
                    <w:spacing w:after="0" w:line="240" w:lineRule="auto"/>
                    <w:textAlignment w:val="baseline"/>
                    <w:rPr>
                      <w:rFonts w:ascii="Times New Roman" w:hAnsi="Times New Roman" w:eastAsia="宋体" w:cs="Times New Roman"/>
                      <w:b w:val="0"/>
                      <w:bCs w:val="0"/>
                      <w:color w:val="auto"/>
                      <w:kern w:val="2"/>
                      <w:sz w:val="21"/>
                      <w:szCs w:val="24"/>
                      <w:lang w:eastAsia="zh-CN" w:bidi="ar-SA"/>
                    </w:rPr>
                  </w:pPr>
                  <w:r>
                    <w:rPr>
                      <w:rFonts w:ascii="Times New Roman" w:hAnsi="Times New Roman" w:eastAsia="宋体" w:cs="Times New Roman"/>
                      <w:b w:val="0"/>
                      <w:bCs w:val="0"/>
                      <w:color w:val="auto"/>
                      <w:kern w:val="2"/>
                      <w:sz w:val="21"/>
                      <w:szCs w:val="24"/>
                      <w:lang w:eastAsia="zh-CN" w:bidi="ar-SA"/>
                    </w:rPr>
                    <w:t>厂界</w:t>
                  </w:r>
                </w:p>
              </w:tc>
              <w:tc>
                <w:tcPr>
                  <w:tcW w:w="2850" w:type="dxa"/>
                  <w:tcBorders>
                    <w:top w:val="single" w:color="auto" w:sz="6" w:space="0"/>
                    <w:left w:val="single" w:color="auto" w:sz="6"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TSP、NH</w:t>
                  </w:r>
                  <w:r>
                    <w:rPr>
                      <w:rFonts w:ascii="Times New Roman" w:hAnsi="Times New Roman"/>
                      <w:color w:val="auto"/>
                      <w:vertAlign w:val="subscript"/>
                    </w:rPr>
                    <w:t>3</w:t>
                  </w: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S、臭气浓度</w:t>
                  </w:r>
                </w:p>
              </w:tc>
              <w:tc>
                <w:tcPr>
                  <w:tcW w:w="3380" w:type="dxa"/>
                  <w:tcBorders>
                    <w:top w:val="single" w:color="auto" w:sz="6" w:space="0"/>
                    <w:left w:val="single" w:color="auto" w:sz="6" w:space="0"/>
                    <w:bottom w:val="single" w:color="auto" w:sz="6" w:space="0"/>
                    <w:right w:val="single" w:color="auto" w:sz="8" w:space="0"/>
                  </w:tcBorders>
                </w:tcPr>
                <w:p>
                  <w:pPr>
                    <w:textAlignment w:val="baseline"/>
                    <w:rPr>
                      <w:rFonts w:ascii="Times New Roman" w:hAnsi="Times New Roman"/>
                      <w:color w:val="auto"/>
                    </w:rPr>
                  </w:pPr>
                  <w:r>
                    <w:rPr>
                      <w:rFonts w:ascii="Times New Roman" w:hAnsi="Times New Roman"/>
                      <w:color w:val="auto"/>
                    </w:rPr>
                    <w:t>每半年1次，每次连续监测2天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8" w:type="dxa"/>
                  <w:tcBorders>
                    <w:top w:val="single" w:color="auto" w:sz="6" w:space="0"/>
                    <w:left w:val="single" w:color="auto" w:sz="8"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噪声</w:t>
                  </w:r>
                </w:p>
              </w:tc>
              <w:tc>
                <w:tcPr>
                  <w:tcW w:w="1661" w:type="dxa"/>
                  <w:gridSpan w:val="2"/>
                  <w:tcBorders>
                    <w:top w:val="single" w:color="auto" w:sz="6" w:space="0"/>
                    <w:left w:val="single" w:color="auto" w:sz="6"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厂界</w:t>
                  </w:r>
                </w:p>
              </w:tc>
              <w:tc>
                <w:tcPr>
                  <w:tcW w:w="2850" w:type="dxa"/>
                  <w:tcBorders>
                    <w:top w:val="single" w:color="auto" w:sz="6" w:space="0"/>
                    <w:left w:val="single" w:color="auto" w:sz="6"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等效连续A声级</w:t>
                  </w:r>
                </w:p>
              </w:tc>
              <w:tc>
                <w:tcPr>
                  <w:tcW w:w="3380" w:type="dxa"/>
                  <w:tcBorders>
                    <w:top w:val="single" w:color="auto" w:sz="6" w:space="0"/>
                    <w:left w:val="single" w:color="auto" w:sz="6" w:space="0"/>
                    <w:bottom w:val="single" w:color="auto" w:sz="6" w:space="0"/>
                    <w:right w:val="single" w:color="auto" w:sz="8" w:space="0"/>
                  </w:tcBorders>
                </w:tcPr>
                <w:p>
                  <w:pPr>
                    <w:textAlignment w:val="baseline"/>
                    <w:rPr>
                      <w:rFonts w:ascii="Times New Roman" w:hAnsi="Times New Roman"/>
                      <w:color w:val="auto"/>
                    </w:rPr>
                  </w:pPr>
                  <w:r>
                    <w:rPr>
                      <w:rFonts w:ascii="Times New Roman" w:hAnsi="Times New Roman"/>
                      <w:color w:val="auto"/>
                    </w:rPr>
                    <w:t>每季度1次，每次连续监测2天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8" w:type="dxa"/>
                  <w:tcBorders>
                    <w:top w:val="single" w:color="auto" w:sz="6" w:space="0"/>
                    <w:left w:val="single" w:color="auto" w:sz="8" w:space="0"/>
                    <w:bottom w:val="single" w:color="auto" w:sz="6" w:space="0"/>
                    <w:right w:val="single" w:color="auto" w:sz="6" w:space="0"/>
                  </w:tcBorders>
                  <w:vAlign w:val="center"/>
                </w:tcPr>
                <w:p>
                  <w:pPr>
                    <w:jc w:val="center"/>
                    <w:textAlignment w:val="baseline"/>
                    <w:rPr>
                      <w:rFonts w:ascii="Times New Roman" w:hAnsi="Times New Roman"/>
                      <w:color w:val="auto"/>
                    </w:rPr>
                  </w:pPr>
                  <w:r>
                    <w:rPr>
                      <w:rFonts w:ascii="Times New Roman" w:hAnsi="Times New Roman"/>
                      <w:color w:val="auto"/>
                    </w:rPr>
                    <w:t>一般固废</w:t>
                  </w:r>
                </w:p>
              </w:tc>
              <w:tc>
                <w:tcPr>
                  <w:tcW w:w="7891" w:type="dxa"/>
                  <w:gridSpan w:val="4"/>
                  <w:tcBorders>
                    <w:top w:val="single" w:color="auto" w:sz="6" w:space="0"/>
                    <w:left w:val="single" w:color="auto" w:sz="6" w:space="0"/>
                    <w:bottom w:val="single" w:color="auto" w:sz="6" w:space="0"/>
                    <w:right w:val="single" w:color="auto" w:sz="8" w:space="0"/>
                  </w:tcBorders>
                  <w:vAlign w:val="center"/>
                </w:tcPr>
                <w:p>
                  <w:pPr>
                    <w:jc w:val="center"/>
                    <w:textAlignment w:val="baseline"/>
                    <w:rPr>
                      <w:rFonts w:ascii="Times New Roman" w:hAnsi="Times New Roman"/>
                      <w:color w:val="auto"/>
                    </w:rPr>
                  </w:pPr>
                  <w:r>
                    <w:rPr>
                      <w:rFonts w:ascii="Times New Roman" w:hAnsi="Times New Roman"/>
                      <w:color w:val="auto"/>
                    </w:rPr>
                    <w:t>统计种类、产生量、处理方式、去向</w:t>
                  </w:r>
                </w:p>
              </w:tc>
            </w:tr>
          </w:tbl>
          <w:p>
            <w:pPr>
              <w:spacing w:line="352" w:lineRule="auto"/>
              <w:ind w:firstLine="480" w:firstLineChars="200"/>
              <w:rPr>
                <w:rFonts w:ascii="Times New Roman" w:hAnsi="Times New Roman"/>
                <w:color w:val="auto"/>
                <w:sz w:val="24"/>
              </w:rPr>
            </w:pPr>
            <w:r>
              <w:rPr>
                <w:rFonts w:ascii="Times New Roman" w:hAnsi="Times New Roman"/>
                <w:color w:val="auto"/>
                <w:sz w:val="24"/>
              </w:rPr>
              <w:t>3、监测资料的保存</w:t>
            </w:r>
          </w:p>
          <w:p>
            <w:pPr>
              <w:spacing w:line="352" w:lineRule="auto"/>
              <w:ind w:firstLine="480" w:firstLineChars="200"/>
              <w:rPr>
                <w:rFonts w:ascii="Times New Roman" w:hAnsi="Times New Roman"/>
                <w:color w:val="auto"/>
                <w:sz w:val="24"/>
              </w:rPr>
            </w:pPr>
            <w:r>
              <w:rPr>
                <w:rFonts w:ascii="Times New Roman" w:hAnsi="Times New Roman"/>
                <w:color w:val="auto"/>
                <w:sz w:val="24"/>
              </w:rPr>
              <w:t>企业应及时做好监测资料的分析、反馈、通报与归档，接受环保主管部门的监督和指导。</w:t>
            </w:r>
          </w:p>
          <w:p>
            <w:pPr>
              <w:autoSpaceDE w:val="0"/>
              <w:autoSpaceDN w:val="0"/>
              <w:adjustRightInd w:val="0"/>
              <w:spacing w:line="352" w:lineRule="auto"/>
              <w:jc w:val="left"/>
              <w:rPr>
                <w:rFonts w:ascii="Times New Roman" w:hAnsi="Times New Roman"/>
                <w:b/>
                <w:color w:val="auto"/>
                <w:kern w:val="0"/>
                <w:sz w:val="24"/>
                <w:lang w:val="zh-CN"/>
              </w:rPr>
            </w:pPr>
            <w:r>
              <w:rPr>
                <w:rFonts w:ascii="Times New Roman" w:hAnsi="Times New Roman"/>
                <w:b/>
                <w:color w:val="auto"/>
                <w:kern w:val="0"/>
                <w:sz w:val="24"/>
                <w:lang w:val="zh-CN"/>
              </w:rPr>
              <w:t>二、排放口信息化、规范化</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lang w:val="zh-CN"/>
              </w:rPr>
              <w:t>根据国家环境保护总局《关于开展排放口规范化整治工作的通知》（环发[1999]24号）和《排放口规范化整治技术要求（试行）》（环监[1996]470号）等规定的要求，一切新建、改扩建、改建的排污单位以及限期治理的排污单位必须在建设污染治理设施的同时，建设规范化排放口。因此，建设项目产生的各类污染物排放口必</w:t>
            </w:r>
            <w:r>
              <w:rPr>
                <w:rFonts w:ascii="Times New Roman" w:hAnsi="Times New Roman"/>
                <w:color w:val="auto"/>
                <w:kern w:val="0"/>
                <w:sz w:val="24"/>
              </w:rPr>
              <w:t>须规范化，而且规范化工作的完成必须与污染治理设施同步。</w:t>
            </w:r>
          </w:p>
          <w:p>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（1）主要固定噪声源附近应设置环境保护图形标志牌。</w:t>
            </w:r>
          </w:p>
          <w:p>
            <w:pPr>
              <w:spacing w:line="360" w:lineRule="auto"/>
              <w:ind w:firstLine="480" w:firstLineChars="200"/>
              <w:rPr>
                <w:rFonts w:ascii="Times New Roman" w:hAnsi="Times New Roman"/>
                <w:color w:val="auto"/>
                <w:kern w:val="0"/>
                <w:sz w:val="24"/>
              </w:rPr>
            </w:pPr>
            <w:r>
              <w:rPr>
                <w:rFonts w:ascii="Times New Roman" w:hAnsi="Times New Roman"/>
                <w:color w:val="auto"/>
                <w:sz w:val="24"/>
              </w:rPr>
              <w:t>（2）固体废物在厂内暂存期间要设置专门的储存设施或堆放场所、运输通道。存放场地需采取防扬散、防流失措施，并应在存放场地设置环保标志牌。</w:t>
            </w:r>
          </w:p>
          <w:p>
            <w:pPr>
              <w:spacing w:line="360" w:lineRule="auto"/>
              <w:ind w:firstLine="480" w:firstLineChars="200"/>
              <w:rPr>
                <w:rFonts w:ascii="Times New Roman" w:hAnsi="Times New Roman"/>
                <w:color w:val="auto"/>
                <w:sz w:val="24"/>
              </w:rPr>
            </w:pPr>
            <w:r>
              <w:rPr>
                <w:rFonts w:ascii="Times New Roman" w:hAnsi="Times New Roman"/>
                <w:color w:val="auto"/>
                <w:kern w:val="0"/>
                <w:sz w:val="24"/>
              </w:rPr>
              <w:t>建设单位应将有关排污口的情况如：排污口的性质、编号、排污口的位置；主要排放的污染物种类、数量、浓度、排放规律、排放去向；污染治理设施的运行情况等进行建档管理，并报送环保主管部门备案。</w:t>
            </w:r>
          </w:p>
          <w:p>
            <w:pPr>
              <w:rPr>
                <w:rFonts w:ascii="Times New Roman" w:hAnsi="Times New Roman"/>
                <w:b/>
                <w:color w:val="auto"/>
                <w:sz w:val="30"/>
                <w:szCs w:val="30"/>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p>
            <w:pPr>
              <w:pStyle w:val="2"/>
              <w:rPr>
                <w:rFonts w:ascii="Times New Roman" w:hAnsi="Times New Roman"/>
                <w:color w:val="auto"/>
              </w:rPr>
            </w:pPr>
          </w:p>
          <w:p>
            <w:pPr>
              <w:rPr>
                <w:rFonts w:ascii="Times New Roman" w:hAnsi="Times New Roman"/>
                <w:color w:val="auto"/>
              </w:rPr>
            </w:pPr>
          </w:p>
        </w:tc>
      </w:tr>
    </w:tbl>
    <w:p>
      <w:pPr>
        <w:pStyle w:val="5"/>
        <w:rPr>
          <w:rFonts w:ascii="Times New Roman" w:hAnsi="Times New Roman"/>
          <w:color w:val="auto"/>
        </w:rPr>
      </w:pPr>
      <w:r>
        <w:rPr>
          <w:rFonts w:ascii="Times New Roman" w:hAnsi="Times New Roman"/>
          <w:color w:val="auto"/>
        </w:rPr>
        <w:t>结论与建议</w:t>
      </w:r>
    </w:p>
    <w:tbl>
      <w:tblPr>
        <w:tblStyle w:val="26"/>
        <w:tblW w:w="87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9" w:hRule="atLeast"/>
        </w:trPr>
        <w:tc>
          <w:tcPr>
            <w:tcW w:w="8764" w:type="dxa"/>
          </w:tcPr>
          <w:p>
            <w:pPr>
              <w:adjustRightInd w:val="0"/>
              <w:snapToGrid w:val="0"/>
              <w:spacing w:line="360" w:lineRule="auto"/>
              <w:rPr>
                <w:rFonts w:ascii="Times New Roman" w:hAnsi="Times New Roman"/>
                <w:b/>
                <w:bCs/>
                <w:color w:val="auto"/>
                <w:sz w:val="24"/>
              </w:rPr>
            </w:pPr>
            <w:r>
              <w:rPr>
                <w:rFonts w:ascii="Times New Roman" w:hAnsi="Times New Roman"/>
                <w:b/>
                <w:bCs/>
                <w:color w:val="auto"/>
                <w:sz w:val="24"/>
              </w:rPr>
              <w:t>评价结论：</w:t>
            </w:r>
          </w:p>
          <w:p>
            <w:pPr>
              <w:adjustRightInd w:val="0"/>
              <w:snapToGrid w:val="0"/>
              <w:spacing w:line="360" w:lineRule="auto"/>
              <w:ind w:firstLine="472" w:firstLineChars="196"/>
              <w:rPr>
                <w:rFonts w:ascii="Times New Roman" w:hAnsi="Times New Roman"/>
                <w:b/>
                <w:color w:val="auto"/>
                <w:sz w:val="24"/>
              </w:rPr>
            </w:pPr>
            <w:r>
              <w:rPr>
                <w:rFonts w:ascii="Times New Roman" w:hAnsi="Times New Roman"/>
                <w:b/>
                <w:color w:val="auto"/>
                <w:sz w:val="24"/>
              </w:rPr>
              <w:t>一、项目概况</w:t>
            </w:r>
          </w:p>
          <w:p>
            <w:pPr>
              <w:snapToGrid w:val="0"/>
              <w:spacing w:line="360" w:lineRule="auto"/>
              <w:ind w:right="2" w:rightChars="1" w:firstLine="480" w:firstLineChars="200"/>
              <w:rPr>
                <w:rFonts w:ascii="Times New Roman" w:hAnsi="Times New Roman"/>
                <w:color w:val="auto"/>
                <w:sz w:val="24"/>
              </w:rPr>
            </w:pPr>
            <w:r>
              <w:rPr>
                <w:rFonts w:ascii="Times New Roman" w:hAnsi="Times New Roman"/>
                <w:color w:val="auto"/>
                <w:sz w:val="24"/>
              </w:rPr>
              <w:t>宁县九岘乡人民政府投资99.8万元建设宁县九岘乡鲁甲村垃圾转运站建设项目，项目总占地面积2087.67m</w:t>
            </w:r>
            <w:r>
              <w:rPr>
                <w:rFonts w:ascii="Times New Roman" w:hAnsi="Times New Roman"/>
                <w:color w:val="auto"/>
                <w:sz w:val="24"/>
                <w:vertAlign w:val="superscript"/>
              </w:rPr>
              <w:t>2</w:t>
            </w:r>
            <w:r>
              <w:rPr>
                <w:rFonts w:ascii="Times New Roman" w:hAnsi="Times New Roman"/>
                <w:color w:val="auto"/>
                <w:sz w:val="24"/>
              </w:rPr>
              <w:t>，主要建设垃圾中转房一座，生活管理及存储间一座，本中转站主要服务九岘乡鲁甲村及周边村庄生活垃圾中转，本中转站设计运转量为4t/d。生活垃圾经中转站压缩后运至庆阳圣元环保电力有限公司</w:t>
            </w:r>
            <w:r>
              <w:rPr>
                <w:rFonts w:hint="eastAsia" w:ascii="Times New Roman" w:hAnsi="Times New Roman"/>
                <w:color w:val="auto"/>
                <w:sz w:val="24"/>
              </w:rPr>
              <w:t>。</w:t>
            </w:r>
          </w:p>
          <w:p>
            <w:pPr>
              <w:adjustRightInd w:val="0"/>
              <w:snapToGrid w:val="0"/>
              <w:spacing w:line="360" w:lineRule="auto"/>
              <w:ind w:firstLine="482" w:firstLineChars="200"/>
              <w:jc w:val="left"/>
              <w:rPr>
                <w:rFonts w:ascii="Times New Roman" w:hAnsi="Times New Roman"/>
                <w:b/>
                <w:color w:val="auto"/>
                <w:sz w:val="24"/>
              </w:rPr>
            </w:pPr>
            <w:r>
              <w:rPr>
                <w:rFonts w:ascii="Times New Roman" w:hAnsi="Times New Roman"/>
                <w:b/>
                <w:color w:val="auto"/>
                <w:sz w:val="24"/>
              </w:rPr>
              <w:t>二、政策符合性分析</w:t>
            </w:r>
          </w:p>
          <w:p>
            <w:pPr>
              <w:spacing w:line="360" w:lineRule="auto"/>
              <w:ind w:firstLine="512" w:firstLineChars="200"/>
              <w:rPr>
                <w:rFonts w:ascii="Times New Roman" w:hAnsi="Times New Roman"/>
                <w:color w:val="auto"/>
                <w:spacing w:val="8"/>
                <w:kern w:val="24"/>
                <w:sz w:val="24"/>
                <w:szCs w:val="20"/>
              </w:rPr>
            </w:pPr>
            <w:r>
              <w:rPr>
                <w:rFonts w:ascii="Times New Roman" w:hAnsi="Times New Roman"/>
                <w:color w:val="auto"/>
                <w:spacing w:val="8"/>
                <w:kern w:val="24"/>
                <w:sz w:val="24"/>
                <w:szCs w:val="20"/>
              </w:rPr>
              <w:t>根据国家发展和改革委员会《产业结构调整指导目录（2019）》中“鼓励类：四十三、环境保护与资源节约综合利用【20】城镇垃圾及其他固体废弃物减量化、资源化、无害化处理和综合利用工程”本项目主要从事生活垃圾转运。因此，项目建设符合国家产业政策。</w:t>
            </w:r>
          </w:p>
          <w:p>
            <w:pPr>
              <w:adjustRightInd w:val="0"/>
              <w:snapToGrid w:val="0"/>
              <w:spacing w:line="360" w:lineRule="auto"/>
              <w:ind w:firstLine="482" w:firstLineChars="200"/>
              <w:textAlignment w:val="baseline"/>
              <w:rPr>
                <w:rFonts w:ascii="Times New Roman" w:hAnsi="Times New Roman"/>
                <w:b/>
                <w:color w:val="auto"/>
                <w:sz w:val="24"/>
              </w:rPr>
            </w:pPr>
            <w:r>
              <w:rPr>
                <w:rFonts w:ascii="Times New Roman" w:hAnsi="Times New Roman"/>
                <w:b/>
                <w:color w:val="auto"/>
                <w:sz w:val="24"/>
              </w:rPr>
              <w:t>三、环境质量现状评价</w:t>
            </w:r>
          </w:p>
          <w:p>
            <w:pPr>
              <w:pStyle w:val="2"/>
              <w:spacing w:line="360" w:lineRule="auto"/>
              <w:ind w:firstLine="512" w:firstLineChars="200"/>
              <w:rPr>
                <w:rFonts w:ascii="Times New Roman" w:hAnsi="Times New Roman" w:eastAsia="宋体"/>
                <w:color w:val="auto"/>
              </w:rPr>
            </w:pPr>
            <w:r>
              <w:rPr>
                <w:rFonts w:ascii="Times New Roman" w:hAnsi="Times New Roman" w:eastAsia="宋体"/>
                <w:color w:val="auto"/>
              </w:rPr>
              <w:t>根据中国环境影响评价网环境空气质量模型技术服务系统可知，庆阳市2018年SO</w:t>
            </w:r>
            <w:r>
              <w:rPr>
                <w:rFonts w:ascii="Times New Roman" w:hAnsi="Times New Roman" w:eastAsia="宋体"/>
                <w:color w:val="auto"/>
                <w:vertAlign w:val="subscript"/>
              </w:rPr>
              <w:t>2</w:t>
            </w:r>
            <w:r>
              <w:rPr>
                <w:rFonts w:ascii="Times New Roman" w:hAnsi="Times New Roman" w:eastAsia="宋体"/>
                <w:color w:val="auto"/>
              </w:rPr>
              <w:t>、NO</w:t>
            </w:r>
            <w:r>
              <w:rPr>
                <w:rFonts w:ascii="Times New Roman" w:hAnsi="Times New Roman" w:eastAsia="宋体"/>
                <w:color w:val="auto"/>
                <w:vertAlign w:val="subscript"/>
              </w:rPr>
              <w:t>2</w:t>
            </w:r>
            <w:r>
              <w:rPr>
                <w:rFonts w:ascii="Times New Roman" w:hAnsi="Times New Roman" w:eastAsia="宋体"/>
                <w:color w:val="auto"/>
              </w:rPr>
              <w:t>、PM</w:t>
            </w:r>
            <w:r>
              <w:rPr>
                <w:rFonts w:ascii="Times New Roman" w:hAnsi="Times New Roman" w:eastAsia="宋体"/>
                <w:color w:val="auto"/>
                <w:vertAlign w:val="subscript"/>
              </w:rPr>
              <w:t>10</w:t>
            </w:r>
            <w:r>
              <w:rPr>
                <w:rFonts w:ascii="Times New Roman" w:hAnsi="Times New Roman" w:eastAsia="宋体"/>
                <w:color w:val="auto"/>
              </w:rPr>
              <w:t>、PM</w:t>
            </w:r>
            <w:r>
              <w:rPr>
                <w:rFonts w:ascii="Times New Roman" w:hAnsi="Times New Roman" w:eastAsia="宋体"/>
                <w:color w:val="auto"/>
                <w:vertAlign w:val="subscript"/>
              </w:rPr>
              <w:t>2.5</w:t>
            </w:r>
            <w:r>
              <w:rPr>
                <w:rFonts w:ascii="Times New Roman" w:hAnsi="Times New Roman" w:eastAsia="宋体"/>
                <w:color w:val="auto"/>
              </w:rPr>
              <w:t>年均浓度分别为14ug/m</w:t>
            </w:r>
            <w:r>
              <w:rPr>
                <w:rFonts w:ascii="Times New Roman" w:hAnsi="Times New Roman" w:eastAsia="宋体"/>
                <w:color w:val="auto"/>
                <w:vertAlign w:val="superscript"/>
              </w:rPr>
              <w:t>3</w:t>
            </w:r>
            <w:r>
              <w:rPr>
                <w:rFonts w:ascii="Times New Roman" w:hAnsi="Times New Roman" w:eastAsia="宋体"/>
                <w:color w:val="auto"/>
              </w:rPr>
              <w:t>、19ug/m</w:t>
            </w:r>
            <w:r>
              <w:rPr>
                <w:rFonts w:ascii="Times New Roman" w:hAnsi="Times New Roman" w:eastAsia="宋体"/>
                <w:color w:val="auto"/>
                <w:vertAlign w:val="superscript"/>
              </w:rPr>
              <w:t>3</w:t>
            </w:r>
            <w:r>
              <w:rPr>
                <w:rFonts w:ascii="Times New Roman" w:hAnsi="Times New Roman" w:eastAsia="宋体"/>
                <w:color w:val="auto"/>
              </w:rPr>
              <w:t>、69ug/m</w:t>
            </w:r>
            <w:r>
              <w:rPr>
                <w:rFonts w:ascii="Times New Roman" w:hAnsi="Times New Roman" w:eastAsia="宋体"/>
                <w:color w:val="auto"/>
                <w:vertAlign w:val="superscript"/>
              </w:rPr>
              <w:t>3</w:t>
            </w:r>
            <w:r>
              <w:rPr>
                <w:rFonts w:ascii="Times New Roman" w:hAnsi="Times New Roman" w:eastAsia="宋体"/>
                <w:color w:val="auto"/>
              </w:rPr>
              <w:t>、32ug/m</w:t>
            </w:r>
            <w:r>
              <w:rPr>
                <w:rFonts w:ascii="Times New Roman" w:hAnsi="Times New Roman" w:eastAsia="宋体"/>
                <w:color w:val="auto"/>
                <w:vertAlign w:val="superscript"/>
              </w:rPr>
              <w:t>3</w:t>
            </w:r>
            <w:r>
              <w:rPr>
                <w:rFonts w:ascii="Times New Roman" w:hAnsi="Times New Roman" w:eastAsia="宋体"/>
                <w:color w:val="auto"/>
              </w:rPr>
              <w:t>；CO24小时平均第95百分位数为1.2mg/m</w:t>
            </w:r>
            <w:r>
              <w:rPr>
                <w:rFonts w:ascii="Times New Roman" w:hAnsi="Times New Roman" w:eastAsia="宋体"/>
                <w:color w:val="auto"/>
                <w:vertAlign w:val="superscript"/>
              </w:rPr>
              <w:t>3</w:t>
            </w:r>
            <w:r>
              <w:rPr>
                <w:rFonts w:ascii="Times New Roman" w:hAnsi="Times New Roman" w:eastAsia="宋体"/>
                <w:color w:val="auto"/>
              </w:rPr>
              <w:t>，O</w:t>
            </w:r>
            <w:r>
              <w:rPr>
                <w:rFonts w:ascii="Times New Roman" w:hAnsi="Times New Roman" w:eastAsia="宋体"/>
                <w:color w:val="auto"/>
                <w:vertAlign w:val="subscript"/>
              </w:rPr>
              <w:t>3</w:t>
            </w:r>
            <w:r>
              <w:rPr>
                <w:rFonts w:ascii="Times New Roman" w:hAnsi="Times New Roman" w:eastAsia="宋体"/>
                <w:color w:val="auto"/>
              </w:rPr>
              <w:t>日最大8小时平均第90百分位数为135ug/m</w:t>
            </w:r>
            <w:r>
              <w:rPr>
                <w:rFonts w:ascii="Times New Roman" w:hAnsi="Times New Roman" w:eastAsia="宋体"/>
                <w:color w:val="auto"/>
                <w:vertAlign w:val="superscript"/>
              </w:rPr>
              <w:t>3</w:t>
            </w:r>
            <w:r>
              <w:rPr>
                <w:rFonts w:ascii="Times New Roman" w:hAnsi="Times New Roman" w:eastAsia="宋体"/>
                <w:color w:val="auto"/>
              </w:rPr>
              <w:t>；各污染物平均浓度均优于《环境空气质量标准》（GB3095-2012）中二级标准限值，项目所在地的环境空气质量为达标区域；项目所在区域地表水为马莲河的支流九龙河，执行《地表水环境质量标准》（GB3838-2002）IV类标准；周边无大型产噪的工业企业，声环境质量较好。</w:t>
            </w:r>
          </w:p>
          <w:p>
            <w:pPr>
              <w:adjustRightInd w:val="0"/>
              <w:snapToGrid w:val="0"/>
              <w:spacing w:line="360" w:lineRule="auto"/>
              <w:ind w:firstLine="482" w:firstLineChars="200"/>
              <w:textAlignment w:val="baseline"/>
              <w:rPr>
                <w:rFonts w:ascii="Times New Roman" w:hAnsi="Times New Roman"/>
                <w:b/>
                <w:color w:val="auto"/>
                <w:sz w:val="24"/>
              </w:rPr>
            </w:pPr>
            <w:r>
              <w:rPr>
                <w:rFonts w:ascii="Times New Roman" w:hAnsi="Times New Roman"/>
                <w:b/>
                <w:color w:val="auto"/>
                <w:sz w:val="24"/>
              </w:rPr>
              <w:t>四、环境影响分析结论</w:t>
            </w:r>
          </w:p>
          <w:p>
            <w:pPr>
              <w:adjustRightInd w:val="0"/>
              <w:snapToGrid w:val="0"/>
              <w:spacing w:line="360" w:lineRule="auto"/>
              <w:ind w:firstLine="482" w:firstLineChars="200"/>
              <w:textAlignment w:val="baseline"/>
              <w:rPr>
                <w:rFonts w:ascii="Times New Roman" w:hAnsi="Times New Roman"/>
                <w:b/>
                <w:color w:val="auto"/>
                <w:sz w:val="24"/>
              </w:rPr>
            </w:pPr>
            <w:r>
              <w:rPr>
                <w:rFonts w:hint="eastAsia" w:ascii="Times New Roman" w:hAnsi="Times New Roman"/>
                <w:b/>
                <w:color w:val="auto"/>
                <w:sz w:val="24"/>
              </w:rPr>
              <w:t>4.1施工期环境影响分析结论</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1、大气</w:t>
            </w:r>
          </w:p>
          <w:p>
            <w:pPr>
              <w:pStyle w:val="2"/>
              <w:spacing w:line="360" w:lineRule="auto"/>
              <w:ind w:firstLine="512" w:firstLineChars="200"/>
              <w:rPr>
                <w:rFonts w:ascii="Times New Roman" w:hAnsi="Times New Roman" w:eastAsia="宋体"/>
                <w:color w:val="auto"/>
              </w:rPr>
            </w:pPr>
            <w:r>
              <w:rPr>
                <w:rFonts w:ascii="Times New Roman" w:hAnsi="Times New Roman" w:eastAsia="宋体"/>
                <w:color w:val="auto"/>
              </w:rPr>
              <w:t>施工期的废气主要为物料堆放及运输过程中产生的扬尘，经围挡、篷布覆盖、车辆冲洗、密闭运输等措施抑尘后，可以减少施工扬尘对周围环境的影响。</w:t>
            </w:r>
          </w:p>
          <w:p>
            <w:pPr>
              <w:spacing w:line="360" w:lineRule="auto"/>
              <w:ind w:firstLine="480" w:firstLineChars="200"/>
              <w:rPr>
                <w:rFonts w:ascii="Times New Roman" w:hAnsi="Times New Roman"/>
                <w:color w:val="auto"/>
                <w:sz w:val="24"/>
              </w:rPr>
            </w:pPr>
            <w:r>
              <w:rPr>
                <w:rFonts w:ascii="Times New Roman" w:hAnsi="Times New Roman"/>
                <w:color w:val="auto"/>
                <w:sz w:val="24"/>
              </w:rPr>
              <w:t>2</w:t>
            </w:r>
            <w:r>
              <w:rPr>
                <w:rFonts w:ascii="Times New Roman" w:hAnsi="宋体"/>
                <w:color w:val="auto"/>
                <w:sz w:val="24"/>
              </w:rPr>
              <w:t>、水环境</w:t>
            </w:r>
          </w:p>
          <w:p>
            <w:pPr>
              <w:widowControl/>
              <w:spacing w:line="360" w:lineRule="auto"/>
              <w:ind w:firstLine="480" w:firstLineChars="200"/>
              <w:jc w:val="left"/>
              <w:rPr>
                <w:rFonts w:ascii="Times New Roman" w:hAnsi="Times New Roman"/>
                <w:color w:val="auto"/>
              </w:rPr>
            </w:pPr>
            <w:r>
              <w:rPr>
                <w:rFonts w:ascii="Times New Roman" w:hAnsi="Times New Roman"/>
                <w:bCs/>
                <w:color w:val="auto"/>
                <w:sz w:val="24"/>
              </w:rPr>
              <w:t>本工程施工期产生的废水主要有施工人员生活污水和少量施工废水。</w:t>
            </w:r>
            <w:r>
              <w:rPr>
                <w:rFonts w:ascii="Times New Roman" w:hAnsi="Times New Roman"/>
                <w:color w:val="auto"/>
                <w:sz w:val="24"/>
              </w:rPr>
              <w:t>加强对施工队伍管理，</w:t>
            </w:r>
            <w:r>
              <w:rPr>
                <w:rFonts w:ascii="Times New Roman" w:hAnsi="Times New Roman"/>
                <w:color w:val="auto"/>
                <w:kern w:val="0"/>
                <w:sz w:val="24"/>
              </w:rPr>
              <w:t>施工驻地生活污水</w:t>
            </w:r>
            <w:r>
              <w:rPr>
                <w:rFonts w:ascii="Times New Roman" w:hAnsi="Times New Roman"/>
                <w:color w:val="auto"/>
                <w:sz w:val="24"/>
              </w:rPr>
              <w:t>严禁乱排、乱流污染道路；雨季施工时，施工场地应设置雨水导排系统，对施工现场形成的雨污水及时疏导，防治漫流至校区，对环境造成污染；</w:t>
            </w:r>
            <w:r>
              <w:rPr>
                <w:rFonts w:ascii="Times New Roman" w:hAnsi="Times New Roman"/>
                <w:color w:val="auto"/>
                <w:kern w:val="0"/>
                <w:sz w:val="24"/>
              </w:rPr>
              <w:t>对进出工地的车辆及时冲洗车辆轮胎上粘带的泥土，以免对周围的环境卫生造成污染，冲</w:t>
            </w:r>
            <w:r>
              <w:rPr>
                <w:rFonts w:ascii="Times New Roman" w:hAnsi="Times New Roman"/>
                <w:bCs/>
                <w:color w:val="auto"/>
                <w:sz w:val="24"/>
              </w:rPr>
              <w:t>洗车辆废水经临时沉淀池沉淀后可循环利用。场地出入道路应硬化且及时清扫、清洗；生活污水就地泼洒，抑制扬尘</w:t>
            </w:r>
            <w:r>
              <w:rPr>
                <w:rFonts w:hint="eastAsia" w:ascii="Times New Roman" w:hAnsi="Times New Roman"/>
                <w:bCs/>
                <w:color w:val="auto"/>
                <w:sz w:val="24"/>
              </w:rPr>
              <w:t>，设1座防渗旱厕（运营期沿用）。</w:t>
            </w:r>
          </w:p>
          <w:p>
            <w:pPr>
              <w:tabs>
                <w:tab w:val="left" w:pos="2160"/>
              </w:tabs>
              <w:spacing w:line="360" w:lineRule="auto"/>
              <w:ind w:firstLine="480" w:firstLineChars="200"/>
              <w:rPr>
                <w:rFonts w:ascii="Times New Roman" w:hAnsi="Times New Roman"/>
                <w:color w:val="auto"/>
                <w:sz w:val="24"/>
              </w:rPr>
            </w:pPr>
            <w:r>
              <w:rPr>
                <w:rFonts w:ascii="Times New Roman" w:hAnsi="Times New Roman"/>
                <w:color w:val="auto"/>
                <w:sz w:val="24"/>
              </w:rPr>
              <w:t>3</w:t>
            </w:r>
            <w:r>
              <w:rPr>
                <w:rFonts w:ascii="Times New Roman" w:hAnsi="宋体"/>
                <w:color w:val="auto"/>
                <w:sz w:val="24"/>
              </w:rPr>
              <w:t>、声环境</w:t>
            </w:r>
          </w:p>
          <w:p>
            <w:pPr>
              <w:pStyle w:val="2"/>
              <w:spacing w:line="360" w:lineRule="auto"/>
              <w:rPr>
                <w:rFonts w:ascii="Times New Roman" w:hAnsi="Times New Roman" w:eastAsia="宋体"/>
                <w:color w:val="auto"/>
                <w:spacing w:val="0"/>
                <w:kern w:val="2"/>
                <w:szCs w:val="24"/>
              </w:rPr>
            </w:pPr>
            <w:r>
              <w:rPr>
                <w:rFonts w:ascii="Times New Roman" w:hAnsi="Times New Roman" w:eastAsia="宋体"/>
                <w:color w:val="auto"/>
                <w:spacing w:val="0"/>
                <w:kern w:val="2"/>
                <w:szCs w:val="24"/>
              </w:rPr>
              <w:t>项目噪声声源主要是施工设备产生的机械噪声和运输车辆产生的运输噪声，施工设备有装载机及运输车辆等，合理安排施工计划，选用低噪设备、车辆限速等措施抑制噪声对周围环境产生的影响。</w:t>
            </w:r>
          </w:p>
          <w:p>
            <w:pPr>
              <w:spacing w:line="360" w:lineRule="auto"/>
              <w:ind w:firstLine="480" w:firstLineChars="200"/>
              <w:rPr>
                <w:rFonts w:ascii="Times New Roman" w:hAnsi="Times New Roman"/>
                <w:color w:val="auto"/>
                <w:sz w:val="24"/>
              </w:rPr>
            </w:pPr>
            <w:r>
              <w:rPr>
                <w:rFonts w:ascii="Times New Roman" w:hAnsi="Times New Roman"/>
                <w:color w:val="auto"/>
                <w:sz w:val="24"/>
              </w:rPr>
              <w:t>4</w:t>
            </w:r>
            <w:r>
              <w:rPr>
                <w:rFonts w:ascii="Times New Roman"/>
                <w:color w:val="auto"/>
                <w:sz w:val="24"/>
              </w:rPr>
              <w:t>、固体废弃物</w:t>
            </w:r>
          </w:p>
          <w:p>
            <w:pPr>
              <w:pStyle w:val="2"/>
              <w:spacing w:line="360" w:lineRule="auto"/>
              <w:rPr>
                <w:rFonts w:ascii="Times New Roman" w:hAnsi="Times New Roman" w:eastAsia="宋体"/>
                <w:color w:val="auto"/>
                <w:spacing w:val="0"/>
                <w:kern w:val="2"/>
                <w:szCs w:val="24"/>
              </w:rPr>
            </w:pPr>
            <w:r>
              <w:rPr>
                <w:rFonts w:ascii="Times New Roman" w:hAnsi="Times New Roman" w:eastAsia="宋体"/>
                <w:color w:val="auto"/>
                <w:spacing w:val="0"/>
                <w:kern w:val="2"/>
                <w:szCs w:val="24"/>
              </w:rPr>
              <w:t>拟建项目产生的废渣主要包括施工人员生活垃圾、建筑垃圾、剩余土方等，严禁渣土随意堆放，渣土尽量在场内周转，就地用于绿化、道路等生态景观建设或转向其他工程项目填土方，必须外运的弃土以及建筑废料应运至指定的建筑垃圾堆放场，生活垃圾交由当地的环卫部门统一处置。</w:t>
            </w:r>
          </w:p>
          <w:p>
            <w:pPr>
              <w:adjustRightInd w:val="0"/>
              <w:snapToGrid w:val="0"/>
              <w:spacing w:line="360" w:lineRule="auto"/>
              <w:ind w:firstLine="482" w:firstLineChars="200"/>
              <w:textAlignment w:val="baseline"/>
              <w:rPr>
                <w:rFonts w:ascii="Times New Roman" w:hAnsi="Times New Roman"/>
                <w:b/>
                <w:color w:val="auto"/>
                <w:sz w:val="24"/>
              </w:rPr>
            </w:pPr>
            <w:r>
              <w:rPr>
                <w:rFonts w:hint="eastAsia" w:ascii="Times New Roman" w:hAnsi="Times New Roman"/>
                <w:b/>
                <w:color w:val="auto"/>
                <w:sz w:val="24"/>
              </w:rPr>
              <w:t>4.2</w:t>
            </w:r>
            <w:r>
              <w:rPr>
                <w:rFonts w:ascii="Times New Roman" w:hAnsi="Times New Roman"/>
                <w:b/>
                <w:color w:val="auto"/>
                <w:sz w:val="24"/>
              </w:rPr>
              <w:t>营运期环境影响分析结论</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1、水环境</w:t>
            </w:r>
          </w:p>
          <w:p>
            <w:pPr>
              <w:adjustRightInd w:val="0"/>
              <w:snapToGrid w:val="0"/>
              <w:spacing w:line="360" w:lineRule="auto"/>
              <w:ind w:firstLine="480"/>
              <w:jc w:val="left"/>
              <w:rPr>
                <w:rFonts w:ascii="Times New Roman" w:hAnsi="Times New Roman"/>
                <w:color w:val="auto"/>
                <w:sz w:val="24"/>
              </w:rPr>
            </w:pPr>
            <w:r>
              <w:rPr>
                <w:rFonts w:ascii="Times New Roman" w:hAnsi="Times New Roman"/>
                <w:snapToGrid w:val="0"/>
                <w:color w:val="auto"/>
                <w:sz w:val="24"/>
              </w:rPr>
              <w:t>项目</w:t>
            </w:r>
            <w:r>
              <w:rPr>
                <w:rFonts w:ascii="Times New Roman" w:hAnsi="Times New Roman"/>
                <w:color w:val="auto"/>
                <w:sz w:val="24"/>
              </w:rPr>
              <w:t>营运期废水包括地面及设备清洗废水、垃圾渗滤液以及员工生活污水。</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项目清洗废水（73</w:t>
            </w:r>
            <w:r>
              <w:rPr>
                <w:rFonts w:ascii="Times New Roman" w:hAnsi="Times New Roman"/>
                <w:snapToGrid w:val="0"/>
                <w:color w:val="auto"/>
                <w:sz w:val="24"/>
              </w:rPr>
              <w:t xml:space="preserve"> m</w:t>
            </w:r>
            <w:r>
              <w:rPr>
                <w:rFonts w:ascii="Times New Roman" w:hAnsi="Times New Roman"/>
                <w:snapToGrid w:val="0"/>
                <w:color w:val="auto"/>
                <w:sz w:val="24"/>
                <w:vertAlign w:val="superscript"/>
              </w:rPr>
              <w:t>3</w:t>
            </w:r>
            <w:r>
              <w:rPr>
                <w:rFonts w:ascii="Times New Roman" w:hAnsi="Times New Roman"/>
                <w:snapToGrid w:val="0"/>
                <w:color w:val="auto"/>
                <w:sz w:val="24"/>
              </w:rPr>
              <w:t>/a</w:t>
            </w:r>
            <w:r>
              <w:rPr>
                <w:rFonts w:ascii="Times New Roman" w:hAnsi="Times New Roman"/>
                <w:color w:val="auto"/>
                <w:sz w:val="24"/>
              </w:rPr>
              <w:t>）、渗滤液（54.75</w:t>
            </w:r>
            <w:r>
              <w:rPr>
                <w:rFonts w:ascii="Times New Roman" w:hAnsi="Times New Roman"/>
                <w:snapToGrid w:val="0"/>
                <w:color w:val="auto"/>
                <w:sz w:val="24"/>
              </w:rPr>
              <w:t xml:space="preserve"> m</w:t>
            </w:r>
            <w:r>
              <w:rPr>
                <w:rFonts w:ascii="Times New Roman" w:hAnsi="Times New Roman"/>
                <w:snapToGrid w:val="0"/>
                <w:color w:val="auto"/>
                <w:sz w:val="24"/>
                <w:vertAlign w:val="superscript"/>
              </w:rPr>
              <w:t>3</w:t>
            </w:r>
            <w:r>
              <w:rPr>
                <w:rFonts w:ascii="Times New Roman" w:hAnsi="Times New Roman"/>
                <w:snapToGrid w:val="0"/>
                <w:color w:val="auto"/>
                <w:sz w:val="24"/>
              </w:rPr>
              <w:t>/a</w:t>
            </w:r>
            <w:r>
              <w:rPr>
                <w:rFonts w:ascii="Times New Roman" w:hAnsi="Times New Roman"/>
                <w:color w:val="auto"/>
                <w:sz w:val="24"/>
              </w:rPr>
              <w:t>），地面及设备清洗废水、渗滤液经渗滤液暂存池收集后定期由罐车运至宁县污水处理厂。</w:t>
            </w:r>
            <w:r>
              <w:rPr>
                <w:rFonts w:ascii="Times New Roman" w:hAnsi="Times New Roman"/>
                <w:snapToGrid w:val="0"/>
                <w:color w:val="auto"/>
                <w:sz w:val="24"/>
              </w:rPr>
              <w:t>生活污水产生量为35m</w:t>
            </w:r>
            <w:r>
              <w:rPr>
                <w:rFonts w:ascii="Times New Roman" w:hAnsi="Times New Roman"/>
                <w:snapToGrid w:val="0"/>
                <w:color w:val="auto"/>
                <w:sz w:val="24"/>
                <w:vertAlign w:val="superscript"/>
              </w:rPr>
              <w:t>3</w:t>
            </w:r>
            <w:r>
              <w:rPr>
                <w:rFonts w:ascii="Times New Roman" w:hAnsi="Times New Roman"/>
                <w:snapToGrid w:val="0"/>
                <w:color w:val="auto"/>
                <w:sz w:val="24"/>
              </w:rPr>
              <w:t>/a，成份简单</w:t>
            </w:r>
            <w:r>
              <w:rPr>
                <w:rFonts w:hint="eastAsia" w:ascii="Times New Roman" w:hAnsi="Times New Roman"/>
                <w:snapToGrid w:val="0"/>
                <w:color w:val="auto"/>
                <w:sz w:val="24"/>
              </w:rPr>
              <w:t>，经沉淀后</w:t>
            </w:r>
            <w:r>
              <w:rPr>
                <w:rFonts w:ascii="Times New Roman" w:hAnsi="Times New Roman"/>
                <w:snapToGrid w:val="0"/>
                <w:color w:val="auto"/>
                <w:sz w:val="24"/>
              </w:rPr>
              <w:t>可用于厂区泼洒抑尘，</w:t>
            </w:r>
            <w:r>
              <w:rPr>
                <w:rFonts w:hint="eastAsia" w:ascii="Times New Roman" w:hAnsi="Times New Roman"/>
                <w:snapToGrid w:val="0"/>
                <w:color w:val="auto"/>
                <w:sz w:val="24"/>
              </w:rPr>
              <w:t>沿用施工期的防渗旱厕，</w:t>
            </w:r>
            <w:r>
              <w:rPr>
                <w:rFonts w:ascii="Times New Roman" w:hAnsi="Times New Roman"/>
                <w:snapToGrid w:val="0"/>
                <w:color w:val="auto"/>
                <w:sz w:val="24"/>
              </w:rPr>
              <w:t>对地表水环境影响较小。</w:t>
            </w:r>
            <w:r>
              <w:rPr>
                <w:rFonts w:ascii="Times New Roman" w:hAnsi="Times New Roman"/>
                <w:color w:val="auto"/>
                <w:sz w:val="24"/>
              </w:rPr>
              <w:t>项目区分区防渗，渗滤液暂存池、压缩间为一般防渗，生活管理区及厂内道路为简单防渗，对周围地下水环境影响较小。</w:t>
            </w:r>
          </w:p>
          <w:p>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2、大气环境</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项目营运期废气主要为垃圾卸料及压缩产生的恶臭气体。</w:t>
            </w:r>
          </w:p>
          <w:p>
            <w:pPr>
              <w:spacing w:line="360" w:lineRule="auto"/>
              <w:ind w:firstLine="480" w:firstLineChars="200"/>
              <w:rPr>
                <w:rFonts w:ascii="Times New Roman" w:hAnsi="Times New Roman"/>
                <w:color w:val="auto"/>
                <w:sz w:val="24"/>
              </w:rPr>
            </w:pPr>
            <w:r>
              <w:rPr>
                <w:rFonts w:ascii="Times New Roman" w:hAnsi="Times New Roman"/>
                <w:color w:val="auto"/>
                <w:sz w:val="24"/>
              </w:rPr>
              <w:t>垃圾收集车在垃圾卸料倒入垃圾压缩站的过程中含有各类易发酵的有机物，这些恶臭物质主要包括氨、硫化氢等异味气体，通过定期喷洒</w:t>
            </w:r>
            <w:r>
              <w:rPr>
                <w:rFonts w:hint="eastAsia" w:ascii="Times New Roman" w:hAnsi="Times New Roman"/>
                <w:color w:val="auto"/>
                <w:sz w:val="24"/>
              </w:rPr>
              <w:t>雾化</w:t>
            </w:r>
            <w:r>
              <w:rPr>
                <w:rFonts w:ascii="Times New Roman" w:hAnsi="Times New Roman"/>
                <w:color w:val="auto"/>
                <w:sz w:val="24"/>
              </w:rPr>
              <w:t>生物除臭剂，对恶臭气体的抑制率以50%计（NH</w:t>
            </w:r>
            <w:r>
              <w:rPr>
                <w:rFonts w:ascii="Times New Roman" w:hAnsi="Times New Roman"/>
                <w:color w:val="auto"/>
                <w:sz w:val="24"/>
                <w:vertAlign w:val="subscript"/>
              </w:rPr>
              <w:t>3</w:t>
            </w:r>
            <w:r>
              <w:rPr>
                <w:rFonts w:ascii="Times New Roman" w:hAnsi="Times New Roman"/>
                <w:color w:val="auto"/>
                <w:sz w:val="24"/>
              </w:rPr>
              <w:t>排放量0.0015t/a，排放速率0.001kg/h，H</w:t>
            </w:r>
            <w:r>
              <w:rPr>
                <w:rFonts w:ascii="Times New Roman" w:hAnsi="Times New Roman"/>
                <w:color w:val="auto"/>
                <w:sz w:val="24"/>
                <w:vertAlign w:val="subscript"/>
              </w:rPr>
              <w:t>2</w:t>
            </w:r>
            <w:r>
              <w:rPr>
                <w:rFonts w:ascii="Times New Roman" w:hAnsi="Times New Roman"/>
                <w:color w:val="auto"/>
                <w:sz w:val="24"/>
              </w:rPr>
              <w:t>S排放量0.00015t/a，排放速率0.0001kg/h）。无组织氨、硫化氢、臭气浓度排放速率满足《恶臭污染物排放标准》(GB14554-1993) 表1二级新改扩建标准限值要求，说明本项目正常工况下，本项目对周围大气环境影响较小，项目的建设从大气环境影响的角度分析是可行的。</w:t>
            </w:r>
          </w:p>
          <w:p>
            <w:pPr>
              <w:tabs>
                <w:tab w:val="left" w:pos="2190"/>
              </w:tabs>
              <w:adjustRightInd w:val="0"/>
              <w:snapToGrid w:val="0"/>
              <w:spacing w:line="360" w:lineRule="auto"/>
              <w:ind w:firstLine="480" w:firstLineChars="200"/>
              <w:rPr>
                <w:rFonts w:ascii="Times New Roman" w:hAnsi="Times New Roman"/>
                <w:color w:val="auto"/>
                <w:spacing w:val="4"/>
                <w:sz w:val="24"/>
              </w:rPr>
            </w:pPr>
            <w:r>
              <w:rPr>
                <w:rFonts w:ascii="Times New Roman" w:hAnsi="Times New Roman"/>
                <w:color w:val="auto"/>
                <w:sz w:val="24"/>
              </w:rPr>
              <w:t>3</w:t>
            </w:r>
            <w:r>
              <w:rPr>
                <w:rFonts w:ascii="Times New Roman" w:hAnsi="Times New Roman"/>
                <w:color w:val="auto"/>
                <w:spacing w:val="4"/>
                <w:sz w:val="24"/>
              </w:rPr>
              <w:t>、声环境</w:t>
            </w:r>
            <w:r>
              <w:rPr>
                <w:rFonts w:ascii="Times New Roman" w:hAnsi="Times New Roman"/>
                <w:color w:val="auto"/>
                <w:spacing w:val="4"/>
                <w:sz w:val="24"/>
              </w:rPr>
              <w:tab/>
            </w:r>
          </w:p>
          <w:p>
            <w:pPr>
              <w:spacing w:line="360" w:lineRule="auto"/>
              <w:ind w:firstLine="480" w:firstLineChars="200"/>
              <w:rPr>
                <w:rFonts w:ascii="Times New Roman" w:hAnsi="Times New Roman"/>
                <w:color w:val="auto"/>
              </w:rPr>
            </w:pPr>
            <w:r>
              <w:rPr>
                <w:rFonts w:ascii="Times New Roman" w:hAnsi="Times New Roman"/>
                <w:color w:val="auto"/>
                <w:sz w:val="24"/>
              </w:rPr>
              <w:t>本项目噪声源主要来源于一体式垃圾转运站压缩装置噪声。设备均放置在站房内，远离厂界，设备加防振垫，并加强设备维护。</w:t>
            </w:r>
            <w:r>
              <w:rPr>
                <w:rFonts w:ascii="Times New Roman" w:hAnsi="Times New Roman"/>
                <w:color w:val="auto"/>
                <w:kern w:val="0"/>
                <w:sz w:val="24"/>
                <w:szCs w:val="20"/>
              </w:rPr>
              <w:t>经厂区围墙隔音、距离衰减后，</w:t>
            </w:r>
            <w:r>
              <w:rPr>
                <w:rFonts w:ascii="Times New Roman" w:hAnsi="Times New Roman"/>
                <w:color w:val="auto"/>
                <w:sz w:val="24"/>
                <w:szCs w:val="20"/>
              </w:rPr>
              <w:t>厂界噪声能够达到《工业企业厂界环境噪声排放标准》(GB12348－2008)中1类标准（夜间不生产），噪声对周围环境产生的影响较小</w:t>
            </w:r>
            <w:r>
              <w:rPr>
                <w:rFonts w:ascii="Times New Roman" w:hAnsi="Times New Roman"/>
                <w:color w:val="auto"/>
                <w:sz w:val="24"/>
              </w:rPr>
              <w:t>。</w:t>
            </w:r>
          </w:p>
          <w:p>
            <w:pPr>
              <w:adjustRightInd w:val="0"/>
              <w:snapToGrid w:val="0"/>
              <w:spacing w:line="360" w:lineRule="auto"/>
              <w:ind w:left="561" w:leftChars="208" w:hanging="124" w:hangingChars="50"/>
              <w:rPr>
                <w:rFonts w:ascii="Times New Roman" w:hAnsi="Times New Roman"/>
                <w:color w:val="auto"/>
                <w:spacing w:val="4"/>
                <w:sz w:val="24"/>
              </w:rPr>
            </w:pPr>
            <w:r>
              <w:rPr>
                <w:rFonts w:ascii="Times New Roman" w:hAnsi="Times New Roman"/>
                <w:color w:val="auto"/>
                <w:spacing w:val="4"/>
                <w:sz w:val="24"/>
              </w:rPr>
              <w:t>4、固体废物</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项目产生的一般工业固体废物为压缩垃圾及员工生活垃圾，由运输车辆运往庆阳圣元环保电力有限公司。同时环评建议建设单位建立垃圾收集转运台账。</w:t>
            </w:r>
          </w:p>
          <w:p>
            <w:pPr>
              <w:snapToGrid w:val="0"/>
              <w:spacing w:line="360" w:lineRule="auto"/>
              <w:ind w:firstLine="480" w:firstLineChars="200"/>
              <w:rPr>
                <w:rFonts w:ascii="Times New Roman" w:hAnsi="Times New Roman"/>
                <w:color w:val="auto"/>
                <w:sz w:val="24"/>
              </w:rPr>
            </w:pPr>
            <w:r>
              <w:rPr>
                <w:rFonts w:ascii="Times New Roman" w:hAnsi="Times New Roman"/>
                <w:color w:val="auto"/>
                <w:kern w:val="0"/>
                <w:sz w:val="24"/>
              </w:rPr>
              <w:t>综上，各固体废物均得到有效处置，项目营运期固体废物对环境影响较小。</w:t>
            </w:r>
          </w:p>
          <w:p>
            <w:pPr>
              <w:adjustRightInd w:val="0"/>
              <w:snapToGrid w:val="0"/>
              <w:spacing w:line="360" w:lineRule="auto"/>
              <w:ind w:firstLine="482" w:firstLineChars="200"/>
              <w:rPr>
                <w:rFonts w:ascii="Times New Roman" w:hAnsi="Times New Roman"/>
                <w:b/>
                <w:color w:val="auto"/>
                <w:sz w:val="24"/>
              </w:rPr>
            </w:pPr>
            <w:r>
              <w:rPr>
                <w:rFonts w:ascii="Times New Roman" w:hAnsi="Times New Roman"/>
                <w:b/>
                <w:color w:val="auto"/>
                <w:kern w:val="0"/>
                <w:sz w:val="24"/>
              </w:rPr>
              <w:t>五、</w:t>
            </w:r>
            <w:r>
              <w:rPr>
                <w:rFonts w:ascii="Times New Roman" w:hAnsi="Times New Roman"/>
                <w:b/>
                <w:color w:val="auto"/>
                <w:sz w:val="24"/>
              </w:rPr>
              <w:t>环境风险评价</w:t>
            </w:r>
          </w:p>
          <w:p>
            <w:pPr>
              <w:adjustRightInd w:val="0"/>
              <w:snapToGrid w:val="0"/>
              <w:spacing w:line="360" w:lineRule="auto"/>
              <w:ind w:firstLine="537" w:firstLineChars="224"/>
              <w:rPr>
                <w:rFonts w:ascii="Times New Roman" w:hAnsi="Times New Roman"/>
                <w:color w:val="auto"/>
                <w:sz w:val="24"/>
              </w:rPr>
            </w:pPr>
            <w:r>
              <w:rPr>
                <w:rFonts w:ascii="Times New Roman" w:hAnsi="Times New Roman"/>
                <w:color w:val="auto"/>
                <w:sz w:val="24"/>
              </w:rPr>
              <w:t>该项目建设单位将严格按照国家有关规范标准的要求进行监控和管理，认真落实本次环评提出的对策措施，在采取以上风险防范措施以及制定应急预案之后，环境风险事故对周围环境的影响可以接受。</w:t>
            </w:r>
          </w:p>
          <w:p>
            <w:pPr>
              <w:adjustRightInd w:val="0"/>
              <w:snapToGrid w:val="0"/>
              <w:spacing w:line="360" w:lineRule="auto"/>
              <w:ind w:firstLine="540" w:firstLineChars="224"/>
              <w:rPr>
                <w:rFonts w:ascii="Times New Roman" w:hAnsi="Times New Roman"/>
                <w:b/>
                <w:bCs/>
                <w:color w:val="auto"/>
                <w:sz w:val="24"/>
              </w:rPr>
            </w:pPr>
            <w:r>
              <w:rPr>
                <w:rFonts w:ascii="Times New Roman" w:hAnsi="Times New Roman"/>
                <w:b/>
                <w:bCs/>
                <w:color w:val="auto"/>
                <w:sz w:val="24"/>
              </w:rPr>
              <w:t>六、结论</w:t>
            </w:r>
          </w:p>
          <w:p>
            <w:pPr>
              <w:adjustRightInd w:val="0"/>
              <w:snapToGrid w:val="0"/>
              <w:spacing w:line="360" w:lineRule="auto"/>
              <w:ind w:firstLine="540" w:firstLineChars="224"/>
              <w:rPr>
                <w:rFonts w:ascii="Times New Roman" w:hAnsi="Times New Roman"/>
                <w:b/>
                <w:bCs/>
                <w:color w:val="auto"/>
                <w:sz w:val="24"/>
              </w:rPr>
            </w:pPr>
            <w:r>
              <w:rPr>
                <w:rFonts w:ascii="Times New Roman" w:hAnsi="Times New Roman"/>
                <w:b/>
                <w:bCs/>
                <w:color w:val="auto"/>
                <w:sz w:val="24"/>
              </w:rPr>
              <w:t>在确保各项污染防治措施及建议落实到位的情况下，本项目运营后，废水合理处置；废气达标排放；厂界噪声达标；固体废物处理去向明确。因此，从环境效益、经济效益与社会效益三统一的角度出发，该项目的选址及建设是可行的。</w:t>
            </w:r>
          </w:p>
          <w:p>
            <w:pPr>
              <w:adjustRightInd w:val="0"/>
              <w:snapToGrid w:val="0"/>
              <w:spacing w:line="360" w:lineRule="auto"/>
              <w:rPr>
                <w:rFonts w:ascii="Times New Roman" w:hAnsi="Times New Roman"/>
                <w:b/>
                <w:bCs/>
                <w:color w:val="auto"/>
                <w:sz w:val="24"/>
              </w:rPr>
            </w:pPr>
            <w:r>
              <w:rPr>
                <w:rFonts w:ascii="Times New Roman" w:hAnsi="Times New Roman"/>
                <w:b/>
                <w:bCs/>
                <w:color w:val="auto"/>
                <w:sz w:val="24"/>
              </w:rPr>
              <w:t>建议：</w:t>
            </w:r>
          </w:p>
          <w:p>
            <w:pPr>
              <w:pStyle w:val="12"/>
              <w:spacing w:after="0"/>
              <w:ind w:left="0" w:leftChars="0" w:firstLine="480"/>
              <w:rPr>
                <w:rFonts w:ascii="Times New Roman" w:hAnsi="Times New Roman" w:cs="Times New Roman"/>
                <w:color w:val="auto"/>
              </w:rPr>
            </w:pPr>
            <w:r>
              <w:rPr>
                <w:rFonts w:ascii="Times New Roman" w:hAnsi="Times New Roman" w:cs="Times New Roman"/>
                <w:color w:val="auto"/>
              </w:rPr>
              <w:t>1、落实环保治理经费，保证建设项目与污染防治措施实行“三同时”。</w:t>
            </w:r>
          </w:p>
          <w:p>
            <w:pPr>
              <w:pStyle w:val="12"/>
              <w:spacing w:after="0"/>
              <w:ind w:left="0" w:leftChars="0" w:firstLine="480"/>
              <w:rPr>
                <w:rFonts w:ascii="Times New Roman" w:hAnsi="Times New Roman" w:cs="Times New Roman"/>
                <w:color w:val="auto"/>
              </w:rPr>
            </w:pPr>
            <w:r>
              <w:rPr>
                <w:rFonts w:ascii="Times New Roman" w:hAnsi="Times New Roman" w:cs="Times New Roman"/>
                <w:color w:val="auto"/>
              </w:rPr>
              <w:t>2、所有生产设备必须安装在垃圾压缩收集间内，高噪声设备应安装在加有减振垫的隔声基础上，垃圾压缩车箱地面安放位置需配有橡胶减振垫。</w:t>
            </w:r>
          </w:p>
          <w:p>
            <w:pPr>
              <w:pStyle w:val="12"/>
              <w:spacing w:after="0"/>
              <w:ind w:left="0" w:leftChars="0" w:firstLine="480"/>
              <w:rPr>
                <w:rFonts w:ascii="Times New Roman" w:hAnsi="Times New Roman" w:cs="Times New Roman"/>
                <w:color w:val="auto"/>
              </w:rPr>
            </w:pPr>
            <w:r>
              <w:rPr>
                <w:rFonts w:ascii="Times New Roman" w:hAnsi="Times New Roman" w:cs="Times New Roman"/>
                <w:color w:val="auto"/>
              </w:rPr>
              <w:t>3、垃圾中转房和地面必须作防滲漏处理。</w:t>
            </w:r>
          </w:p>
          <w:p>
            <w:pPr>
              <w:pStyle w:val="12"/>
              <w:spacing w:after="0"/>
              <w:ind w:left="0" w:leftChars="0" w:firstLine="480"/>
              <w:rPr>
                <w:rFonts w:ascii="Times New Roman" w:hAnsi="Times New Roman" w:cs="Times New Roman"/>
                <w:color w:val="auto"/>
              </w:rPr>
            </w:pPr>
            <w:r>
              <w:rPr>
                <w:rFonts w:ascii="Times New Roman" w:hAnsi="Times New Roman" w:cs="Times New Roman"/>
                <w:color w:val="auto"/>
              </w:rPr>
              <w:t>4、及时清运，缩短垃圾在中转站的滞留时间，在很大程度上减少臭气的产生，同时还能减少蚊、蝇、鼠的滋生。</w:t>
            </w: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p>
            <w:pPr>
              <w:pStyle w:val="12"/>
              <w:spacing w:after="0"/>
              <w:ind w:left="0" w:leftChars="0" w:firstLine="0" w:firstLineChars="0"/>
              <w:rPr>
                <w:rFonts w:ascii="Times New Roman" w:hAnsi="Times New Roman" w:cs="Times New Roman"/>
                <w:color w:val="auto"/>
              </w:rPr>
            </w:pPr>
          </w:p>
        </w:tc>
      </w:tr>
    </w:tbl>
    <w:p>
      <w:pPr>
        <w:pStyle w:val="5"/>
        <w:rPr>
          <w:rFonts w:ascii="Times New Roman" w:hAnsi="Times New Roman"/>
          <w:color w:val="auto"/>
        </w:rPr>
      </w:pPr>
      <w:r>
        <w:rPr>
          <w:rFonts w:ascii="Times New Roman" w:hAnsi="Times New Roman"/>
          <w:color w:val="auto"/>
        </w:rPr>
        <w:t>附表1   建设项目大气环境影响评价自查表</w:t>
      </w:r>
    </w:p>
    <w:tbl>
      <w:tblPr>
        <w:tblStyle w:val="26"/>
        <w:tblW w:w="954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510"/>
        <w:gridCol w:w="192"/>
        <w:gridCol w:w="19"/>
        <w:gridCol w:w="1044"/>
        <w:gridCol w:w="720"/>
        <w:gridCol w:w="180"/>
        <w:gridCol w:w="212"/>
        <w:gridCol w:w="628"/>
        <w:gridCol w:w="1242"/>
        <w:gridCol w:w="61"/>
        <w:gridCol w:w="138"/>
        <w:gridCol w:w="413"/>
        <w:gridCol w:w="804"/>
        <w:gridCol w:w="63"/>
        <w:gridCol w:w="285"/>
        <w:gridCol w:w="567"/>
        <w:gridCol w:w="649"/>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2322" w:type="dxa"/>
            <w:gridSpan w:val="2"/>
            <w:tcBorders>
              <w:top w:val="single" w:color="auto" w:sz="4"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工作内容</w:t>
            </w:r>
          </w:p>
        </w:tc>
        <w:tc>
          <w:tcPr>
            <w:tcW w:w="7217" w:type="dxa"/>
            <w:gridSpan w:val="16"/>
            <w:tcBorders>
              <w:top w:val="single" w:color="auto" w:sz="4"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自查项目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restar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评价等级与范围</w:t>
            </w: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评价等级</w:t>
            </w:r>
          </w:p>
        </w:tc>
        <w:tc>
          <w:tcPr>
            <w:tcW w:w="2367"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一级□</w:t>
            </w:r>
          </w:p>
        </w:tc>
        <w:tc>
          <w:tcPr>
            <w:tcW w:w="3349"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二级□</w:t>
            </w:r>
          </w:p>
        </w:tc>
        <w:tc>
          <w:tcPr>
            <w:tcW w:w="1501" w:type="dxa"/>
            <w:gridSpan w:val="3"/>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三级</w:t>
            </w:r>
            <w:r>
              <w:rPr>
                <w:rFonts w:hint="eastAsia" w:ascii="MS Mincho" w:hAnsi="MS Mincho" w:eastAsia="MS Mincho" w:cs="MS Mincho"/>
                <w:color w:val="auto"/>
                <w:spacing w:val="-10"/>
                <w:position w:val="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评价范围</w:t>
            </w:r>
          </w:p>
        </w:tc>
        <w:tc>
          <w:tcPr>
            <w:tcW w:w="2367"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边长=50km□</w:t>
            </w:r>
          </w:p>
        </w:tc>
        <w:tc>
          <w:tcPr>
            <w:tcW w:w="3349"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边长5～50km□</w:t>
            </w:r>
          </w:p>
        </w:tc>
        <w:tc>
          <w:tcPr>
            <w:tcW w:w="1501" w:type="dxa"/>
            <w:gridSpan w:val="3"/>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边长=5km</w:t>
            </w:r>
            <w:r>
              <w:rPr>
                <w:rFonts w:hint="eastAsia" w:ascii="MS Mincho" w:hAnsi="MS Mincho" w:eastAsia="MS Mincho" w:cs="MS Mincho"/>
                <w:color w:val="auto"/>
                <w:spacing w:val="-10"/>
                <w:position w:val="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restar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评价因子</w:t>
            </w: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SO</w:t>
            </w:r>
            <w:r>
              <w:rPr>
                <w:rFonts w:ascii="Times New Roman" w:hAnsi="Times New Roman"/>
                <w:color w:val="auto"/>
                <w:spacing w:val="-10"/>
                <w:position w:val="1"/>
                <w:szCs w:val="21"/>
                <w:vertAlign w:val="subscript"/>
              </w:rPr>
              <w:t>2</w:t>
            </w:r>
            <w:r>
              <w:rPr>
                <w:rFonts w:ascii="Times New Roman" w:hAnsi="Times New Roman"/>
                <w:color w:val="auto"/>
                <w:spacing w:val="-10"/>
                <w:position w:val="1"/>
                <w:szCs w:val="21"/>
              </w:rPr>
              <w:t>+NO</w:t>
            </w:r>
            <w:r>
              <w:rPr>
                <w:rFonts w:ascii="Times New Roman" w:hAnsi="Times New Roman"/>
                <w:color w:val="auto"/>
                <w:spacing w:val="-10"/>
                <w:position w:val="1"/>
                <w:szCs w:val="21"/>
                <w:vertAlign w:val="subscript"/>
              </w:rPr>
              <w:t>x</w:t>
            </w:r>
            <w:r>
              <w:rPr>
                <w:rFonts w:ascii="Times New Roman" w:hAnsi="Times New Roman"/>
                <w:color w:val="auto"/>
                <w:spacing w:val="-10"/>
                <w:position w:val="1"/>
                <w:szCs w:val="21"/>
              </w:rPr>
              <w:t>排放量</w:t>
            </w:r>
          </w:p>
        </w:tc>
        <w:tc>
          <w:tcPr>
            <w:tcW w:w="2367"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≥2000t/a□</w:t>
            </w:r>
          </w:p>
        </w:tc>
        <w:tc>
          <w:tcPr>
            <w:tcW w:w="3349"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500~2000t/a□</w:t>
            </w:r>
          </w:p>
        </w:tc>
        <w:tc>
          <w:tcPr>
            <w:tcW w:w="1501" w:type="dxa"/>
            <w:gridSpan w:val="3"/>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＜500t/a</w:t>
            </w:r>
            <w:r>
              <w:rPr>
                <w:rFonts w:hint="eastAsia" w:ascii="MS Mincho" w:hAnsi="MS Mincho" w:eastAsia="MS Mincho" w:cs="MS Mincho"/>
                <w:color w:val="auto"/>
                <w:spacing w:val="-10"/>
                <w:position w:val="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评价因子</w:t>
            </w:r>
          </w:p>
        </w:tc>
        <w:tc>
          <w:tcPr>
            <w:tcW w:w="4237"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基本污染物(TSP、NH</w:t>
            </w:r>
            <w:r>
              <w:rPr>
                <w:rFonts w:ascii="Times New Roman" w:hAnsi="Times New Roman"/>
                <w:color w:val="auto"/>
                <w:spacing w:val="-10"/>
                <w:position w:val="1"/>
                <w:szCs w:val="21"/>
                <w:vertAlign w:val="subscript"/>
              </w:rPr>
              <w:t>3</w:t>
            </w:r>
            <w:r>
              <w:rPr>
                <w:rFonts w:ascii="Times New Roman" w:hAnsi="Times New Roman"/>
                <w:color w:val="auto"/>
                <w:spacing w:val="-10"/>
                <w:position w:val="1"/>
                <w:szCs w:val="21"/>
              </w:rPr>
              <w:t>、H</w:t>
            </w:r>
            <w:r>
              <w:rPr>
                <w:rFonts w:ascii="Times New Roman" w:hAnsi="Times New Roman"/>
                <w:color w:val="auto"/>
                <w:spacing w:val="-10"/>
                <w:position w:val="1"/>
                <w:szCs w:val="21"/>
                <w:vertAlign w:val="subscript"/>
              </w:rPr>
              <w:t>2</w:t>
            </w:r>
            <w:r>
              <w:rPr>
                <w:rFonts w:ascii="Times New Roman" w:hAnsi="Times New Roman"/>
                <w:color w:val="auto"/>
                <w:spacing w:val="-10"/>
                <w:position w:val="1"/>
                <w:szCs w:val="21"/>
              </w:rPr>
              <w:t>S)</w:t>
            </w:r>
          </w:p>
        </w:tc>
        <w:tc>
          <w:tcPr>
            <w:tcW w:w="2980" w:type="dxa"/>
            <w:gridSpan w:val="8"/>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包括二次PM2.5□</w:t>
            </w:r>
          </w:p>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不包括二次PM2.5</w:t>
            </w:r>
            <w:r>
              <w:rPr>
                <w:rFonts w:hint="eastAsia" w:ascii="MS Mincho" w:hAnsi="MS Mincho" w:eastAsia="MS Mincho" w:cs="MS Mincho"/>
                <w:color w:val="auto"/>
                <w:spacing w:val="-10"/>
                <w:position w:val="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评价标准</w:t>
            </w: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评价标准</w:t>
            </w:r>
          </w:p>
        </w:tc>
        <w:tc>
          <w:tcPr>
            <w:tcW w:w="2367"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国家标准</w:t>
            </w:r>
            <w:r>
              <w:rPr>
                <w:rFonts w:hint="eastAsia" w:ascii="MS Mincho" w:hAnsi="MS Mincho" w:eastAsia="MS Mincho" w:cs="MS Mincho"/>
                <w:color w:val="auto"/>
                <w:spacing w:val="-10"/>
                <w:position w:val="1"/>
                <w:szCs w:val="21"/>
              </w:rPr>
              <w:t>☑</w:t>
            </w:r>
          </w:p>
        </w:tc>
        <w:tc>
          <w:tcPr>
            <w:tcW w:w="187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地方标准□</w:t>
            </w:r>
          </w:p>
        </w:tc>
        <w:tc>
          <w:tcPr>
            <w:tcW w:w="1479" w:type="dxa"/>
            <w:gridSpan w:val="5"/>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附录D</w:t>
            </w:r>
            <w:r>
              <w:rPr>
                <w:rFonts w:hint="eastAsia" w:ascii="MS Mincho" w:hAnsi="MS Mincho" w:eastAsia="MS Mincho" w:cs="MS Mincho"/>
                <w:color w:val="auto"/>
                <w:spacing w:val="-10"/>
                <w:position w:val="1"/>
                <w:szCs w:val="21"/>
              </w:rPr>
              <w:t>☑</w:t>
            </w:r>
          </w:p>
        </w:tc>
        <w:tc>
          <w:tcPr>
            <w:tcW w:w="1501" w:type="dxa"/>
            <w:gridSpan w:val="3"/>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其他标准□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restar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现状评价</w:t>
            </w: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环境功能区</w:t>
            </w:r>
          </w:p>
        </w:tc>
        <w:tc>
          <w:tcPr>
            <w:tcW w:w="2367"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一类区□</w:t>
            </w:r>
          </w:p>
        </w:tc>
        <w:tc>
          <w:tcPr>
            <w:tcW w:w="3349"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二类区</w:t>
            </w:r>
            <w:r>
              <w:rPr>
                <w:rFonts w:hint="eastAsia" w:ascii="MS Mincho" w:hAnsi="MS Mincho" w:eastAsia="MS Mincho" w:cs="MS Mincho"/>
                <w:color w:val="auto"/>
                <w:spacing w:val="-10"/>
                <w:position w:val="1"/>
                <w:szCs w:val="21"/>
              </w:rPr>
              <w:t>☑</w:t>
            </w:r>
          </w:p>
        </w:tc>
        <w:tc>
          <w:tcPr>
            <w:tcW w:w="1501" w:type="dxa"/>
            <w:gridSpan w:val="3"/>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评价基准年</w:t>
            </w:r>
          </w:p>
        </w:tc>
        <w:tc>
          <w:tcPr>
            <w:tcW w:w="7217" w:type="dxa"/>
            <w:gridSpan w:val="16"/>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（2018）年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环境空气质量现状调查数据来源</w:t>
            </w:r>
          </w:p>
        </w:tc>
        <w:tc>
          <w:tcPr>
            <w:tcW w:w="2367"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长期例行监测数据□</w:t>
            </w:r>
          </w:p>
        </w:tc>
        <w:tc>
          <w:tcPr>
            <w:tcW w:w="3349"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主管部门发布的数据</w:t>
            </w:r>
            <w:r>
              <w:rPr>
                <w:rFonts w:hint="eastAsia" w:ascii="MS Mincho" w:hAnsi="MS Mincho" w:eastAsia="MS Mincho" w:cs="MS Mincho"/>
                <w:color w:val="auto"/>
                <w:spacing w:val="-10"/>
                <w:position w:val="1"/>
                <w:szCs w:val="21"/>
              </w:rPr>
              <w:t>☑</w:t>
            </w:r>
          </w:p>
        </w:tc>
        <w:tc>
          <w:tcPr>
            <w:tcW w:w="1501" w:type="dxa"/>
            <w:gridSpan w:val="3"/>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现状补充监测□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现状评价</w:t>
            </w:r>
          </w:p>
        </w:tc>
        <w:tc>
          <w:tcPr>
            <w:tcW w:w="4237"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达标区</w:t>
            </w:r>
            <w:r>
              <w:rPr>
                <w:rFonts w:hint="eastAsia" w:ascii="MS Mincho" w:hAnsi="MS Mincho" w:eastAsia="MS Mincho" w:cs="MS Mincho"/>
                <w:color w:val="auto"/>
                <w:spacing w:val="-10"/>
                <w:position w:val="1"/>
                <w:szCs w:val="21"/>
              </w:rPr>
              <w:t>☑</w:t>
            </w:r>
          </w:p>
        </w:tc>
        <w:tc>
          <w:tcPr>
            <w:tcW w:w="2980" w:type="dxa"/>
            <w:gridSpan w:val="8"/>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不达标区□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污染源调查</w:t>
            </w: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调查内容</w:t>
            </w:r>
          </w:p>
        </w:tc>
        <w:tc>
          <w:tcPr>
            <w:tcW w:w="2995" w:type="dxa"/>
            <w:gridSpan w:val="7"/>
            <w:tcBorders>
              <w:top w:val="single" w:color="auto" w:sz="6" w:space="0"/>
              <w:left w:val="single" w:color="auto" w:sz="6" w:space="0"/>
              <w:bottom w:val="single" w:color="auto" w:sz="6" w:space="0"/>
              <w:right w:val="single" w:color="auto" w:sz="6" w:space="0"/>
            </w:tcBorders>
            <w:vAlign w:val="center"/>
          </w:tcPr>
          <w:p>
            <w:pPr>
              <w:jc w:val="left"/>
              <w:rPr>
                <w:rFonts w:ascii="Times New Roman" w:hAnsi="Times New Roman"/>
                <w:color w:val="auto"/>
                <w:spacing w:val="-10"/>
                <w:w w:val="90"/>
                <w:position w:val="1"/>
                <w:szCs w:val="21"/>
              </w:rPr>
            </w:pPr>
            <w:r>
              <w:rPr>
                <w:rFonts w:ascii="Times New Roman" w:hAnsi="Times New Roman"/>
                <w:color w:val="auto"/>
                <w:spacing w:val="-10"/>
                <w:position w:val="1"/>
                <w:szCs w:val="21"/>
              </w:rPr>
              <w:t>本项目正常排放源□</w:t>
            </w:r>
          </w:p>
          <w:p>
            <w:pPr>
              <w:jc w:val="left"/>
              <w:rPr>
                <w:rFonts w:ascii="Times New Roman" w:hAnsi="Times New Roman"/>
                <w:color w:val="auto"/>
                <w:spacing w:val="-10"/>
                <w:position w:val="1"/>
                <w:szCs w:val="21"/>
              </w:rPr>
            </w:pPr>
            <w:r>
              <w:rPr>
                <w:rFonts w:ascii="Times New Roman" w:hAnsi="Times New Roman"/>
                <w:color w:val="auto"/>
                <w:spacing w:val="-10"/>
                <w:position w:val="1"/>
                <w:szCs w:val="21"/>
              </w:rPr>
              <w:t>本项目非正常排放源□</w:t>
            </w:r>
          </w:p>
          <w:p>
            <w:pPr>
              <w:jc w:val="left"/>
              <w:rPr>
                <w:rFonts w:ascii="Times New Roman" w:hAnsi="Times New Roman"/>
                <w:color w:val="auto"/>
                <w:spacing w:val="-10"/>
                <w:w w:val="90"/>
                <w:position w:val="1"/>
                <w:szCs w:val="21"/>
              </w:rPr>
            </w:pPr>
            <w:r>
              <w:rPr>
                <w:rFonts w:ascii="Times New Roman" w:hAnsi="Times New Roman"/>
                <w:color w:val="auto"/>
                <w:spacing w:val="-10"/>
                <w:position w:val="1"/>
                <w:szCs w:val="21"/>
              </w:rPr>
              <w:t>现有污染源</w:t>
            </w:r>
            <w:r>
              <w:rPr>
                <w:rFonts w:hint="eastAsia" w:ascii="MS Mincho" w:hAnsi="MS Mincho" w:eastAsia="MS Mincho" w:cs="MS Mincho"/>
                <w:color w:val="auto"/>
                <w:spacing w:val="-10"/>
                <w:position w:val="1"/>
                <w:szCs w:val="21"/>
              </w:rPr>
              <w:t>☑</w:t>
            </w:r>
          </w:p>
        </w:tc>
        <w:tc>
          <w:tcPr>
            <w:tcW w:w="1854" w:type="dxa"/>
            <w:gridSpan w:val="4"/>
            <w:tcBorders>
              <w:top w:val="single" w:color="auto" w:sz="6" w:space="0"/>
              <w:left w:val="single" w:color="auto" w:sz="6" w:space="0"/>
              <w:bottom w:val="single" w:color="auto" w:sz="6" w:space="0"/>
              <w:right w:val="single" w:color="auto" w:sz="6" w:space="0"/>
            </w:tcBorders>
            <w:vAlign w:val="center"/>
          </w:tcPr>
          <w:p>
            <w:pPr>
              <w:jc w:val="left"/>
              <w:rPr>
                <w:rFonts w:ascii="Times New Roman" w:hAnsi="Times New Roman"/>
                <w:color w:val="auto"/>
                <w:spacing w:val="-10"/>
                <w:w w:val="90"/>
                <w:position w:val="1"/>
                <w:szCs w:val="21"/>
              </w:rPr>
            </w:pPr>
            <w:r>
              <w:rPr>
                <w:rFonts w:ascii="Times New Roman" w:hAnsi="Times New Roman"/>
                <w:color w:val="auto"/>
                <w:spacing w:val="-10"/>
                <w:position w:val="1"/>
                <w:szCs w:val="21"/>
              </w:rPr>
              <w:t>拟替代的污染源□</w:t>
            </w:r>
          </w:p>
        </w:tc>
        <w:tc>
          <w:tcPr>
            <w:tcW w:w="1152" w:type="dxa"/>
            <w:gridSpan w:val="3"/>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olor w:val="auto"/>
                <w:spacing w:val="-10"/>
                <w:w w:val="90"/>
                <w:position w:val="1"/>
                <w:szCs w:val="21"/>
              </w:rPr>
            </w:pPr>
            <w:r>
              <w:rPr>
                <w:rFonts w:ascii="Times New Roman" w:hAnsi="Times New Roman"/>
                <w:color w:val="auto"/>
                <w:spacing w:val="-10"/>
                <w:position w:val="1"/>
                <w:szCs w:val="21"/>
              </w:rPr>
              <w:t>其他在建、拟建项目污染源□</w:t>
            </w:r>
          </w:p>
        </w:tc>
        <w:tc>
          <w:tcPr>
            <w:tcW w:w="1216" w:type="dxa"/>
            <w:gridSpan w:val="2"/>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区域污染源□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2" w:type="dxa"/>
            <w:vMerge w:val="restar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大气环境影响预测与评价</w:t>
            </w: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预测模型</w:t>
            </w:r>
          </w:p>
        </w:tc>
        <w:tc>
          <w:tcPr>
            <w:tcW w:w="1255"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AERMOD</w:t>
            </w:r>
            <w:r>
              <w:rPr>
                <w:rFonts w:hint="eastAsia" w:ascii="MS Mincho" w:hAnsi="MS Mincho" w:eastAsia="MS Mincho" w:cs="MS Mincho"/>
                <w:color w:val="auto"/>
                <w:spacing w:val="-10"/>
                <w:position w:val="1"/>
                <w:szCs w:val="21"/>
              </w:rPr>
              <w:t>☑</w:t>
            </w:r>
          </w:p>
        </w:tc>
        <w:tc>
          <w:tcPr>
            <w:tcW w:w="90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ADMS□</w:t>
            </w:r>
          </w:p>
        </w:tc>
        <w:tc>
          <w:tcPr>
            <w:tcW w:w="8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AUSTAL2000□</w:t>
            </w: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EDMS/AEDT□</w:t>
            </w:r>
          </w:p>
        </w:tc>
        <w:tc>
          <w:tcPr>
            <w:tcW w:w="1418" w:type="dxa"/>
            <w:gridSpan w:val="4"/>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CALPUFF□</w:t>
            </w:r>
          </w:p>
        </w:tc>
        <w:tc>
          <w:tcPr>
            <w:tcW w:w="85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网格模型□</w:t>
            </w:r>
          </w:p>
        </w:tc>
        <w:tc>
          <w:tcPr>
            <w:tcW w:w="659" w:type="dxa"/>
            <w:gridSpan w:val="2"/>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预测范围</w:t>
            </w:r>
          </w:p>
        </w:tc>
        <w:tc>
          <w:tcPr>
            <w:tcW w:w="2995"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边长≥50km□</w:t>
            </w: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边长5～50km□</w:t>
            </w:r>
          </w:p>
        </w:tc>
        <w:tc>
          <w:tcPr>
            <w:tcW w:w="2919" w:type="dxa"/>
            <w:gridSpan w:val="7"/>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边长=5km</w:t>
            </w:r>
            <w:r>
              <w:rPr>
                <w:rFonts w:hint="eastAsia" w:ascii="MS Mincho" w:hAnsi="MS Mincho" w:eastAsia="MS Mincho" w:cs="MS Mincho"/>
                <w:color w:val="auto"/>
                <w:spacing w:val="-10"/>
                <w:position w:val="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预测因子</w:t>
            </w:r>
          </w:p>
        </w:tc>
        <w:tc>
          <w:tcPr>
            <w:tcW w:w="4237"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预测因子(TSP、NH</w:t>
            </w:r>
            <w:r>
              <w:rPr>
                <w:rFonts w:ascii="Times New Roman" w:hAnsi="Times New Roman"/>
                <w:color w:val="auto"/>
                <w:spacing w:val="-10"/>
                <w:position w:val="1"/>
                <w:szCs w:val="21"/>
                <w:vertAlign w:val="subscript"/>
              </w:rPr>
              <w:t>3</w:t>
            </w:r>
            <w:r>
              <w:rPr>
                <w:rFonts w:ascii="Times New Roman" w:hAnsi="Times New Roman"/>
                <w:color w:val="auto"/>
                <w:spacing w:val="-10"/>
                <w:position w:val="1"/>
                <w:szCs w:val="21"/>
              </w:rPr>
              <w:t>、硫化氢)</w:t>
            </w:r>
          </w:p>
        </w:tc>
        <w:tc>
          <w:tcPr>
            <w:tcW w:w="2980" w:type="dxa"/>
            <w:gridSpan w:val="8"/>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包括二次PM2.5□</w:t>
            </w:r>
          </w:p>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不包括二次PM2.5</w:t>
            </w:r>
            <w:r>
              <w:rPr>
                <w:rFonts w:hint="eastAsia" w:ascii="MS Mincho" w:hAnsi="MS Mincho" w:eastAsia="MS Mincho" w:cs="MS Mincho"/>
                <w:color w:val="auto"/>
                <w:spacing w:val="-10"/>
                <w:position w:val="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正常排放短期浓度贡献值</w:t>
            </w:r>
          </w:p>
        </w:tc>
        <w:tc>
          <w:tcPr>
            <w:tcW w:w="4237"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w:t>
            </w:r>
            <w:r>
              <w:rPr>
                <w:rFonts w:ascii="Times New Roman" w:hAnsi="Times New Roman"/>
                <w:color w:val="auto"/>
                <w:spacing w:val="-10"/>
                <w:position w:val="1"/>
                <w:szCs w:val="21"/>
                <w:vertAlign w:val="subscript"/>
              </w:rPr>
              <w:t>本项目</w:t>
            </w:r>
            <w:r>
              <w:rPr>
                <w:rFonts w:ascii="Times New Roman" w:hAnsi="Times New Roman"/>
                <w:color w:val="auto"/>
                <w:spacing w:val="-10"/>
                <w:position w:val="1"/>
                <w:szCs w:val="21"/>
              </w:rPr>
              <w:t>最大占标率≤100%</w:t>
            </w:r>
            <w:r>
              <w:rPr>
                <w:rFonts w:hint="eastAsia" w:ascii="MS Mincho" w:hAnsi="MS Mincho" w:eastAsia="MS Mincho" w:cs="MS Mincho"/>
                <w:color w:val="auto"/>
                <w:spacing w:val="-10"/>
                <w:position w:val="1"/>
                <w:szCs w:val="21"/>
              </w:rPr>
              <w:t>☑</w:t>
            </w:r>
          </w:p>
        </w:tc>
        <w:tc>
          <w:tcPr>
            <w:tcW w:w="2980" w:type="dxa"/>
            <w:gridSpan w:val="8"/>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w:t>
            </w:r>
            <w:r>
              <w:rPr>
                <w:rFonts w:ascii="Times New Roman" w:hAnsi="Times New Roman"/>
                <w:color w:val="auto"/>
                <w:spacing w:val="-10"/>
                <w:position w:val="1"/>
                <w:szCs w:val="21"/>
                <w:vertAlign w:val="subscript"/>
              </w:rPr>
              <w:t>本项目</w:t>
            </w:r>
            <w:r>
              <w:rPr>
                <w:rFonts w:ascii="Times New Roman" w:hAnsi="Times New Roman"/>
                <w:color w:val="auto"/>
                <w:spacing w:val="-10"/>
                <w:position w:val="1"/>
                <w:szCs w:val="21"/>
              </w:rPr>
              <w:t>最大占标率＞100%□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正常排放年均浓度贡献值</w:t>
            </w:r>
          </w:p>
        </w:tc>
        <w:tc>
          <w:tcPr>
            <w:tcW w:w="1975" w:type="dxa"/>
            <w:gridSpan w:val="4"/>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一类区</w:t>
            </w:r>
          </w:p>
        </w:tc>
        <w:tc>
          <w:tcPr>
            <w:tcW w:w="2323" w:type="dxa"/>
            <w:gridSpan w:val="5"/>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w:t>
            </w:r>
            <w:r>
              <w:rPr>
                <w:rFonts w:ascii="Times New Roman" w:hAnsi="Times New Roman"/>
                <w:color w:val="auto"/>
                <w:spacing w:val="-10"/>
                <w:position w:val="1"/>
                <w:szCs w:val="21"/>
                <w:vertAlign w:val="subscript"/>
              </w:rPr>
              <w:t>本项目</w:t>
            </w:r>
            <w:r>
              <w:rPr>
                <w:rFonts w:ascii="Times New Roman" w:hAnsi="Times New Roman"/>
                <w:color w:val="auto"/>
                <w:spacing w:val="-10"/>
                <w:position w:val="1"/>
                <w:szCs w:val="21"/>
              </w:rPr>
              <w:t>最大占标率≤10%□</w:t>
            </w:r>
          </w:p>
        </w:tc>
        <w:tc>
          <w:tcPr>
            <w:tcW w:w="2919" w:type="dxa"/>
            <w:gridSpan w:val="7"/>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w:t>
            </w:r>
            <w:r>
              <w:rPr>
                <w:rFonts w:ascii="Times New Roman" w:hAnsi="Times New Roman"/>
                <w:color w:val="auto"/>
                <w:spacing w:val="-10"/>
                <w:position w:val="1"/>
                <w:szCs w:val="21"/>
                <w:vertAlign w:val="subscript"/>
              </w:rPr>
              <w:t>本项目</w:t>
            </w:r>
            <w:r>
              <w:rPr>
                <w:rFonts w:ascii="Times New Roman" w:hAnsi="Times New Roman"/>
                <w:color w:val="auto"/>
                <w:spacing w:val="-10"/>
                <w:position w:val="1"/>
                <w:szCs w:val="21"/>
              </w:rPr>
              <w:t>最大占标率＞10%□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975" w:type="dxa"/>
            <w:gridSpan w:val="4"/>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二类区</w:t>
            </w:r>
          </w:p>
        </w:tc>
        <w:tc>
          <w:tcPr>
            <w:tcW w:w="2323" w:type="dxa"/>
            <w:gridSpan w:val="5"/>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w:t>
            </w:r>
            <w:r>
              <w:rPr>
                <w:rFonts w:ascii="Times New Roman" w:hAnsi="Times New Roman"/>
                <w:color w:val="auto"/>
                <w:spacing w:val="-10"/>
                <w:position w:val="1"/>
                <w:szCs w:val="21"/>
                <w:vertAlign w:val="subscript"/>
              </w:rPr>
              <w:t>本项目</w:t>
            </w:r>
            <w:r>
              <w:rPr>
                <w:rFonts w:ascii="Times New Roman" w:hAnsi="Times New Roman"/>
                <w:color w:val="auto"/>
                <w:spacing w:val="-10"/>
                <w:position w:val="1"/>
                <w:szCs w:val="21"/>
              </w:rPr>
              <w:t>最大占标率≤30%</w:t>
            </w:r>
            <w:r>
              <w:rPr>
                <w:rFonts w:hint="eastAsia" w:ascii="MS Mincho" w:hAnsi="MS Mincho" w:eastAsia="MS Mincho" w:cs="MS Mincho"/>
                <w:color w:val="auto"/>
                <w:spacing w:val="-10"/>
                <w:position w:val="1"/>
                <w:szCs w:val="21"/>
              </w:rPr>
              <w:t>☑</w:t>
            </w:r>
          </w:p>
        </w:tc>
        <w:tc>
          <w:tcPr>
            <w:tcW w:w="2919" w:type="dxa"/>
            <w:gridSpan w:val="7"/>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w:t>
            </w:r>
            <w:r>
              <w:rPr>
                <w:rFonts w:ascii="Times New Roman" w:hAnsi="Times New Roman"/>
                <w:color w:val="auto"/>
                <w:spacing w:val="-10"/>
                <w:position w:val="1"/>
                <w:szCs w:val="21"/>
                <w:vertAlign w:val="subscript"/>
              </w:rPr>
              <w:t>本项目</w:t>
            </w:r>
            <w:r>
              <w:rPr>
                <w:rFonts w:ascii="Times New Roman" w:hAnsi="Times New Roman"/>
                <w:color w:val="auto"/>
                <w:spacing w:val="-10"/>
                <w:position w:val="1"/>
                <w:szCs w:val="21"/>
              </w:rPr>
              <w:t>最大占标率＞30%□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5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非正常排放1h浓度贡献值</w:t>
            </w:r>
          </w:p>
        </w:tc>
        <w:tc>
          <w:tcPr>
            <w:tcW w:w="2995"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非正常持续时长（/）h</w:t>
            </w: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w:t>
            </w:r>
            <w:r>
              <w:rPr>
                <w:rFonts w:ascii="Times New Roman" w:hAnsi="Times New Roman"/>
                <w:color w:val="auto"/>
                <w:spacing w:val="-10"/>
                <w:position w:val="1"/>
                <w:szCs w:val="21"/>
                <w:vertAlign w:val="subscript"/>
              </w:rPr>
              <w:t>非正常</w:t>
            </w:r>
            <w:r>
              <w:rPr>
                <w:rFonts w:ascii="Times New Roman" w:hAnsi="Times New Roman"/>
                <w:color w:val="auto"/>
                <w:spacing w:val="-10"/>
                <w:position w:val="1"/>
                <w:szCs w:val="21"/>
              </w:rPr>
              <w:t>最大占标率≤100%□</w:t>
            </w:r>
          </w:p>
        </w:tc>
        <w:tc>
          <w:tcPr>
            <w:tcW w:w="2919" w:type="dxa"/>
            <w:gridSpan w:val="7"/>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C</w:t>
            </w:r>
            <w:r>
              <w:rPr>
                <w:rFonts w:ascii="Times New Roman" w:hAnsi="Times New Roman"/>
                <w:color w:val="auto"/>
                <w:spacing w:val="-10"/>
                <w:position w:val="1"/>
                <w:szCs w:val="21"/>
                <w:vertAlign w:val="subscript"/>
              </w:rPr>
              <w:t>非正常</w:t>
            </w:r>
            <w:r>
              <w:rPr>
                <w:rFonts w:ascii="Times New Roman" w:hAnsi="Times New Roman"/>
                <w:color w:val="auto"/>
                <w:spacing w:val="-10"/>
                <w:position w:val="1"/>
                <w:szCs w:val="21"/>
              </w:rPr>
              <w:t>最大占标率＞100%□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72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保证率日平均浓度和年平均浓度叠加值</w:t>
            </w:r>
          </w:p>
        </w:tc>
        <w:tc>
          <w:tcPr>
            <w:tcW w:w="4026"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Cambria Math" w:hAnsi="Times New Roman"/>
                <w:color w:val="auto"/>
                <w:spacing w:val="-10"/>
                <w:position w:val="1"/>
                <w:szCs w:val="21"/>
              </w:rPr>
              <w:t>𝐷</w:t>
            </w:r>
            <w:r>
              <w:rPr>
                <w:rFonts w:ascii="Times New Roman" w:hAnsi="Times New Roman"/>
                <w:color w:val="auto"/>
                <w:spacing w:val="-10"/>
                <w:position w:val="1"/>
                <w:szCs w:val="21"/>
                <w:vertAlign w:val="subscript"/>
              </w:rPr>
              <w:t>叠加</w:t>
            </w:r>
            <w:r>
              <w:rPr>
                <w:rFonts w:ascii="Times New Roman" w:hAnsi="Times New Roman"/>
                <w:color w:val="auto"/>
                <w:spacing w:val="-10"/>
                <w:position w:val="1"/>
                <w:szCs w:val="21"/>
              </w:rPr>
              <w:t>达标</w:t>
            </w:r>
            <w:r>
              <w:rPr>
                <w:rFonts w:hint="eastAsia" w:ascii="MS Mincho" w:hAnsi="MS Mincho" w:eastAsia="MS Mincho" w:cs="MS Mincho"/>
                <w:color w:val="auto"/>
                <w:spacing w:val="-10"/>
                <w:position w:val="1"/>
                <w:szCs w:val="21"/>
              </w:rPr>
              <w:t>☑</w:t>
            </w:r>
          </w:p>
        </w:tc>
        <w:tc>
          <w:tcPr>
            <w:tcW w:w="2980" w:type="dxa"/>
            <w:gridSpan w:val="8"/>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Cambria Math" w:hAnsi="Times New Roman"/>
                <w:color w:val="auto"/>
                <w:spacing w:val="-10"/>
                <w:position w:val="1"/>
                <w:szCs w:val="21"/>
              </w:rPr>
              <w:t>𝐷</w:t>
            </w:r>
            <w:r>
              <w:rPr>
                <w:rFonts w:ascii="Times New Roman" w:hAnsi="Times New Roman"/>
                <w:color w:val="auto"/>
                <w:spacing w:val="-10"/>
                <w:position w:val="1"/>
                <w:szCs w:val="21"/>
                <w:vertAlign w:val="subscript"/>
              </w:rPr>
              <w:t>叠加</w:t>
            </w:r>
            <w:r>
              <w:rPr>
                <w:rFonts w:ascii="Times New Roman" w:hAnsi="Times New Roman"/>
                <w:color w:val="auto"/>
                <w:spacing w:val="-10"/>
                <w:position w:val="1"/>
                <w:szCs w:val="21"/>
              </w:rPr>
              <w:t>不达标□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70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区域环境质量的整体变化情况</w:t>
            </w:r>
          </w:p>
        </w:tc>
        <w:tc>
          <w:tcPr>
            <w:tcW w:w="4045" w:type="dxa"/>
            <w:gridSpan w:val="7"/>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k≤-20%□</w:t>
            </w:r>
          </w:p>
        </w:tc>
        <w:tc>
          <w:tcPr>
            <w:tcW w:w="2980" w:type="dxa"/>
            <w:gridSpan w:val="8"/>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k＞-20%□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restar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环境监测计划</w:t>
            </w:r>
          </w:p>
        </w:tc>
        <w:tc>
          <w:tcPr>
            <w:tcW w:w="170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污染源监测</w:t>
            </w:r>
          </w:p>
        </w:tc>
        <w:tc>
          <w:tcPr>
            <w:tcW w:w="2803"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监测因子：（（SO</w:t>
            </w:r>
            <w:r>
              <w:rPr>
                <w:rFonts w:ascii="Times New Roman" w:hAnsi="Times New Roman"/>
                <w:color w:val="auto"/>
                <w:spacing w:val="-10"/>
                <w:position w:val="1"/>
                <w:szCs w:val="21"/>
                <w:vertAlign w:val="subscript"/>
              </w:rPr>
              <w:t>2</w:t>
            </w:r>
            <w:r>
              <w:rPr>
                <w:rFonts w:ascii="Times New Roman" w:hAnsi="Times New Roman"/>
                <w:color w:val="auto"/>
                <w:spacing w:val="-10"/>
                <w:position w:val="1"/>
                <w:szCs w:val="21"/>
              </w:rPr>
              <w:t>、NO</w:t>
            </w:r>
            <w:r>
              <w:rPr>
                <w:rFonts w:ascii="Times New Roman" w:hAnsi="Times New Roman"/>
                <w:color w:val="auto"/>
                <w:spacing w:val="-10"/>
                <w:position w:val="1"/>
                <w:szCs w:val="21"/>
                <w:vertAlign w:val="subscript"/>
              </w:rPr>
              <w:t>x</w:t>
            </w:r>
            <w:r>
              <w:rPr>
                <w:rFonts w:ascii="Times New Roman" w:hAnsi="Times New Roman"/>
                <w:color w:val="auto"/>
                <w:spacing w:val="-10"/>
                <w:position w:val="1"/>
                <w:szCs w:val="21"/>
              </w:rPr>
              <w:t>、颗粒物、烟气黑度））</w:t>
            </w:r>
          </w:p>
        </w:tc>
        <w:tc>
          <w:tcPr>
            <w:tcW w:w="2658" w:type="dxa"/>
            <w:gridSpan w:val="5"/>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有组织废气监测</w:t>
            </w:r>
            <w:r>
              <w:rPr>
                <w:rFonts w:hint="eastAsia" w:ascii="MS Mincho" w:hAnsi="MS Mincho" w:eastAsia="MS Mincho" w:cs="MS Mincho"/>
                <w:color w:val="auto"/>
                <w:spacing w:val="-10"/>
                <w:position w:val="1"/>
                <w:szCs w:val="21"/>
              </w:rPr>
              <w:t>☑</w:t>
            </w:r>
          </w:p>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无组织废气监测□</w:t>
            </w:r>
          </w:p>
        </w:tc>
        <w:tc>
          <w:tcPr>
            <w:tcW w:w="1564" w:type="dxa"/>
            <w:gridSpan w:val="4"/>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无监测□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70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环境质量监测</w:t>
            </w:r>
          </w:p>
        </w:tc>
        <w:tc>
          <w:tcPr>
            <w:tcW w:w="2803"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监测因子：（/）</w:t>
            </w: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监测点位数（/）</w:t>
            </w:r>
          </w:p>
        </w:tc>
        <w:tc>
          <w:tcPr>
            <w:tcW w:w="2919" w:type="dxa"/>
            <w:gridSpan w:val="7"/>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无监测</w:t>
            </w:r>
            <w:r>
              <w:rPr>
                <w:rFonts w:hint="eastAsia" w:ascii="MS Mincho" w:hAnsi="MS Mincho" w:eastAsia="MS Mincho" w:cs="MS Mincho"/>
                <w:color w:val="auto"/>
                <w:spacing w:val="-10"/>
                <w:position w:val="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restar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评价结论</w:t>
            </w:r>
          </w:p>
        </w:tc>
        <w:tc>
          <w:tcPr>
            <w:tcW w:w="170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环境影响</w:t>
            </w:r>
          </w:p>
        </w:tc>
        <w:tc>
          <w:tcPr>
            <w:tcW w:w="7025" w:type="dxa"/>
            <w:gridSpan w:val="15"/>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可以接受</w:t>
            </w:r>
            <w:r>
              <w:rPr>
                <w:rFonts w:hint="eastAsia" w:ascii="MS Mincho" w:hAnsi="MS Mincho" w:eastAsia="MS Mincho" w:cs="MS Mincho"/>
                <w:color w:val="auto"/>
                <w:spacing w:val="-10"/>
                <w:position w:val="1"/>
                <w:szCs w:val="21"/>
              </w:rPr>
              <w:t>☑</w:t>
            </w:r>
            <w:r>
              <w:rPr>
                <w:rFonts w:ascii="Times New Roman" w:hAnsi="Times New Roman"/>
                <w:color w:val="auto"/>
                <w:spacing w:val="-10"/>
                <w:position w:val="1"/>
                <w:szCs w:val="21"/>
              </w:rPr>
              <w:t>不可以接受□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70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大气环境防护距离</w:t>
            </w:r>
          </w:p>
        </w:tc>
        <w:tc>
          <w:tcPr>
            <w:tcW w:w="7025" w:type="dxa"/>
            <w:gridSpan w:val="15"/>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距（/）厂界最远（/）m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81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Times New Roman" w:hAnsi="Times New Roman"/>
                <w:color w:val="auto"/>
                <w:spacing w:val="-10"/>
                <w:w w:val="90"/>
                <w:position w:val="1"/>
                <w:szCs w:val="21"/>
              </w:rPr>
            </w:pPr>
          </w:p>
        </w:tc>
        <w:tc>
          <w:tcPr>
            <w:tcW w:w="170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污染源年排放量</w:t>
            </w:r>
          </w:p>
        </w:tc>
        <w:tc>
          <w:tcPr>
            <w:tcW w:w="2175" w:type="dxa"/>
            <w:gridSpan w:val="5"/>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TSP:（0.04）t/a</w:t>
            </w:r>
          </w:p>
        </w:tc>
        <w:tc>
          <w:tcPr>
            <w:tcW w:w="2069" w:type="dxa"/>
            <w:gridSpan w:val="4"/>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NH3（0.24）t/a</w:t>
            </w:r>
          </w:p>
        </w:tc>
        <w:tc>
          <w:tcPr>
            <w:tcW w:w="2781" w:type="dxa"/>
            <w:gridSpan w:val="6"/>
            <w:tcBorders>
              <w:top w:val="single" w:color="auto" w:sz="6" w:space="0"/>
              <w:left w:val="single" w:color="auto" w:sz="6" w:space="0"/>
              <w:bottom w:val="single" w:color="auto" w:sz="6" w:space="0"/>
              <w:right w:val="single" w:color="auto" w:sz="4" w:space="0"/>
            </w:tcBorders>
            <w:vAlign w:val="center"/>
          </w:tcPr>
          <w:p>
            <w:pPr>
              <w:jc w:val="center"/>
              <w:rPr>
                <w:rFonts w:ascii="Times New Roman" w:hAnsi="Times New Roman"/>
                <w:color w:val="auto"/>
                <w:spacing w:val="-10"/>
                <w:w w:val="90"/>
                <w:position w:val="1"/>
                <w:szCs w:val="21"/>
              </w:rPr>
            </w:pPr>
            <w:r>
              <w:rPr>
                <w:rFonts w:ascii="Times New Roman" w:hAnsi="Times New Roman"/>
                <w:color w:val="auto"/>
                <w:spacing w:val="-10"/>
                <w:position w:val="1"/>
                <w:szCs w:val="21"/>
              </w:rPr>
              <w:t>H2S:（0.025）t/a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340" w:hRule="atLeast"/>
          <w:jc w:val="center"/>
        </w:trPr>
        <w:tc>
          <w:tcPr>
            <w:tcW w:w="9539" w:type="dxa"/>
            <w:gridSpan w:val="18"/>
            <w:tcBorders>
              <w:top w:val="single" w:color="auto" w:sz="6" w:space="0"/>
              <w:left w:val="single" w:color="auto" w:sz="4" w:space="0"/>
              <w:bottom w:val="single" w:color="auto" w:sz="4" w:space="0"/>
              <w:right w:val="single" w:color="auto" w:sz="4" w:space="0"/>
            </w:tcBorders>
            <w:vAlign w:val="center"/>
          </w:tcPr>
          <w:p>
            <w:pPr>
              <w:jc w:val="left"/>
              <w:rPr>
                <w:rFonts w:ascii="Times New Roman" w:hAnsi="Times New Roman"/>
                <w:color w:val="auto"/>
                <w:spacing w:val="-10"/>
                <w:w w:val="90"/>
                <w:position w:val="1"/>
                <w:szCs w:val="21"/>
              </w:rPr>
            </w:pPr>
            <w:r>
              <w:rPr>
                <w:rFonts w:ascii="Times New Roman" w:hAnsi="Times New Roman"/>
                <w:color w:val="auto"/>
                <w:spacing w:val="-10"/>
                <w:position w:val="1"/>
                <w:szCs w:val="21"/>
              </w:rPr>
              <w:t>注：“□”为勾选项，填“√”；“（）”为内容填写项</w:t>
            </w:r>
          </w:p>
        </w:tc>
      </w:tr>
    </w:tbl>
    <w:p>
      <w:pPr>
        <w:jc w:val="left"/>
        <w:rPr>
          <w:rFonts w:ascii="Times New Roman" w:hAnsi="Times New Roman"/>
          <w:b/>
          <w:bCs/>
          <w:color w:val="auto"/>
          <w:sz w:val="24"/>
        </w:rPr>
      </w:pPr>
    </w:p>
    <w:p>
      <w:pPr>
        <w:pStyle w:val="5"/>
        <w:rPr>
          <w:rFonts w:ascii="Times New Roman" w:hAnsi="Times New Roman"/>
          <w:color w:val="auto"/>
        </w:rPr>
      </w:pPr>
      <w:r>
        <w:rPr>
          <w:rFonts w:ascii="Times New Roman" w:hAnsi="Times New Roman"/>
          <w:color w:val="auto"/>
        </w:rPr>
        <w:t>附表2  建设项目水环境影响评价自查表</w:t>
      </w:r>
    </w:p>
    <w:tbl>
      <w:tblPr>
        <w:tblStyle w:val="26"/>
        <w:tblW w:w="9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810"/>
        <w:gridCol w:w="710"/>
        <w:gridCol w:w="237"/>
        <w:gridCol w:w="1239"/>
        <w:gridCol w:w="521"/>
        <w:gridCol w:w="115"/>
        <w:gridCol w:w="210"/>
        <w:gridCol w:w="919"/>
        <w:gridCol w:w="644"/>
        <w:gridCol w:w="544"/>
        <w:gridCol w:w="367"/>
        <w:gridCol w:w="11"/>
        <w:gridCol w:w="909"/>
        <w:gridCol w:w="99"/>
        <w:gridCol w:w="79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工作内容</w:t>
            </w:r>
          </w:p>
        </w:tc>
        <w:tc>
          <w:tcPr>
            <w:tcW w:w="7357" w:type="dxa"/>
            <w:gridSpan w:val="1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影响识别</w:t>
            </w:r>
          </w:p>
        </w:tc>
        <w:tc>
          <w:tcPr>
            <w:tcW w:w="175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影响类型</w:t>
            </w:r>
          </w:p>
        </w:tc>
        <w:tc>
          <w:tcPr>
            <w:tcW w:w="7357" w:type="dxa"/>
            <w:gridSpan w:val="1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
                <w:color w:val="auto"/>
                <w:szCs w:val="21"/>
              </w:rPr>
            </w:pPr>
            <w:r>
              <w:rPr>
                <w:rFonts w:ascii="Times New Roman" w:hAnsi="Times New Roman"/>
                <w:color w:val="auto"/>
                <w:szCs w:val="21"/>
              </w:rPr>
              <w:t>水污染影响型</w:t>
            </w:r>
            <w:r>
              <w:rPr>
                <w:rFonts w:hint="eastAsia" w:ascii="MS Mincho" w:hAnsi="MS Mincho" w:eastAsia="MS Mincho" w:cs="MS Mincho"/>
                <w:color w:val="auto"/>
                <w:szCs w:val="21"/>
              </w:rPr>
              <w:t>☑</w:t>
            </w:r>
            <w:r>
              <w:rPr>
                <w:rFonts w:ascii="Times New Roman" w:hAnsi="Times New Roman"/>
                <w:color w:val="auto"/>
                <w:szCs w:val="21"/>
              </w:rPr>
              <w:t>；水文要素影响型口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水环境保护目标</w:t>
            </w:r>
          </w:p>
        </w:tc>
        <w:tc>
          <w:tcPr>
            <w:tcW w:w="7357" w:type="dxa"/>
            <w:gridSpan w:val="1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应用水水源保护区口；饮用水取水口；涉水的自然保护区口；重要湿地口；</w:t>
            </w:r>
          </w:p>
          <w:p>
            <w:pPr>
              <w:widowControl/>
              <w:jc w:val="left"/>
              <w:rPr>
                <w:rFonts w:ascii="Times New Roman" w:hAnsi="Times New Roman"/>
                <w:color w:val="auto"/>
                <w:szCs w:val="21"/>
              </w:rPr>
            </w:pPr>
            <w:r>
              <w:rPr>
                <w:rFonts w:ascii="Times New Roman" w:hAnsi="Times New Roman"/>
                <w:color w:val="auto"/>
                <w:szCs w:val="21"/>
              </w:rPr>
              <w:t>重点保护与珍稀水生生物的栖息地口；重要水生生物的自然产卵地及索耳场、越冬场和洄游通道、天然渔场等水体；涉水的风景名胜区口；其他</w:t>
            </w:r>
            <w:r>
              <w:rPr>
                <w:rFonts w:hint="eastAsia" w:ascii="MS Mincho" w:hAnsi="MS Mincho" w:eastAsia="MS Mincho" w:cs="MS Mincho"/>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restart"/>
            <w:tcBorders>
              <w:top w:val="nil"/>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影响途径</w:t>
            </w:r>
          </w:p>
        </w:tc>
        <w:tc>
          <w:tcPr>
            <w:tcW w:w="3648" w:type="dxa"/>
            <w:gridSpan w:val="6"/>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水污染影响型</w:t>
            </w:r>
          </w:p>
        </w:tc>
        <w:tc>
          <w:tcPr>
            <w:tcW w:w="3709"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3648" w:type="dxa"/>
            <w:gridSpan w:val="6"/>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直接排放口；间接排放</w:t>
            </w:r>
            <w:r>
              <w:rPr>
                <w:rFonts w:hint="eastAsia" w:ascii="MS Mincho" w:hAnsi="MS Mincho" w:eastAsia="MS Mincho" w:cs="MS Mincho"/>
                <w:color w:val="auto"/>
                <w:szCs w:val="21"/>
              </w:rPr>
              <w:t>☑</w:t>
            </w:r>
            <w:r>
              <w:rPr>
                <w:rFonts w:ascii="Times New Roman" w:hAnsi="Times New Roman"/>
                <w:color w:val="auto"/>
                <w:szCs w:val="21"/>
              </w:rPr>
              <w:t>；其他口</w:t>
            </w:r>
          </w:p>
        </w:tc>
        <w:tc>
          <w:tcPr>
            <w:tcW w:w="3709" w:type="dxa"/>
            <w:gridSpan w:val="7"/>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水温口；径流口；水域面积口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影响因子</w:t>
            </w:r>
          </w:p>
        </w:tc>
        <w:tc>
          <w:tcPr>
            <w:tcW w:w="3648" w:type="dxa"/>
            <w:gridSpan w:val="6"/>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持久性污染物口；有毒有害污染物口；非持久性污染物口；pH值口；热污染口；富营养化口；其他</w:t>
            </w:r>
            <w:r>
              <w:rPr>
                <w:rFonts w:hint="eastAsia" w:ascii="MS Mincho" w:hAnsi="MS Mincho" w:eastAsia="MS Mincho" w:cs="MS Mincho"/>
                <w:color w:val="auto"/>
                <w:szCs w:val="21"/>
              </w:rPr>
              <w:t>☑</w:t>
            </w:r>
          </w:p>
        </w:tc>
        <w:tc>
          <w:tcPr>
            <w:tcW w:w="3709" w:type="dxa"/>
            <w:gridSpan w:val="7"/>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水温口；水位（水深）口；流速口；流量口；其他口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gridSpan w:val="4"/>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评价等级</w:t>
            </w:r>
          </w:p>
        </w:tc>
        <w:tc>
          <w:tcPr>
            <w:tcW w:w="3648" w:type="dxa"/>
            <w:gridSpan w:val="6"/>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水污染影响型</w:t>
            </w:r>
          </w:p>
        </w:tc>
        <w:tc>
          <w:tcPr>
            <w:tcW w:w="3709"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gridSpan w:val="4"/>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3648" w:type="dxa"/>
            <w:gridSpan w:val="6"/>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一级口；二级口；三级A口；三级B</w:t>
            </w:r>
            <w:r>
              <w:rPr>
                <w:rFonts w:hint="eastAsia" w:ascii="MS Mincho" w:hAnsi="MS Mincho" w:eastAsia="MS Mincho" w:cs="MS Mincho"/>
                <w:color w:val="auto"/>
                <w:szCs w:val="21"/>
              </w:rPr>
              <w:t>☑</w:t>
            </w:r>
          </w:p>
        </w:tc>
        <w:tc>
          <w:tcPr>
            <w:tcW w:w="3709" w:type="dxa"/>
            <w:gridSpan w:val="7"/>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一级口；二级口；三级口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现状调查</w:t>
            </w:r>
          </w:p>
        </w:tc>
        <w:tc>
          <w:tcPr>
            <w:tcW w:w="1757" w:type="dxa"/>
            <w:gridSpan w:val="3"/>
            <w:vMerge w:val="restart"/>
            <w:tcBorders>
              <w:top w:val="nil"/>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区域污染源</w:t>
            </w:r>
          </w:p>
        </w:tc>
        <w:tc>
          <w:tcPr>
            <w:tcW w:w="3648" w:type="dxa"/>
            <w:gridSpan w:val="6"/>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调查项目</w:t>
            </w:r>
          </w:p>
        </w:tc>
        <w:tc>
          <w:tcPr>
            <w:tcW w:w="3709"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2085" w:type="dxa"/>
            <w:gridSpan w:val="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已建口；在建口；拟建R；其他口；</w:t>
            </w:r>
          </w:p>
        </w:tc>
        <w:tc>
          <w:tcPr>
            <w:tcW w:w="1563" w:type="dxa"/>
            <w:gridSpan w:val="2"/>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拟替代的污染源口</w:t>
            </w:r>
          </w:p>
        </w:tc>
        <w:tc>
          <w:tcPr>
            <w:tcW w:w="3709" w:type="dxa"/>
            <w:gridSpan w:val="7"/>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排污许可证口；环评口；环保验收口；即有实测口；现场监测口；入河排放口数据口；其他R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restart"/>
            <w:tcBorders>
              <w:top w:val="nil"/>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受影响水体水环境质量</w:t>
            </w:r>
          </w:p>
        </w:tc>
        <w:tc>
          <w:tcPr>
            <w:tcW w:w="3648" w:type="dxa"/>
            <w:gridSpan w:val="6"/>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调查时期</w:t>
            </w:r>
          </w:p>
        </w:tc>
        <w:tc>
          <w:tcPr>
            <w:tcW w:w="3709"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3648" w:type="dxa"/>
            <w:gridSpan w:val="6"/>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丰水期口；平水期口；枯水期口；冰封期口；</w:t>
            </w:r>
          </w:p>
          <w:p>
            <w:pPr>
              <w:widowControl/>
              <w:jc w:val="left"/>
              <w:rPr>
                <w:rFonts w:ascii="Times New Roman" w:hAnsi="Times New Roman"/>
                <w:color w:val="auto"/>
                <w:szCs w:val="21"/>
              </w:rPr>
            </w:pPr>
            <w:r>
              <w:rPr>
                <w:rFonts w:ascii="Times New Roman" w:hAnsi="Times New Roman"/>
                <w:color w:val="auto"/>
                <w:szCs w:val="21"/>
              </w:rPr>
              <w:t>春季口；夏季口；秋季口；冬季口</w:t>
            </w:r>
          </w:p>
        </w:tc>
        <w:tc>
          <w:tcPr>
            <w:tcW w:w="3709" w:type="dxa"/>
            <w:gridSpan w:val="7"/>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生态环境保护主管部门口；补充监测口；其他口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区域水资源开发利用状况</w:t>
            </w:r>
          </w:p>
        </w:tc>
        <w:tc>
          <w:tcPr>
            <w:tcW w:w="7357" w:type="dxa"/>
            <w:gridSpan w:val="1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未开发口；开发量40%以下口；发量40%以上口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restart"/>
            <w:tcBorders>
              <w:top w:val="nil"/>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水文情势调查</w:t>
            </w:r>
          </w:p>
        </w:tc>
        <w:tc>
          <w:tcPr>
            <w:tcW w:w="3648" w:type="dxa"/>
            <w:gridSpan w:val="6"/>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调查时期</w:t>
            </w:r>
          </w:p>
        </w:tc>
        <w:tc>
          <w:tcPr>
            <w:tcW w:w="3709"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3648" w:type="dxa"/>
            <w:gridSpan w:val="6"/>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丰水期口；平水期口；枯水期口；冰封期口；</w:t>
            </w:r>
          </w:p>
          <w:p>
            <w:pPr>
              <w:widowControl/>
              <w:jc w:val="left"/>
              <w:rPr>
                <w:rFonts w:ascii="Times New Roman" w:hAnsi="Times New Roman"/>
                <w:color w:val="auto"/>
                <w:szCs w:val="21"/>
              </w:rPr>
            </w:pPr>
            <w:r>
              <w:rPr>
                <w:rFonts w:ascii="Times New Roman" w:hAnsi="Times New Roman"/>
                <w:color w:val="auto"/>
                <w:szCs w:val="21"/>
              </w:rPr>
              <w:t>春季口；夏季口；秋季口；冬季口</w:t>
            </w:r>
          </w:p>
        </w:tc>
        <w:tc>
          <w:tcPr>
            <w:tcW w:w="3709" w:type="dxa"/>
            <w:gridSpan w:val="7"/>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水行政主管部门口；补充监测口；其他口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restart"/>
            <w:tcBorders>
              <w:top w:val="nil"/>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补充监测</w:t>
            </w:r>
          </w:p>
        </w:tc>
        <w:tc>
          <w:tcPr>
            <w:tcW w:w="3648" w:type="dxa"/>
            <w:gridSpan w:val="6"/>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监测时期</w:t>
            </w:r>
          </w:p>
        </w:tc>
        <w:tc>
          <w:tcPr>
            <w:tcW w:w="1930"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监测因子</w:t>
            </w:r>
          </w:p>
        </w:tc>
        <w:tc>
          <w:tcPr>
            <w:tcW w:w="1779"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3648" w:type="dxa"/>
            <w:gridSpan w:val="6"/>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丰水期口；平水期口；枯水期口；冰封期口；</w:t>
            </w:r>
          </w:p>
          <w:p>
            <w:pPr>
              <w:widowControl/>
              <w:jc w:val="left"/>
              <w:rPr>
                <w:rFonts w:ascii="Times New Roman" w:hAnsi="Times New Roman"/>
                <w:color w:val="auto"/>
                <w:szCs w:val="21"/>
              </w:rPr>
            </w:pPr>
            <w:r>
              <w:rPr>
                <w:rFonts w:ascii="Times New Roman" w:hAnsi="Times New Roman"/>
                <w:color w:val="auto"/>
                <w:szCs w:val="21"/>
              </w:rPr>
              <w:t>春季口；夏季口；秋季口；冬季口</w:t>
            </w:r>
          </w:p>
        </w:tc>
        <w:tc>
          <w:tcPr>
            <w:tcW w:w="1930" w:type="dxa"/>
            <w:gridSpan w:val="5"/>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w:t>
            </w:r>
          </w:p>
        </w:tc>
        <w:tc>
          <w:tcPr>
            <w:tcW w:w="1779" w:type="dxa"/>
            <w:gridSpan w:val="2"/>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监测断面或点位个数</w:t>
            </w:r>
          </w:p>
          <w:p>
            <w:pPr>
              <w:widowControl/>
              <w:jc w:val="left"/>
              <w:rPr>
                <w:rFonts w:ascii="Times New Roman" w:hAnsi="Times New Roman"/>
                <w:color w:val="auto"/>
                <w:szCs w:val="21"/>
              </w:rPr>
            </w:pPr>
            <w:r>
              <w:rPr>
                <w:rFonts w:ascii="Times New Roman" w:hAnsi="Times New Roman"/>
                <w:color w:val="auto"/>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现状评价</w:t>
            </w:r>
          </w:p>
        </w:tc>
        <w:tc>
          <w:tcPr>
            <w:tcW w:w="175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评价范围</w:t>
            </w:r>
          </w:p>
        </w:tc>
        <w:tc>
          <w:tcPr>
            <w:tcW w:w="7357" w:type="dxa"/>
            <w:gridSpan w:val="1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河流：长度（/）km；湖库、河口及近岸海域：面积（/）km</w:t>
            </w:r>
            <w:r>
              <w:rPr>
                <w:rFonts w:ascii="Times New Roman" w:hAnsi="Times New Roman"/>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评价因子</w:t>
            </w:r>
          </w:p>
        </w:tc>
        <w:tc>
          <w:tcPr>
            <w:tcW w:w="7357" w:type="dxa"/>
            <w:gridSpan w:val="1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评价标准</w:t>
            </w:r>
          </w:p>
        </w:tc>
        <w:tc>
          <w:tcPr>
            <w:tcW w:w="7357" w:type="dxa"/>
            <w:gridSpan w:val="1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河流、湖库、河口：</w:t>
            </w:r>
            <w:r>
              <w:rPr>
                <w:rFonts w:hint="eastAsia" w:ascii="宋体" w:hAnsi="宋体" w:cs="宋体"/>
                <w:color w:val="auto"/>
                <w:szCs w:val="21"/>
              </w:rPr>
              <w:t>Ⅰ</w:t>
            </w:r>
            <w:r>
              <w:rPr>
                <w:rFonts w:ascii="Times New Roman" w:hAnsi="Times New Roman"/>
                <w:color w:val="auto"/>
                <w:szCs w:val="21"/>
              </w:rPr>
              <w:t>类口；</w:t>
            </w:r>
            <w:r>
              <w:rPr>
                <w:rFonts w:hint="eastAsia" w:ascii="宋体" w:hAnsi="宋体" w:cs="宋体"/>
                <w:color w:val="auto"/>
                <w:szCs w:val="21"/>
              </w:rPr>
              <w:t>Ⅱ</w:t>
            </w:r>
            <w:r>
              <w:rPr>
                <w:rFonts w:ascii="Times New Roman" w:hAnsi="Times New Roman"/>
                <w:color w:val="auto"/>
                <w:szCs w:val="21"/>
              </w:rPr>
              <w:t>类口；</w:t>
            </w:r>
            <w:r>
              <w:rPr>
                <w:rFonts w:hint="eastAsia" w:ascii="宋体" w:hAnsi="宋体" w:cs="宋体"/>
                <w:color w:val="auto"/>
                <w:szCs w:val="21"/>
              </w:rPr>
              <w:t>Ⅲ</w:t>
            </w:r>
            <w:r>
              <w:rPr>
                <w:rFonts w:ascii="Times New Roman" w:hAnsi="Times New Roman"/>
                <w:color w:val="auto"/>
                <w:szCs w:val="21"/>
              </w:rPr>
              <w:t>类口；</w:t>
            </w:r>
            <w:r>
              <w:rPr>
                <w:rFonts w:hint="eastAsia" w:ascii="宋体" w:hAnsi="宋体" w:cs="宋体"/>
                <w:color w:val="auto"/>
                <w:szCs w:val="21"/>
              </w:rPr>
              <w:t>Ⅳ</w:t>
            </w:r>
            <w:r>
              <w:rPr>
                <w:rFonts w:ascii="Times New Roman" w:hAnsi="Times New Roman"/>
                <w:color w:val="auto"/>
                <w:szCs w:val="21"/>
              </w:rPr>
              <w:t>类口；</w:t>
            </w:r>
            <w:r>
              <w:rPr>
                <w:rFonts w:hint="eastAsia" w:ascii="宋体" w:hAnsi="宋体" w:cs="宋体"/>
                <w:color w:val="auto"/>
                <w:szCs w:val="21"/>
              </w:rPr>
              <w:t>Ⅴ</w:t>
            </w:r>
            <w:r>
              <w:rPr>
                <w:rFonts w:ascii="Times New Roman" w:hAnsi="Times New Roman"/>
                <w:color w:val="auto"/>
                <w:szCs w:val="21"/>
              </w:rPr>
              <w:t>类口；</w:t>
            </w:r>
          </w:p>
          <w:p>
            <w:pPr>
              <w:widowControl/>
              <w:jc w:val="left"/>
              <w:rPr>
                <w:rFonts w:ascii="Times New Roman" w:hAnsi="Times New Roman"/>
                <w:color w:val="auto"/>
                <w:szCs w:val="21"/>
              </w:rPr>
            </w:pPr>
            <w:r>
              <w:rPr>
                <w:rFonts w:ascii="Times New Roman" w:hAnsi="Times New Roman"/>
                <w:color w:val="auto"/>
                <w:szCs w:val="21"/>
              </w:rPr>
              <w:t>近岸海域：第一类R；第二类口；第三类口；第四类口</w:t>
            </w:r>
          </w:p>
          <w:p>
            <w:pPr>
              <w:widowControl/>
              <w:jc w:val="left"/>
              <w:rPr>
                <w:rFonts w:ascii="Times New Roman" w:hAnsi="Times New Roman"/>
                <w:color w:val="auto"/>
                <w:szCs w:val="21"/>
              </w:rPr>
            </w:pPr>
            <w:r>
              <w:rPr>
                <w:rFonts w:ascii="Times New Roman" w:hAnsi="Times New Roman"/>
                <w:color w:val="auto"/>
                <w:szCs w:val="21"/>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75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评价时期</w:t>
            </w:r>
          </w:p>
        </w:tc>
        <w:tc>
          <w:tcPr>
            <w:tcW w:w="7357" w:type="dxa"/>
            <w:gridSpan w:val="1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丰水期口；平水期口；枯水期口；冰封期口；</w:t>
            </w:r>
          </w:p>
          <w:p>
            <w:pPr>
              <w:widowControl/>
              <w:jc w:val="left"/>
              <w:rPr>
                <w:rFonts w:ascii="Times New Roman" w:hAnsi="Times New Roman"/>
                <w:color w:val="auto"/>
                <w:szCs w:val="21"/>
              </w:rPr>
            </w:pPr>
            <w:r>
              <w:rPr>
                <w:rFonts w:ascii="Times New Roman" w:hAnsi="Times New Roman"/>
                <w:color w:val="auto"/>
                <w:szCs w:val="21"/>
              </w:rPr>
              <w:t>春季口；夏季口；秋季口；冬季口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81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评价结论</w:t>
            </w:r>
          </w:p>
        </w:tc>
        <w:tc>
          <w:tcPr>
            <w:tcW w:w="7319"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水环境功能区或水功能区、近岸海域环境功能区水质达标状况：达标口；不达标口</w:t>
            </w:r>
          </w:p>
          <w:p>
            <w:pPr>
              <w:widowControl/>
              <w:jc w:val="left"/>
              <w:rPr>
                <w:rFonts w:ascii="Times New Roman" w:hAnsi="Times New Roman"/>
                <w:color w:val="auto"/>
                <w:szCs w:val="21"/>
              </w:rPr>
            </w:pPr>
            <w:r>
              <w:rPr>
                <w:rFonts w:ascii="Times New Roman" w:hAnsi="Times New Roman"/>
                <w:color w:val="auto"/>
                <w:szCs w:val="21"/>
              </w:rPr>
              <w:t>水环境控制单元或断面水质达标状况口：达标口；不达标口</w:t>
            </w:r>
          </w:p>
          <w:p>
            <w:pPr>
              <w:widowControl/>
              <w:jc w:val="left"/>
              <w:rPr>
                <w:rFonts w:ascii="Times New Roman" w:hAnsi="Times New Roman"/>
                <w:color w:val="auto"/>
                <w:szCs w:val="21"/>
              </w:rPr>
            </w:pPr>
            <w:r>
              <w:rPr>
                <w:rFonts w:ascii="Times New Roman" w:hAnsi="Times New Roman"/>
                <w:color w:val="auto"/>
                <w:szCs w:val="21"/>
              </w:rPr>
              <w:t>水环境保护目标质量状况R：达标口；不达标口</w:t>
            </w:r>
          </w:p>
          <w:p>
            <w:pPr>
              <w:widowControl/>
              <w:jc w:val="left"/>
              <w:rPr>
                <w:rFonts w:ascii="Times New Roman" w:hAnsi="Times New Roman"/>
                <w:color w:val="auto"/>
                <w:szCs w:val="21"/>
              </w:rPr>
            </w:pPr>
            <w:r>
              <w:rPr>
                <w:rFonts w:ascii="Times New Roman" w:hAnsi="Times New Roman"/>
                <w:color w:val="auto"/>
                <w:szCs w:val="21"/>
              </w:rPr>
              <w:t>对照断面、控制断面等代表性断面的水质状况口：达标口；不达标口</w:t>
            </w:r>
          </w:p>
          <w:p>
            <w:pPr>
              <w:widowControl/>
              <w:jc w:val="left"/>
              <w:rPr>
                <w:rFonts w:ascii="Times New Roman" w:hAnsi="Times New Roman"/>
                <w:color w:val="auto"/>
                <w:szCs w:val="21"/>
              </w:rPr>
            </w:pPr>
            <w:r>
              <w:rPr>
                <w:rFonts w:ascii="Times New Roman" w:hAnsi="Times New Roman"/>
                <w:color w:val="auto"/>
                <w:szCs w:val="21"/>
              </w:rPr>
              <w:t>底泥污染评价口</w:t>
            </w:r>
          </w:p>
          <w:p>
            <w:pPr>
              <w:widowControl/>
              <w:jc w:val="left"/>
              <w:rPr>
                <w:rFonts w:ascii="Times New Roman" w:hAnsi="Times New Roman"/>
                <w:color w:val="auto"/>
                <w:szCs w:val="21"/>
              </w:rPr>
            </w:pPr>
            <w:r>
              <w:rPr>
                <w:rFonts w:ascii="Times New Roman" w:hAnsi="Times New Roman"/>
                <w:color w:val="auto"/>
                <w:szCs w:val="21"/>
              </w:rPr>
              <w:t>水资源与开发利用程度及其水文情势评价口</w:t>
            </w:r>
          </w:p>
          <w:p>
            <w:pPr>
              <w:widowControl/>
              <w:jc w:val="left"/>
              <w:rPr>
                <w:rFonts w:ascii="Times New Roman" w:hAnsi="Times New Roman"/>
                <w:color w:val="auto"/>
                <w:szCs w:val="21"/>
              </w:rPr>
            </w:pPr>
            <w:r>
              <w:rPr>
                <w:rFonts w:ascii="Times New Roman" w:hAnsi="Times New Roman"/>
                <w:color w:val="auto"/>
                <w:szCs w:val="21"/>
              </w:rPr>
              <w:t>水环境质量回顾评价口</w:t>
            </w:r>
          </w:p>
          <w:p>
            <w:pPr>
              <w:widowControl/>
              <w:jc w:val="left"/>
              <w:rPr>
                <w:rFonts w:ascii="Times New Roman" w:hAnsi="Times New Roman"/>
                <w:color w:val="auto"/>
                <w:szCs w:val="21"/>
              </w:rPr>
            </w:pPr>
            <w:r>
              <w:rPr>
                <w:rFonts w:ascii="Times New Roman" w:hAnsi="Times New Roman"/>
                <w:color w:val="auto"/>
                <w:szCs w:val="21"/>
              </w:rPr>
              <w:t>流域（区域）水资源（包括水能资源）与开发利用总体状况、生态流量管理要求与现状满足程度、建设项目占用水域空间的水流状况与河湖演变状况口</w:t>
            </w:r>
          </w:p>
        </w:tc>
        <w:tc>
          <w:tcPr>
            <w:tcW w:w="985" w:type="dxa"/>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达标区口</w:t>
            </w:r>
          </w:p>
          <w:p>
            <w:pPr>
              <w:widowControl/>
              <w:jc w:val="left"/>
              <w:rPr>
                <w:rFonts w:ascii="Times New Roman" w:hAnsi="Times New Roman"/>
                <w:color w:val="auto"/>
                <w:szCs w:val="21"/>
              </w:rPr>
            </w:pPr>
            <w:r>
              <w:rPr>
                <w:rFonts w:ascii="Times New Roman" w:hAnsi="Times New Roman"/>
                <w:color w:val="auto"/>
                <w:szCs w:val="21"/>
              </w:rPr>
              <w:t>不达标区口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影响预测</w:t>
            </w: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预测范围</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河流：长度（/）km；湖库、河口及近岸海域：面积（/）km</w:t>
            </w:r>
            <w:r>
              <w:rPr>
                <w:rFonts w:ascii="Times New Roman" w:hAnsi="Times New Roman"/>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预测因子</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预测时期</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丰水期口；平水期口；枯水期口；冰封期口；</w:t>
            </w:r>
          </w:p>
          <w:p>
            <w:pPr>
              <w:widowControl/>
              <w:jc w:val="left"/>
              <w:rPr>
                <w:rFonts w:ascii="Times New Roman" w:hAnsi="Times New Roman"/>
                <w:color w:val="auto"/>
                <w:szCs w:val="21"/>
              </w:rPr>
            </w:pPr>
            <w:r>
              <w:rPr>
                <w:rFonts w:ascii="Times New Roman" w:hAnsi="Times New Roman"/>
                <w:color w:val="auto"/>
                <w:szCs w:val="21"/>
              </w:rPr>
              <w:t>春季口；夏季口；秋季口；冬季口</w:t>
            </w:r>
          </w:p>
          <w:p>
            <w:pPr>
              <w:widowControl/>
              <w:jc w:val="left"/>
              <w:rPr>
                <w:rFonts w:ascii="Times New Roman" w:hAnsi="Times New Roman"/>
                <w:color w:val="auto"/>
                <w:szCs w:val="21"/>
              </w:rPr>
            </w:pPr>
            <w:r>
              <w:rPr>
                <w:rFonts w:ascii="Times New Roman" w:hAnsi="Times New Roman"/>
                <w:color w:val="auto"/>
                <w:szCs w:val="21"/>
              </w:rPr>
              <w:t>设计水文条件口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预测情景</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建设期口；生产运行期口；服务期满后口</w:t>
            </w:r>
          </w:p>
          <w:p>
            <w:pPr>
              <w:widowControl/>
              <w:jc w:val="left"/>
              <w:rPr>
                <w:rFonts w:ascii="Times New Roman" w:hAnsi="Times New Roman"/>
                <w:color w:val="auto"/>
                <w:szCs w:val="21"/>
              </w:rPr>
            </w:pPr>
            <w:r>
              <w:rPr>
                <w:rFonts w:ascii="Times New Roman" w:hAnsi="Times New Roman"/>
                <w:color w:val="auto"/>
                <w:szCs w:val="21"/>
              </w:rPr>
              <w:t>正常工况口；非正常工况口</w:t>
            </w:r>
          </w:p>
          <w:p>
            <w:pPr>
              <w:widowControl/>
              <w:jc w:val="left"/>
              <w:rPr>
                <w:rFonts w:ascii="Times New Roman" w:hAnsi="Times New Roman"/>
                <w:color w:val="auto"/>
                <w:szCs w:val="21"/>
              </w:rPr>
            </w:pPr>
            <w:r>
              <w:rPr>
                <w:rFonts w:ascii="Times New Roman" w:hAnsi="Times New Roman"/>
                <w:color w:val="auto"/>
                <w:szCs w:val="21"/>
              </w:rPr>
              <w:t>污染控制可减缓措施方案口</w:t>
            </w:r>
          </w:p>
          <w:p>
            <w:pPr>
              <w:widowControl/>
              <w:jc w:val="left"/>
              <w:rPr>
                <w:rFonts w:ascii="Times New Roman" w:hAnsi="Times New Roman"/>
                <w:color w:val="auto"/>
                <w:szCs w:val="21"/>
              </w:rPr>
            </w:pPr>
            <w:r>
              <w:rPr>
                <w:rFonts w:ascii="Times New Roman" w:hAnsi="Times New Roman"/>
                <w:color w:val="auto"/>
                <w:szCs w:val="21"/>
              </w:rPr>
              <w:t>区（流）域环境质量改善目标要求情景口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预测方法</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数值解口；解析解口；其他口</w:t>
            </w:r>
          </w:p>
          <w:p>
            <w:pPr>
              <w:widowControl/>
              <w:jc w:val="left"/>
              <w:rPr>
                <w:rFonts w:ascii="Times New Roman" w:hAnsi="Times New Roman"/>
                <w:color w:val="auto"/>
                <w:szCs w:val="21"/>
              </w:rPr>
            </w:pPr>
            <w:r>
              <w:rPr>
                <w:rFonts w:ascii="Times New Roman" w:hAnsi="Times New Roman"/>
                <w:color w:val="auto"/>
                <w:szCs w:val="21"/>
              </w:rPr>
              <w:t>导则推荐模式口；其他口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影响评价</w:t>
            </w: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水污染控制和水环境影响减缓措施有效性评价</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区（流）域环境质量改善目标口；替代消减源口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水环境影响评价</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排放口混合去外满足水环境保护要求口</w:t>
            </w:r>
          </w:p>
          <w:p>
            <w:pPr>
              <w:widowControl/>
              <w:jc w:val="left"/>
              <w:rPr>
                <w:rFonts w:ascii="Times New Roman" w:hAnsi="Times New Roman"/>
                <w:color w:val="auto"/>
                <w:szCs w:val="21"/>
              </w:rPr>
            </w:pPr>
            <w:r>
              <w:rPr>
                <w:rFonts w:ascii="Times New Roman" w:hAnsi="Times New Roman"/>
                <w:color w:val="auto"/>
                <w:szCs w:val="21"/>
              </w:rPr>
              <w:t>水环境功能区或水功能区、近岸海域环境功能区水质达标口</w:t>
            </w:r>
          </w:p>
          <w:p>
            <w:pPr>
              <w:widowControl/>
              <w:jc w:val="left"/>
              <w:rPr>
                <w:rFonts w:ascii="Times New Roman" w:hAnsi="Times New Roman"/>
                <w:color w:val="auto"/>
                <w:szCs w:val="21"/>
              </w:rPr>
            </w:pPr>
            <w:r>
              <w:rPr>
                <w:rFonts w:ascii="Times New Roman" w:hAnsi="Times New Roman"/>
                <w:color w:val="auto"/>
                <w:szCs w:val="21"/>
              </w:rPr>
              <w:t>满足水环境保护目标水域水环境质量要求口</w:t>
            </w:r>
          </w:p>
          <w:p>
            <w:pPr>
              <w:widowControl/>
              <w:jc w:val="left"/>
              <w:rPr>
                <w:rFonts w:ascii="Times New Roman" w:hAnsi="Times New Roman"/>
                <w:color w:val="auto"/>
                <w:szCs w:val="21"/>
              </w:rPr>
            </w:pPr>
            <w:r>
              <w:rPr>
                <w:rFonts w:ascii="Times New Roman" w:hAnsi="Times New Roman"/>
                <w:color w:val="auto"/>
                <w:szCs w:val="21"/>
              </w:rPr>
              <w:t>水环境控制单元或断面水质达标口</w:t>
            </w:r>
          </w:p>
          <w:p>
            <w:pPr>
              <w:widowControl/>
              <w:jc w:val="left"/>
              <w:rPr>
                <w:rFonts w:ascii="Times New Roman" w:hAnsi="Times New Roman"/>
                <w:color w:val="auto"/>
                <w:szCs w:val="21"/>
              </w:rPr>
            </w:pPr>
            <w:r>
              <w:rPr>
                <w:rFonts w:ascii="Times New Roman" w:hAnsi="Times New Roman"/>
                <w:color w:val="auto"/>
                <w:szCs w:val="21"/>
              </w:rPr>
              <w:t>满足重点水污染物排放总量控制指标要求，重点行业建设项目，主要污染物排放满足等量或减量替代要求口</w:t>
            </w:r>
          </w:p>
          <w:p>
            <w:pPr>
              <w:widowControl/>
              <w:jc w:val="left"/>
              <w:rPr>
                <w:rFonts w:ascii="Times New Roman" w:hAnsi="Times New Roman"/>
                <w:color w:val="auto"/>
                <w:szCs w:val="21"/>
              </w:rPr>
            </w:pPr>
            <w:r>
              <w:rPr>
                <w:rFonts w:ascii="Times New Roman" w:hAnsi="Times New Roman"/>
                <w:color w:val="auto"/>
                <w:szCs w:val="21"/>
              </w:rPr>
              <w:t>满足区（流）域环境质量改善目标要求口</w:t>
            </w:r>
          </w:p>
          <w:p>
            <w:pPr>
              <w:widowControl/>
              <w:jc w:val="left"/>
              <w:rPr>
                <w:rFonts w:ascii="Times New Roman" w:hAnsi="Times New Roman"/>
                <w:color w:val="auto"/>
                <w:szCs w:val="21"/>
              </w:rPr>
            </w:pPr>
            <w:r>
              <w:rPr>
                <w:rFonts w:ascii="Times New Roman" w:hAnsi="Times New Roman"/>
                <w:color w:val="auto"/>
                <w:szCs w:val="21"/>
              </w:rPr>
              <w:t>水文要素影响型建设项目同时应包括水文情势变化评价、主要水文特征值影响评价、生态流量符合性评价口</w:t>
            </w:r>
          </w:p>
          <w:p>
            <w:pPr>
              <w:widowControl/>
              <w:jc w:val="left"/>
              <w:rPr>
                <w:rFonts w:ascii="Times New Roman" w:hAnsi="Times New Roman"/>
                <w:color w:val="auto"/>
                <w:szCs w:val="21"/>
              </w:rPr>
            </w:pPr>
            <w:r>
              <w:rPr>
                <w:rFonts w:ascii="Times New Roman" w:hAnsi="Times New Roman"/>
                <w:color w:val="auto"/>
                <w:szCs w:val="21"/>
              </w:rPr>
              <w:t>对于新设或调整入河（湖库、近岸海域）排放口的建设项目，应包括排放口设置的环境合理性评价口</w:t>
            </w:r>
          </w:p>
          <w:p>
            <w:pPr>
              <w:widowControl/>
              <w:jc w:val="left"/>
              <w:rPr>
                <w:rFonts w:ascii="Times New Roman" w:hAnsi="Times New Roman"/>
                <w:color w:val="auto"/>
                <w:szCs w:val="21"/>
              </w:rPr>
            </w:pPr>
            <w:r>
              <w:rPr>
                <w:rFonts w:ascii="Times New Roman" w:hAnsi="Times New Roman"/>
                <w:color w:val="auto"/>
                <w:szCs w:val="21"/>
              </w:rPr>
              <w:t>满足生态保护红线、水环境质量底线、资源利用上线和环境准入清单管理要求口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vMerge w:val="restart"/>
            <w:tcBorders>
              <w:top w:val="nil"/>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污染源排放量核算</w:t>
            </w:r>
          </w:p>
        </w:tc>
        <w:tc>
          <w:tcPr>
            <w:tcW w:w="2112"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污染物名称</w:t>
            </w:r>
          </w:p>
        </w:tc>
        <w:tc>
          <w:tcPr>
            <w:tcW w:w="2684"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排放量/（t/a）</w:t>
            </w:r>
          </w:p>
        </w:tc>
        <w:tc>
          <w:tcPr>
            <w:tcW w:w="2798"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2112"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（生活污水）</w:t>
            </w:r>
          </w:p>
        </w:tc>
        <w:tc>
          <w:tcPr>
            <w:tcW w:w="2684"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（35）</w:t>
            </w:r>
          </w:p>
        </w:tc>
        <w:tc>
          <w:tcPr>
            <w:tcW w:w="2798"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vMerge w:val="restart"/>
            <w:tcBorders>
              <w:top w:val="nil"/>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替代源排放量情况</w:t>
            </w:r>
          </w:p>
        </w:tc>
        <w:tc>
          <w:tcPr>
            <w:tcW w:w="1476"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污染源名称</w:t>
            </w:r>
          </w:p>
        </w:tc>
        <w:tc>
          <w:tcPr>
            <w:tcW w:w="1765"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排污许可证编号</w:t>
            </w:r>
          </w:p>
        </w:tc>
        <w:tc>
          <w:tcPr>
            <w:tcW w:w="1188"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污染物名称</w:t>
            </w:r>
          </w:p>
        </w:tc>
        <w:tc>
          <w:tcPr>
            <w:tcW w:w="128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排放量</w:t>
            </w:r>
          </w:p>
        </w:tc>
        <w:tc>
          <w:tcPr>
            <w:tcW w:w="1878"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1476"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c>
          <w:tcPr>
            <w:tcW w:w="1765"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c>
          <w:tcPr>
            <w:tcW w:w="1188"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c>
          <w:tcPr>
            <w:tcW w:w="128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c>
          <w:tcPr>
            <w:tcW w:w="1878"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生态流量确定</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生态流量：一般水期（）m</w:t>
            </w:r>
            <w:r>
              <w:rPr>
                <w:rFonts w:ascii="Times New Roman" w:hAnsi="Times New Roman"/>
                <w:color w:val="auto"/>
                <w:szCs w:val="21"/>
                <w:vertAlign w:val="superscript"/>
              </w:rPr>
              <w:t>3</w:t>
            </w:r>
            <w:r>
              <w:rPr>
                <w:rFonts w:ascii="Times New Roman" w:hAnsi="Times New Roman"/>
                <w:color w:val="auto"/>
                <w:szCs w:val="21"/>
              </w:rPr>
              <w:t>/s；鱼类繁殖期（）m</w:t>
            </w:r>
            <w:r>
              <w:rPr>
                <w:rFonts w:ascii="Times New Roman" w:hAnsi="Times New Roman"/>
                <w:color w:val="auto"/>
                <w:szCs w:val="21"/>
                <w:vertAlign w:val="superscript"/>
              </w:rPr>
              <w:t>3</w:t>
            </w:r>
            <w:r>
              <w:rPr>
                <w:rFonts w:ascii="Times New Roman" w:hAnsi="Times New Roman"/>
                <w:color w:val="auto"/>
                <w:szCs w:val="21"/>
              </w:rPr>
              <w:t>/s；其他（）m</w:t>
            </w:r>
            <w:r>
              <w:rPr>
                <w:rFonts w:ascii="Times New Roman" w:hAnsi="Times New Roman"/>
                <w:color w:val="auto"/>
                <w:szCs w:val="21"/>
                <w:vertAlign w:val="superscript"/>
              </w:rPr>
              <w:t>3</w:t>
            </w:r>
            <w:r>
              <w:rPr>
                <w:rFonts w:ascii="Times New Roman" w:hAnsi="Times New Roman"/>
                <w:color w:val="auto"/>
                <w:szCs w:val="21"/>
              </w:rPr>
              <w:t>/s</w:t>
            </w:r>
          </w:p>
          <w:p>
            <w:pPr>
              <w:widowControl/>
              <w:jc w:val="left"/>
              <w:rPr>
                <w:rFonts w:ascii="Times New Roman" w:hAnsi="Times New Roman"/>
                <w:color w:val="auto"/>
                <w:szCs w:val="21"/>
              </w:rPr>
            </w:pPr>
            <w:r>
              <w:rPr>
                <w:rFonts w:ascii="Times New Roman" w:hAnsi="Times New Roman"/>
                <w:color w:val="auto"/>
                <w:szCs w:val="21"/>
              </w:rPr>
              <w:t>生态水位：一般水期（）m</w:t>
            </w:r>
            <w:r>
              <w:rPr>
                <w:rFonts w:ascii="Times New Roman" w:hAnsi="Times New Roman"/>
                <w:color w:val="auto"/>
                <w:szCs w:val="21"/>
                <w:vertAlign w:val="superscript"/>
              </w:rPr>
              <w:t>3</w:t>
            </w:r>
            <w:r>
              <w:rPr>
                <w:rFonts w:ascii="Times New Roman" w:hAnsi="Times New Roman"/>
                <w:color w:val="auto"/>
                <w:szCs w:val="21"/>
              </w:rPr>
              <w:t>/s；鱼类繁殖期（）m</w:t>
            </w:r>
            <w:r>
              <w:rPr>
                <w:rFonts w:ascii="Times New Roman" w:hAnsi="Times New Roman"/>
                <w:color w:val="auto"/>
                <w:szCs w:val="21"/>
                <w:vertAlign w:val="superscript"/>
              </w:rPr>
              <w:t>3</w:t>
            </w:r>
            <w:r>
              <w:rPr>
                <w:rFonts w:ascii="Times New Roman" w:hAnsi="Times New Roman"/>
                <w:color w:val="auto"/>
                <w:szCs w:val="21"/>
              </w:rPr>
              <w:t>/s；其他（）m</w:t>
            </w:r>
            <w:r>
              <w:rPr>
                <w:rFonts w:ascii="Times New Roman" w:hAnsi="Times New Roman"/>
                <w:color w:val="auto"/>
                <w:szCs w:val="21"/>
                <w:vertAlign w:val="superscript"/>
              </w:rPr>
              <w:t>3</w:t>
            </w:r>
            <w:r>
              <w:rPr>
                <w:rFonts w:ascii="Times New Roman" w:hAnsi="Times New Roman"/>
                <w:color w:val="auto"/>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防治措施</w:t>
            </w: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环保措施</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污水处理设施口；水文减缓设施口；生态流量保障设施口；区域消减依托其他工程措施口；其他口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vMerge w:val="restart"/>
            <w:tcBorders>
              <w:top w:val="nil"/>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监测计划</w:t>
            </w:r>
          </w:p>
        </w:tc>
        <w:tc>
          <w:tcPr>
            <w:tcW w:w="199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c>
          <w:tcPr>
            <w:tcW w:w="2810"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环境质量</w:t>
            </w:r>
          </w:p>
        </w:tc>
        <w:tc>
          <w:tcPr>
            <w:tcW w:w="2787"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199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监测方法</w:t>
            </w:r>
          </w:p>
        </w:tc>
        <w:tc>
          <w:tcPr>
            <w:tcW w:w="2810"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手动口；自动口；无检测口</w:t>
            </w:r>
          </w:p>
        </w:tc>
        <w:tc>
          <w:tcPr>
            <w:tcW w:w="2787"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手动口；自动口；无检测口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199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监测点位</w:t>
            </w:r>
          </w:p>
        </w:tc>
        <w:tc>
          <w:tcPr>
            <w:tcW w:w="2810"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c>
          <w:tcPr>
            <w:tcW w:w="2787"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szCs w:val="21"/>
              </w:rPr>
            </w:pPr>
          </w:p>
        </w:tc>
        <w:tc>
          <w:tcPr>
            <w:tcW w:w="1997"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监测因子</w:t>
            </w:r>
          </w:p>
        </w:tc>
        <w:tc>
          <w:tcPr>
            <w:tcW w:w="2810" w:type="dxa"/>
            <w:gridSpan w:val="7"/>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c>
          <w:tcPr>
            <w:tcW w:w="2787"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52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污染物排放清单</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hint="eastAsia" w:ascii="MS Mincho" w:hAnsi="MS Mincho" w:eastAsia="MS Mincho" w:cs="MS Mincho"/>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5"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auto"/>
                <w:szCs w:val="21"/>
              </w:rPr>
            </w:pPr>
            <w:r>
              <w:rPr>
                <w:rFonts w:ascii="Times New Roman" w:hAnsi="Times New Roman"/>
                <w:color w:val="auto"/>
                <w:szCs w:val="21"/>
              </w:rPr>
              <w:t>评价结论</w:t>
            </w:r>
          </w:p>
        </w:tc>
        <w:tc>
          <w:tcPr>
            <w:tcW w:w="7594" w:type="dxa"/>
            <w:gridSpan w:val="1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可以接受</w:t>
            </w:r>
            <w:r>
              <w:rPr>
                <w:rFonts w:hint="eastAsia" w:ascii="MS Mincho" w:hAnsi="MS Mincho" w:eastAsia="MS Mincho" w:cs="MS Mincho"/>
                <w:color w:val="auto"/>
                <w:szCs w:val="21"/>
              </w:rPr>
              <w:t>☑</w:t>
            </w:r>
            <w:r>
              <w:rPr>
                <w:rFonts w:ascii="Times New Roman" w:hAnsi="Times New Roman"/>
                <w:color w:val="auto"/>
                <w:szCs w:val="21"/>
              </w:rPr>
              <w:t>；不可以接受口；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9" w:type="dxa"/>
            <w:gridSpan w:val="17"/>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r>
              <w:rPr>
                <w:rFonts w:ascii="Times New Roman" w:hAnsi="Times New Roman"/>
                <w:color w:val="auto"/>
                <w:szCs w:val="21"/>
              </w:rPr>
              <w:t>注：“口”为勾选项，可√；“（）”为内容填写项：“备注”为其他补充内容。</w:t>
            </w:r>
          </w:p>
        </w:tc>
      </w:tr>
    </w:tbl>
    <w:p>
      <w:pPr>
        <w:pStyle w:val="5"/>
        <w:rPr>
          <w:rFonts w:ascii="Times New Roman" w:hAnsi="Times New Roman"/>
          <w:color w:val="auto"/>
        </w:rPr>
      </w:pPr>
      <w:r>
        <w:rPr>
          <w:rFonts w:ascii="Times New Roman" w:hAnsi="Times New Roman"/>
          <w:color w:val="auto"/>
        </w:rPr>
        <w:t>附表3 建设项目环境风险评价自查表</w:t>
      </w:r>
    </w:p>
    <w:tbl>
      <w:tblPr>
        <w:tblStyle w:val="26"/>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307"/>
        <w:gridCol w:w="993"/>
        <w:gridCol w:w="344"/>
        <w:gridCol w:w="340"/>
        <w:gridCol w:w="176"/>
        <w:gridCol w:w="574"/>
        <w:gridCol w:w="723"/>
        <w:gridCol w:w="642"/>
        <w:gridCol w:w="355"/>
        <w:gridCol w:w="83"/>
        <w:gridCol w:w="534"/>
        <w:gridCol w:w="353"/>
        <w:gridCol w:w="523"/>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工作内容</w:t>
            </w:r>
          </w:p>
        </w:tc>
        <w:tc>
          <w:tcPr>
            <w:tcW w:w="6629"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风险调查</w:t>
            </w:r>
          </w:p>
        </w:tc>
        <w:tc>
          <w:tcPr>
            <w:tcW w:w="130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危险废物</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名称</w:t>
            </w:r>
          </w:p>
        </w:tc>
        <w:tc>
          <w:tcPr>
            <w:tcW w:w="5636"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存在总量/t</w:t>
            </w:r>
          </w:p>
        </w:tc>
        <w:tc>
          <w:tcPr>
            <w:tcW w:w="5636"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环境敏感性</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大气</w:t>
            </w:r>
          </w:p>
        </w:tc>
        <w:tc>
          <w:tcPr>
            <w:tcW w:w="279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500m范围内人口数</w:t>
            </w:r>
            <w:r>
              <w:rPr>
                <w:rFonts w:ascii="Times New Roman" w:hAnsi="Times New Roman"/>
                <w:color w:val="auto"/>
                <w:szCs w:val="21"/>
                <w:u w:val="single"/>
              </w:rPr>
              <w:t>2000</w:t>
            </w:r>
            <w:r>
              <w:rPr>
                <w:rFonts w:ascii="Times New Roman" w:hAnsi="Times New Roman"/>
                <w:color w:val="auto"/>
                <w:szCs w:val="21"/>
              </w:rPr>
              <w:t>人</w:t>
            </w:r>
          </w:p>
        </w:tc>
        <w:tc>
          <w:tcPr>
            <w:tcW w:w="28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5km 范围内人口数</w:t>
            </w:r>
            <w:r>
              <w:rPr>
                <w:rFonts w:ascii="Times New Roman" w:hAnsi="Times New Roman"/>
                <w:color w:val="auto"/>
                <w:szCs w:val="21"/>
                <w:u w:val="single"/>
              </w:rPr>
              <w:t>35000</w:t>
            </w:r>
            <w:r>
              <w:rPr>
                <w:rFonts w:ascii="Times New Roman" w:hAnsi="Times New Roman"/>
                <w:color w:val="auto"/>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4647"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每公里管段周边200m范围内人口数(最大)</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地表水</w:t>
            </w: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地表水功能敏感性</w:t>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F1</w:t>
            </w:r>
            <w:r>
              <w:rPr>
                <w:rFonts w:ascii="Times New Roman" w:hAnsi="Times New Roman"/>
                <w:color w:val="auto"/>
                <w:szCs w:val="21"/>
              </w:rPr>
              <w:sym w:font="Wingdings" w:char="00A8"/>
            </w:r>
          </w:p>
        </w:tc>
        <w:tc>
          <w:tcPr>
            <w:tcW w:w="141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F2</w:t>
            </w:r>
            <w:r>
              <w:rPr>
                <w:rFonts w:ascii="Times New Roman" w:hAnsi="Times New Roman"/>
                <w:color w:val="auto"/>
                <w:szCs w:val="21"/>
              </w:rPr>
              <w:sym w:font="Wingdings" w:char="00A8"/>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F3</w:t>
            </w:r>
            <w:r>
              <w:rPr>
                <w:rFonts w:ascii="Times New Roman" w:hAnsi="Times New Roman"/>
                <w:color w:val="auto"/>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环境敏感目标分级</w:t>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S1</w:t>
            </w:r>
            <w:r>
              <w:rPr>
                <w:rFonts w:ascii="Times New Roman" w:hAnsi="Times New Roman"/>
                <w:color w:val="auto"/>
                <w:szCs w:val="21"/>
              </w:rPr>
              <w:sym w:font="Wingdings" w:char="00A8"/>
            </w:r>
          </w:p>
        </w:tc>
        <w:tc>
          <w:tcPr>
            <w:tcW w:w="141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S2</w:t>
            </w:r>
            <w:r>
              <w:rPr>
                <w:rFonts w:ascii="Times New Roman" w:hAnsi="Times New Roman"/>
                <w:color w:val="auto"/>
                <w:szCs w:val="21"/>
              </w:rPr>
              <w:sym w:font="Wingdings" w:char="00A8"/>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S3</w:t>
            </w:r>
            <w:r>
              <w:rPr>
                <w:rFonts w:ascii="Times New Roman" w:hAnsi="Times New Roman"/>
                <w:color w:val="auto"/>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地下水</w:t>
            </w: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地下水功能敏感性</w:t>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G1</w:t>
            </w:r>
            <w:r>
              <w:rPr>
                <w:rFonts w:ascii="Times New Roman" w:hAnsi="Times New Roman"/>
                <w:color w:val="auto"/>
                <w:szCs w:val="21"/>
              </w:rPr>
              <w:sym w:font="Wingdings" w:char="00A8"/>
            </w:r>
          </w:p>
        </w:tc>
        <w:tc>
          <w:tcPr>
            <w:tcW w:w="141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G2</w:t>
            </w:r>
            <w:r>
              <w:rPr>
                <w:rFonts w:ascii="Times New Roman" w:hAnsi="Times New Roman"/>
                <w:color w:val="auto"/>
                <w:szCs w:val="21"/>
              </w:rPr>
              <w:sym w:font="Wingdings" w:char="00A8"/>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G3</w:t>
            </w:r>
            <w:r>
              <w:rPr>
                <w:rFonts w:ascii="Times New Roman" w:hAnsi="Times New Roman"/>
                <w:color w:val="auto"/>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包气带防污性能</w:t>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D1</w:t>
            </w:r>
            <w:r>
              <w:rPr>
                <w:rFonts w:ascii="Times New Roman" w:hAnsi="Times New Roman"/>
                <w:color w:val="auto"/>
                <w:szCs w:val="21"/>
              </w:rPr>
              <w:sym w:font="Wingdings" w:char="00A8"/>
            </w:r>
          </w:p>
        </w:tc>
        <w:tc>
          <w:tcPr>
            <w:tcW w:w="141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D2</w:t>
            </w:r>
            <w:r>
              <w:rPr>
                <w:rFonts w:ascii="Times New Roman" w:hAnsi="Times New Roman"/>
                <w:color w:val="auto"/>
                <w:szCs w:val="21"/>
              </w:rPr>
              <w:sym w:font="Wingdings" w:char="00A8"/>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D3</w:t>
            </w:r>
            <w:r>
              <w:rPr>
                <w:rFonts w:ascii="Times New Roman" w:hAnsi="Times New Roman"/>
                <w:color w:val="auto"/>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物质及工艺系统危险性</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Q值</w:t>
            </w: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Q&lt;1</w:t>
            </w:r>
            <w:r>
              <w:rPr>
                <w:rFonts w:ascii="Times New Roman" w:hAnsi="Times New Roman"/>
                <w:color w:val="auto"/>
                <w:szCs w:val="21"/>
              </w:rPr>
              <w:sym w:font="Wingdings" w:char="00FE"/>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1</w:t>
            </w:r>
            <w:r>
              <w:rPr>
                <w:rFonts w:hint="eastAsia" w:ascii="宋体" w:hAnsi="宋体" w:cs="宋体"/>
                <w:color w:val="auto"/>
                <w:szCs w:val="21"/>
              </w:rPr>
              <w:t>≦</w:t>
            </w:r>
            <w:r>
              <w:rPr>
                <w:rFonts w:ascii="Times New Roman" w:hAnsi="Times New Roman"/>
                <w:color w:val="auto"/>
                <w:szCs w:val="21"/>
              </w:rPr>
              <w:t>Q10</w:t>
            </w:r>
            <w:r>
              <w:rPr>
                <w:rFonts w:ascii="Times New Roman" w:hAnsi="Times New Roman"/>
                <w:color w:val="auto"/>
                <w:szCs w:val="21"/>
              </w:rPr>
              <w:sym w:font="Wingdings" w:char="00A8"/>
            </w:r>
          </w:p>
        </w:tc>
        <w:tc>
          <w:tcPr>
            <w:tcW w:w="141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10</w:t>
            </w:r>
            <w:r>
              <w:rPr>
                <w:rFonts w:hint="eastAsia" w:ascii="宋体" w:hAnsi="宋体" w:cs="宋体"/>
                <w:color w:val="auto"/>
                <w:szCs w:val="21"/>
              </w:rPr>
              <w:t>≦</w:t>
            </w:r>
            <w:r>
              <w:rPr>
                <w:rFonts w:ascii="Times New Roman" w:hAnsi="Times New Roman"/>
                <w:color w:val="auto"/>
                <w:szCs w:val="21"/>
              </w:rPr>
              <w:t>Q&lt;100</w:t>
            </w:r>
            <w:r>
              <w:rPr>
                <w:rFonts w:ascii="Times New Roman" w:hAnsi="Times New Roman"/>
                <w:color w:val="auto"/>
                <w:szCs w:val="21"/>
              </w:rPr>
              <w:sym w:font="Wingdings" w:char="00A8"/>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Q&gt;100</w:t>
            </w:r>
            <w:r>
              <w:rPr>
                <w:rFonts w:ascii="Times New Roman" w:hAnsi="Times New Roman"/>
                <w:color w:val="auto"/>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M值</w:t>
            </w: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M1</w:t>
            </w:r>
            <w:r>
              <w:rPr>
                <w:rFonts w:ascii="Times New Roman" w:hAnsi="Times New Roman"/>
                <w:color w:val="auto"/>
                <w:szCs w:val="21"/>
              </w:rPr>
              <w:sym w:font="Wingdings" w:char="00A8"/>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M2</w:t>
            </w:r>
            <w:r>
              <w:rPr>
                <w:rFonts w:ascii="Times New Roman" w:hAnsi="Times New Roman"/>
                <w:color w:val="auto"/>
                <w:szCs w:val="21"/>
              </w:rPr>
              <w:sym w:font="Wingdings" w:char="00A8"/>
            </w:r>
          </w:p>
        </w:tc>
        <w:tc>
          <w:tcPr>
            <w:tcW w:w="141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sym w:font="Wingdings" w:char="00A8"/>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M4</w:t>
            </w:r>
            <w:r>
              <w:rPr>
                <w:rFonts w:ascii="Times New Roman" w:hAnsi="Times New Roman"/>
                <w:color w:val="auto"/>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P值</w:t>
            </w: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P1</w:t>
            </w:r>
            <w:r>
              <w:rPr>
                <w:rFonts w:ascii="Times New Roman" w:hAnsi="Times New Roman"/>
                <w:color w:val="auto"/>
                <w:szCs w:val="21"/>
              </w:rPr>
              <w:sym w:font="Wingdings" w:char="00A8"/>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P2</w:t>
            </w:r>
            <w:r>
              <w:rPr>
                <w:rFonts w:ascii="Times New Roman" w:hAnsi="Times New Roman"/>
                <w:color w:val="auto"/>
                <w:szCs w:val="21"/>
              </w:rPr>
              <w:sym w:font="Wingdings" w:char="00A8"/>
            </w:r>
          </w:p>
        </w:tc>
        <w:tc>
          <w:tcPr>
            <w:tcW w:w="141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P3</w:t>
            </w:r>
            <w:r>
              <w:rPr>
                <w:rFonts w:ascii="Times New Roman" w:hAnsi="Times New Roman"/>
                <w:color w:val="auto"/>
                <w:szCs w:val="21"/>
              </w:rPr>
              <w:sym w:font="Wingdings" w:char="00A8"/>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P4</w:t>
            </w:r>
            <w:r>
              <w:rPr>
                <w:rFonts w:ascii="Times New Roman" w:hAnsi="Times New Roman"/>
                <w:color w:val="auto"/>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p>
          <w:p>
            <w:pPr>
              <w:jc w:val="center"/>
              <w:rPr>
                <w:rFonts w:ascii="Times New Roman" w:hAnsi="Times New Roman"/>
                <w:color w:val="auto"/>
                <w:szCs w:val="21"/>
              </w:rPr>
            </w:pPr>
            <w:r>
              <w:rPr>
                <w:rFonts w:ascii="Times New Roman" w:hAnsi="Times New Roman"/>
                <w:color w:val="auto"/>
                <w:szCs w:val="21"/>
              </w:rPr>
              <w:t>环境敏感程度</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大气</w:t>
            </w: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E1</w:t>
            </w:r>
            <w:r>
              <w:rPr>
                <w:rFonts w:ascii="Times New Roman" w:hAnsi="Times New Roman"/>
                <w:color w:val="auto"/>
                <w:szCs w:val="21"/>
              </w:rPr>
              <w:sym w:font="Wingdings" w:char="00A8"/>
            </w:r>
          </w:p>
        </w:tc>
        <w:tc>
          <w:tcPr>
            <w:tcW w:w="161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E2</w:t>
            </w:r>
            <w:r>
              <w:rPr>
                <w:rFonts w:ascii="Times New Roman" w:hAnsi="Times New Roman"/>
                <w:color w:val="auto"/>
                <w:szCs w:val="21"/>
              </w:rPr>
              <w:sym w:font="Wingdings" w:char="00A8"/>
            </w:r>
          </w:p>
        </w:tc>
        <w:tc>
          <w:tcPr>
            <w:tcW w:w="18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E3</w:t>
            </w:r>
            <w:r>
              <w:rPr>
                <w:rFonts w:ascii="Times New Roman" w:hAnsi="Times New Roman"/>
                <w:color w:val="auto"/>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地表水</w:t>
            </w: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E1</w:t>
            </w:r>
            <w:r>
              <w:rPr>
                <w:rFonts w:ascii="Times New Roman" w:hAnsi="Times New Roman"/>
                <w:color w:val="auto"/>
                <w:szCs w:val="21"/>
              </w:rPr>
              <w:sym w:font="Wingdings" w:char="00A8"/>
            </w:r>
          </w:p>
        </w:tc>
        <w:tc>
          <w:tcPr>
            <w:tcW w:w="161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E2</w:t>
            </w:r>
            <w:r>
              <w:rPr>
                <w:rFonts w:ascii="Times New Roman" w:hAnsi="Times New Roman"/>
                <w:color w:val="auto"/>
                <w:szCs w:val="21"/>
              </w:rPr>
              <w:sym w:font="Wingdings" w:char="00A8"/>
            </w:r>
          </w:p>
        </w:tc>
        <w:tc>
          <w:tcPr>
            <w:tcW w:w="18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E3</w:t>
            </w:r>
            <w:r>
              <w:rPr>
                <w:rFonts w:ascii="Times New Roman" w:hAnsi="Times New Roman"/>
                <w:color w:val="auto"/>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地下水</w:t>
            </w:r>
          </w:p>
        </w:tc>
        <w:tc>
          <w:tcPr>
            <w:tcW w:w="215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E1</w:t>
            </w:r>
            <w:r>
              <w:rPr>
                <w:rFonts w:ascii="Times New Roman" w:hAnsi="Times New Roman"/>
                <w:color w:val="auto"/>
                <w:szCs w:val="21"/>
              </w:rPr>
              <w:sym w:font="Wingdings" w:char="00A8"/>
            </w:r>
          </w:p>
        </w:tc>
        <w:tc>
          <w:tcPr>
            <w:tcW w:w="161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E2</w:t>
            </w:r>
            <w:r>
              <w:rPr>
                <w:rFonts w:ascii="Times New Roman" w:hAnsi="Times New Roman"/>
                <w:color w:val="auto"/>
                <w:szCs w:val="21"/>
              </w:rPr>
              <w:sym w:font="Wingdings" w:char="00A8"/>
            </w:r>
          </w:p>
        </w:tc>
        <w:tc>
          <w:tcPr>
            <w:tcW w:w="18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E3</w:t>
            </w:r>
            <w:r>
              <w:rPr>
                <w:rFonts w:ascii="Times New Roman" w:hAnsi="Times New Roman"/>
                <w:color w:val="auto"/>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环境风险潜势</w:t>
            </w:r>
          </w:p>
        </w:tc>
        <w:tc>
          <w:tcPr>
            <w:tcW w:w="133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Ⅳ</w:t>
            </w:r>
            <w:r>
              <w:rPr>
                <w:rFonts w:ascii="Times New Roman" w:hAnsi="Times New Roman"/>
                <w:color w:val="auto"/>
                <w:szCs w:val="21"/>
                <w:vertAlign w:val="superscript"/>
              </w:rPr>
              <w:t>+</w:t>
            </w:r>
            <w:r>
              <w:rPr>
                <w:rFonts w:ascii="Times New Roman" w:hAnsi="Times New Roman"/>
                <w:color w:val="auto"/>
                <w:szCs w:val="21"/>
              </w:rPr>
              <w:sym w:font="Wingdings" w:char="00A8"/>
            </w:r>
          </w:p>
        </w:tc>
        <w:tc>
          <w:tcPr>
            <w:tcW w:w="10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Ⅳ</w:t>
            </w:r>
            <w:r>
              <w:rPr>
                <w:rFonts w:ascii="Times New Roman" w:hAnsi="Times New Roman"/>
                <w:color w:val="auto"/>
                <w:szCs w:val="21"/>
              </w:rPr>
              <w:sym w:font="Wingdings" w:char="00A8"/>
            </w:r>
          </w:p>
        </w:tc>
        <w:tc>
          <w:tcPr>
            <w:tcW w:w="13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Ⅲ</w:t>
            </w:r>
            <w:r>
              <w:rPr>
                <w:rFonts w:ascii="Times New Roman" w:hAnsi="Times New Roman"/>
                <w:color w:val="auto"/>
                <w:szCs w:val="21"/>
              </w:rPr>
              <w:sym w:font="Wingdings" w:char="00A8"/>
            </w:r>
          </w:p>
        </w:tc>
        <w:tc>
          <w:tcPr>
            <w:tcW w:w="132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Ⅱ</w:t>
            </w:r>
            <w:r>
              <w:rPr>
                <w:rFonts w:ascii="Times New Roman" w:hAnsi="Times New Roman"/>
                <w:color w:val="auto"/>
                <w:szCs w:val="21"/>
              </w:rPr>
              <w:sym w:font="Wingdings" w:char="00A8"/>
            </w:r>
          </w:p>
        </w:tc>
        <w:tc>
          <w:tcPr>
            <w:tcW w:w="15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hint="eastAsia" w:ascii="宋体" w:hAnsi="宋体" w:cs="宋体"/>
                <w:color w:val="auto"/>
                <w:szCs w:val="21"/>
              </w:rPr>
              <w:t>Ⅰ</w:t>
            </w:r>
            <w:r>
              <w:rPr>
                <w:rFonts w:ascii="Times New Roman" w:hAnsi="Times New Roman"/>
                <w:color w:val="auto"/>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评价等级</w:t>
            </w:r>
          </w:p>
        </w:tc>
        <w:tc>
          <w:tcPr>
            <w:tcW w:w="242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一级</w:t>
            </w:r>
            <w:r>
              <w:rPr>
                <w:rFonts w:ascii="Times New Roman" w:hAnsi="Times New Roman"/>
                <w:color w:val="auto"/>
                <w:szCs w:val="21"/>
              </w:rPr>
              <w:sym w:font="Wingdings" w:char="00A8"/>
            </w:r>
          </w:p>
        </w:tc>
        <w:tc>
          <w:tcPr>
            <w:tcW w:w="13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二级</w:t>
            </w:r>
            <w:r>
              <w:rPr>
                <w:rFonts w:ascii="Times New Roman" w:hAnsi="Times New Roman"/>
                <w:color w:val="auto"/>
                <w:szCs w:val="21"/>
              </w:rPr>
              <w:sym w:font="Wingdings" w:char="00A8"/>
            </w:r>
          </w:p>
        </w:tc>
        <w:tc>
          <w:tcPr>
            <w:tcW w:w="132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三级</w:t>
            </w:r>
            <w:r>
              <w:rPr>
                <w:rFonts w:ascii="Times New Roman" w:hAnsi="Times New Roman"/>
                <w:color w:val="auto"/>
                <w:szCs w:val="21"/>
              </w:rPr>
              <w:sym w:font="Wingdings" w:char="00A8"/>
            </w:r>
          </w:p>
        </w:tc>
        <w:tc>
          <w:tcPr>
            <w:tcW w:w="15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简单分析</w:t>
            </w:r>
            <w:r>
              <w:rPr>
                <w:rFonts w:ascii="Times New Roman" w:hAnsi="Times New Roman"/>
                <w:color w:val="auto"/>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风险识别</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物质危险性</w:t>
            </w:r>
          </w:p>
        </w:tc>
        <w:tc>
          <w:tcPr>
            <w:tcW w:w="3150"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有毒有害</w:t>
            </w:r>
            <w:r>
              <w:rPr>
                <w:rFonts w:ascii="Times New Roman" w:hAnsi="Times New Roman"/>
                <w:color w:val="auto"/>
                <w:szCs w:val="21"/>
              </w:rPr>
              <w:sym w:font="Wingdings" w:char="00A8"/>
            </w:r>
          </w:p>
        </w:tc>
        <w:tc>
          <w:tcPr>
            <w:tcW w:w="3479"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易燃易爆</w:t>
            </w:r>
            <w:r>
              <w:rPr>
                <w:rFonts w:ascii="Times New Roman" w:hAnsi="Times New Roman"/>
                <w:color w:val="auto"/>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环境风险类型</w:t>
            </w:r>
          </w:p>
        </w:tc>
        <w:tc>
          <w:tcPr>
            <w:tcW w:w="185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泄漏</w:t>
            </w:r>
            <w:r>
              <w:rPr>
                <w:rFonts w:ascii="Times New Roman" w:hAnsi="Times New Roman"/>
                <w:color w:val="auto"/>
                <w:szCs w:val="21"/>
              </w:rPr>
              <w:sym w:font="Wingdings" w:char="00FE"/>
            </w:r>
          </w:p>
        </w:tc>
        <w:tc>
          <w:tcPr>
            <w:tcW w:w="4776"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火灾、爆炸引发伴生/次生污染物排放</w:t>
            </w:r>
            <w:r>
              <w:rPr>
                <w:rFonts w:ascii="Times New Roman" w:hAnsi="Times New Roman"/>
                <w:color w:val="auto"/>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影响途径</w:t>
            </w:r>
          </w:p>
        </w:tc>
        <w:tc>
          <w:tcPr>
            <w:tcW w:w="185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大气</w:t>
            </w:r>
            <w:r>
              <w:rPr>
                <w:rFonts w:ascii="Times New Roman" w:hAnsi="Times New Roman"/>
                <w:color w:val="auto"/>
                <w:szCs w:val="21"/>
              </w:rPr>
              <w:sym w:font="Wingdings" w:char="00FE"/>
            </w:r>
          </w:p>
        </w:tc>
        <w:tc>
          <w:tcPr>
            <w:tcW w:w="229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地表水</w:t>
            </w:r>
            <w:r>
              <w:rPr>
                <w:rFonts w:ascii="Times New Roman" w:hAnsi="Times New Roman"/>
                <w:color w:val="auto"/>
                <w:szCs w:val="21"/>
              </w:rPr>
              <w:sym w:font="Wingdings" w:char="00A8"/>
            </w:r>
          </w:p>
        </w:tc>
        <w:tc>
          <w:tcPr>
            <w:tcW w:w="2482"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地下水</w:t>
            </w:r>
            <w:r>
              <w:rPr>
                <w:rFonts w:hint="eastAsia" w:ascii="MS Mincho" w:hAnsi="MS Mincho" w:eastAsia="MS Mincho" w:cs="MS Mincho"/>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事故情形分析</w:t>
            </w:r>
          </w:p>
        </w:tc>
        <w:tc>
          <w:tcPr>
            <w:tcW w:w="167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源强设定方法</w:t>
            </w:r>
          </w:p>
        </w:tc>
        <w:tc>
          <w:tcPr>
            <w:tcW w:w="147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计算法</w:t>
            </w:r>
            <w:r>
              <w:rPr>
                <w:rFonts w:ascii="Times New Roman" w:hAnsi="Times New Roman"/>
                <w:color w:val="auto"/>
                <w:szCs w:val="21"/>
              </w:rPr>
              <w:sym w:font="Wingdings" w:char="00A8"/>
            </w:r>
          </w:p>
        </w:tc>
        <w:tc>
          <w:tcPr>
            <w:tcW w:w="161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经验估计法</w:t>
            </w:r>
            <w:r>
              <w:rPr>
                <w:rFonts w:ascii="Times New Roman" w:hAnsi="Times New Roman"/>
                <w:color w:val="auto"/>
                <w:szCs w:val="21"/>
              </w:rPr>
              <w:sym w:font="Wingdings" w:char="00A8"/>
            </w:r>
          </w:p>
        </w:tc>
        <w:tc>
          <w:tcPr>
            <w:tcW w:w="18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其他估计法</w:t>
            </w:r>
            <w:r>
              <w:rPr>
                <w:rFonts w:ascii="Times New Roman" w:hAnsi="Times New Roman"/>
                <w:color w:val="auto"/>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风险预测与评价</w:t>
            </w:r>
          </w:p>
        </w:tc>
        <w:tc>
          <w:tcPr>
            <w:tcW w:w="130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大气</w:t>
            </w:r>
          </w:p>
        </w:tc>
        <w:tc>
          <w:tcPr>
            <w:tcW w:w="167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预测模型</w:t>
            </w:r>
          </w:p>
        </w:tc>
        <w:tc>
          <w:tcPr>
            <w:tcW w:w="147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SLAB</w:t>
            </w:r>
            <w:r>
              <w:rPr>
                <w:rFonts w:ascii="Times New Roman" w:hAnsi="Times New Roman"/>
                <w:color w:val="auto"/>
                <w:szCs w:val="21"/>
              </w:rPr>
              <w:sym w:font="Wingdings" w:char="00A8"/>
            </w:r>
          </w:p>
        </w:tc>
        <w:tc>
          <w:tcPr>
            <w:tcW w:w="161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AFYOX</w:t>
            </w:r>
            <w:r>
              <w:rPr>
                <w:rFonts w:ascii="Times New Roman" w:hAnsi="Times New Roman"/>
                <w:color w:val="auto"/>
                <w:szCs w:val="21"/>
              </w:rPr>
              <w:sym w:font="Wingdings" w:char="00A8"/>
            </w:r>
          </w:p>
        </w:tc>
        <w:tc>
          <w:tcPr>
            <w:tcW w:w="18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其他</w:t>
            </w:r>
            <w:r>
              <w:rPr>
                <w:rFonts w:ascii="Times New Roman" w:hAnsi="Times New Roman"/>
                <w:color w:val="auto"/>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677"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预测结果</w:t>
            </w:r>
          </w:p>
        </w:tc>
        <w:tc>
          <w:tcPr>
            <w:tcW w:w="4952"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大气毒性终点浓度-1最大影响范围m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67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4952"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u w:val="single"/>
              </w:rPr>
            </w:pPr>
            <w:r>
              <w:rPr>
                <w:rFonts w:ascii="Times New Roman" w:hAnsi="Times New Roman"/>
                <w:color w:val="auto"/>
                <w:szCs w:val="21"/>
              </w:rPr>
              <w:t>大气毒性终点浓度-2最大影响范围</w:t>
            </w:r>
            <w:r>
              <w:rPr>
                <w:rFonts w:ascii="Times New Roman" w:hAnsi="Times New Roman"/>
                <w:color w:val="auto"/>
                <w:szCs w:val="21"/>
                <w:u w:val="single"/>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地表水</w:t>
            </w:r>
          </w:p>
        </w:tc>
        <w:tc>
          <w:tcPr>
            <w:tcW w:w="6629"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最近环境敏感目标 ，到达时间h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地下水</w:t>
            </w:r>
          </w:p>
        </w:tc>
        <w:tc>
          <w:tcPr>
            <w:tcW w:w="6629"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下游厂区边界到达时间___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6629"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最近环境敏感目标， 到达时间___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trPr>
        <w:tc>
          <w:tcPr>
            <w:tcW w:w="1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重点风险防范措施</w:t>
            </w:r>
          </w:p>
        </w:tc>
        <w:tc>
          <w:tcPr>
            <w:tcW w:w="6629" w:type="dxa"/>
            <w:gridSpan w:val="13"/>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olor w:val="auto"/>
                <w:szCs w:val="21"/>
              </w:rPr>
            </w:pPr>
            <w:r>
              <w:rPr>
                <w:rFonts w:ascii="Times New Roman" w:hAnsi="Times New Roman"/>
                <w:color w:val="auto"/>
                <w:szCs w:val="21"/>
              </w:rPr>
              <w:t>（1）项目区分区防渗，压缩车间、渗滤液暂存池为一般防渗，进场道路及生活区为简单防渗；</w:t>
            </w:r>
          </w:p>
          <w:p>
            <w:pPr>
              <w:jc w:val="left"/>
              <w:rPr>
                <w:rFonts w:ascii="Times New Roman" w:hAnsi="Times New Roman"/>
                <w:color w:val="auto"/>
                <w:szCs w:val="21"/>
              </w:rPr>
            </w:pPr>
            <w:r>
              <w:rPr>
                <w:rFonts w:ascii="Times New Roman" w:hAnsi="Times New Roman"/>
                <w:color w:val="auto"/>
                <w:szCs w:val="21"/>
              </w:rPr>
              <w:t>（2）定期对压缩设备及除臭系统进行检修</w:t>
            </w:r>
          </w:p>
          <w:p>
            <w:pPr>
              <w:jc w:val="left"/>
              <w:rPr>
                <w:rFonts w:ascii="Times New Roman" w:hAnsi="Times New Roman"/>
                <w:color w:val="auto"/>
                <w:szCs w:val="21"/>
              </w:rPr>
            </w:pPr>
            <w:r>
              <w:rPr>
                <w:rFonts w:ascii="Times New Roman" w:hAnsi="Times New Roman"/>
                <w:color w:val="auto"/>
                <w:szCs w:val="21"/>
              </w:rPr>
              <w:t>（3）配备一定的灭火器；</w:t>
            </w:r>
          </w:p>
          <w:p>
            <w:pPr>
              <w:tabs>
                <w:tab w:val="left" w:pos="312"/>
              </w:tabs>
              <w:rPr>
                <w:rFonts w:ascii="Times New Roman" w:hAnsi="Times New Roman"/>
                <w:color w:val="auto"/>
                <w:szCs w:val="21"/>
              </w:rPr>
            </w:pPr>
            <w:r>
              <w:rPr>
                <w:rFonts w:ascii="Times New Roman" w:hAnsi="Times New Roman"/>
                <w:color w:val="auto"/>
                <w:szCs w:val="21"/>
              </w:rPr>
              <w:t>（4）操作工人上岗前进行必要的专业技术培训，并制定详细的操作规程。工作工人进行日常的设备维护、保养和检修时，需按照安全规程操作，防止意外事件的发生。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评价结论与建议</w:t>
            </w:r>
          </w:p>
        </w:tc>
        <w:tc>
          <w:tcPr>
            <w:tcW w:w="6629"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根据本次环境风险评价，建设项目环境风险是可以防控的。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535" w:type="dxa"/>
            <w:gridSpan w:val="1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olor w:val="auto"/>
                <w:szCs w:val="21"/>
              </w:rPr>
              <w:t>注：“</w:t>
            </w:r>
            <w:r>
              <w:rPr>
                <w:rFonts w:ascii="Times New Roman" w:hAnsi="Times New Roman"/>
                <w:color w:val="auto"/>
                <w:szCs w:val="21"/>
              </w:rPr>
              <w:sym w:font="Wingdings" w:char="00A8"/>
            </w:r>
            <w:r>
              <w:rPr>
                <w:rFonts w:ascii="Times New Roman" w:hAnsi="Times New Roman"/>
                <w:color w:val="auto"/>
                <w:szCs w:val="21"/>
              </w:rPr>
              <w:t>”为勾选项，“”为填写项</w:t>
            </w:r>
          </w:p>
        </w:tc>
      </w:tr>
    </w:tbl>
    <w:p>
      <w:pPr>
        <w:pStyle w:val="2"/>
        <w:ind w:left="0" w:leftChars="0" w:firstLine="0" w:firstLineChars="0"/>
        <w:rPr>
          <w:color w:val="auto"/>
        </w:rPr>
      </w:pPr>
      <w:r>
        <w:rPr>
          <w:rFonts w:ascii="Times New Roman" w:hAnsi="Times New Roman" w:eastAsia="宋体"/>
          <w:color w:val="auto"/>
          <w:kern w:val="0"/>
          <w:szCs w:val="24"/>
        </w:rPr>
        <w:pict>
          <v:shape id="_x0000_s2605" o:spid="_x0000_s2605" o:spt="61" type="#_x0000_t61" style="position:absolute;left:0pt;margin-left:611.2pt;margin-top:332.35pt;height:22.45pt;width:74.15pt;z-index:251661312;mso-width-relative:page;mso-height-relative:page;" coordsize="21600,21600" adj="11302,-17126">
            <v:path/>
            <v:fill focussize="0,0"/>
            <v:stroke joinstyle="miter"/>
            <v:imagedata o:title=""/>
            <o:lock v:ext="edit"/>
            <v:textbox>
              <w:txbxContent>
                <w:p>
                  <w:r>
                    <w:rPr>
                      <w:rFonts w:hint="eastAsia"/>
                    </w:rPr>
                    <w:t>项目所在地</w:t>
                  </w:r>
                </w:p>
              </w:txbxContent>
            </v:textbox>
          </v:shape>
        </w:pict>
      </w:r>
    </w:p>
    <w:sectPr>
      <w:footerReference r:id="rId7" w:type="default"/>
      <w:pgSz w:w="11907" w:h="16840"/>
      <w:pgMar w:top="1417" w:right="1417" w:bottom="1440" w:left="170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文本框 2049" o:spid="_x0000_s307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72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val="zh-CN"/>
      </w:rPr>
      <w:t>1</w:t>
    </w:r>
    <w:r>
      <w:rPr>
        <w:lang w:val="zh-CN"/>
      </w:rP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文本框 2050" o:spid="_x0000_s3074"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51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666"/>
        <w:tab w:val="clear" w:pos="4153"/>
      </w:tabs>
    </w:pPr>
    <w:r>
      <w:pict>
        <v:shape id="_x0000_s3075" o:spid="_x0000_s307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71</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FB3C3E"/>
    <w:multiLevelType w:val="singleLevel"/>
    <w:tmpl w:val="54FB3C3E"/>
    <w:lvl w:ilvl="0" w:tentative="0">
      <w:start w:val="1"/>
      <w:numFmt w:val="chineseCounting"/>
      <w:suff w:val="nothing"/>
      <w:lvlText w:val="%1、"/>
      <w:lvlJc w:val="left"/>
      <w:rPr>
        <w:rFonts w:hint="eastAsia"/>
      </w:rPr>
    </w:lvl>
  </w:abstractNum>
  <w:abstractNum w:abstractNumId="1">
    <w:nsid w:val="74D907AA"/>
    <w:multiLevelType w:val="singleLevel"/>
    <w:tmpl w:val="74D907AA"/>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jA4YmI4YjM4YmZiOGQ2ZTMxZWNhMzA3ZDA0ZjY1OGQifQ=="/>
  </w:docVars>
  <w:rsids>
    <w:rsidRoot w:val="00796BBE"/>
    <w:rsid w:val="0000315D"/>
    <w:rsid w:val="000045A6"/>
    <w:rsid w:val="00004E27"/>
    <w:rsid w:val="00004F94"/>
    <w:rsid w:val="00005F57"/>
    <w:rsid w:val="0001255E"/>
    <w:rsid w:val="000128E2"/>
    <w:rsid w:val="00012D12"/>
    <w:rsid w:val="000138B0"/>
    <w:rsid w:val="00015839"/>
    <w:rsid w:val="00016761"/>
    <w:rsid w:val="00016958"/>
    <w:rsid w:val="00016EA7"/>
    <w:rsid w:val="00017805"/>
    <w:rsid w:val="00021843"/>
    <w:rsid w:val="0002188E"/>
    <w:rsid w:val="000220F1"/>
    <w:rsid w:val="00023C7B"/>
    <w:rsid w:val="00023E58"/>
    <w:rsid w:val="00025617"/>
    <w:rsid w:val="0002579E"/>
    <w:rsid w:val="00026B64"/>
    <w:rsid w:val="00027B58"/>
    <w:rsid w:val="00027DF5"/>
    <w:rsid w:val="0003392E"/>
    <w:rsid w:val="000341EF"/>
    <w:rsid w:val="000364F8"/>
    <w:rsid w:val="000369A6"/>
    <w:rsid w:val="0003757E"/>
    <w:rsid w:val="00041296"/>
    <w:rsid w:val="00041C1C"/>
    <w:rsid w:val="0004291D"/>
    <w:rsid w:val="0004368D"/>
    <w:rsid w:val="000452AC"/>
    <w:rsid w:val="00045A3E"/>
    <w:rsid w:val="0005112B"/>
    <w:rsid w:val="00051253"/>
    <w:rsid w:val="000524F6"/>
    <w:rsid w:val="000532AA"/>
    <w:rsid w:val="00054ADE"/>
    <w:rsid w:val="00054B42"/>
    <w:rsid w:val="00054FA2"/>
    <w:rsid w:val="00055797"/>
    <w:rsid w:val="00057A60"/>
    <w:rsid w:val="000653AE"/>
    <w:rsid w:val="00065DC3"/>
    <w:rsid w:val="0007105E"/>
    <w:rsid w:val="00073C92"/>
    <w:rsid w:val="00076A5E"/>
    <w:rsid w:val="00080202"/>
    <w:rsid w:val="00080380"/>
    <w:rsid w:val="000845AC"/>
    <w:rsid w:val="00084B39"/>
    <w:rsid w:val="000878FD"/>
    <w:rsid w:val="00087EFF"/>
    <w:rsid w:val="00090234"/>
    <w:rsid w:val="00090D71"/>
    <w:rsid w:val="000924EC"/>
    <w:rsid w:val="000927EC"/>
    <w:rsid w:val="00094006"/>
    <w:rsid w:val="000A323C"/>
    <w:rsid w:val="000A38E9"/>
    <w:rsid w:val="000A5080"/>
    <w:rsid w:val="000A5A6C"/>
    <w:rsid w:val="000B0CAB"/>
    <w:rsid w:val="000B4170"/>
    <w:rsid w:val="000B6C76"/>
    <w:rsid w:val="000B766C"/>
    <w:rsid w:val="000C0996"/>
    <w:rsid w:val="000C2553"/>
    <w:rsid w:val="000C2E99"/>
    <w:rsid w:val="000C5ADD"/>
    <w:rsid w:val="000C66AB"/>
    <w:rsid w:val="000C74CC"/>
    <w:rsid w:val="000D06D2"/>
    <w:rsid w:val="000D1416"/>
    <w:rsid w:val="000D1DB2"/>
    <w:rsid w:val="000D1FFF"/>
    <w:rsid w:val="000D2F78"/>
    <w:rsid w:val="000D3395"/>
    <w:rsid w:val="000D3F49"/>
    <w:rsid w:val="000D64E5"/>
    <w:rsid w:val="000D6B23"/>
    <w:rsid w:val="000D73A5"/>
    <w:rsid w:val="000E08DE"/>
    <w:rsid w:val="000E133E"/>
    <w:rsid w:val="000E3B04"/>
    <w:rsid w:val="000E3D1B"/>
    <w:rsid w:val="000E7199"/>
    <w:rsid w:val="000E7542"/>
    <w:rsid w:val="000F038A"/>
    <w:rsid w:val="000F1E47"/>
    <w:rsid w:val="000F1F16"/>
    <w:rsid w:val="000F30C1"/>
    <w:rsid w:val="000F36F4"/>
    <w:rsid w:val="000F5220"/>
    <w:rsid w:val="000F5D08"/>
    <w:rsid w:val="000F6E0A"/>
    <w:rsid w:val="001023BA"/>
    <w:rsid w:val="00102D33"/>
    <w:rsid w:val="0010376A"/>
    <w:rsid w:val="001117DF"/>
    <w:rsid w:val="00111B61"/>
    <w:rsid w:val="0011411B"/>
    <w:rsid w:val="00114B8C"/>
    <w:rsid w:val="001150A2"/>
    <w:rsid w:val="00115FF3"/>
    <w:rsid w:val="001203FC"/>
    <w:rsid w:val="00121022"/>
    <w:rsid w:val="001214F6"/>
    <w:rsid w:val="0012200B"/>
    <w:rsid w:val="00122439"/>
    <w:rsid w:val="00127C59"/>
    <w:rsid w:val="00127C6F"/>
    <w:rsid w:val="00127CC8"/>
    <w:rsid w:val="00127FB1"/>
    <w:rsid w:val="00131064"/>
    <w:rsid w:val="00131207"/>
    <w:rsid w:val="00134CD0"/>
    <w:rsid w:val="0013563D"/>
    <w:rsid w:val="00136032"/>
    <w:rsid w:val="00136B48"/>
    <w:rsid w:val="0014118F"/>
    <w:rsid w:val="0014474B"/>
    <w:rsid w:val="00144B81"/>
    <w:rsid w:val="00145BDD"/>
    <w:rsid w:val="0015149D"/>
    <w:rsid w:val="001520DE"/>
    <w:rsid w:val="001533F8"/>
    <w:rsid w:val="0015500B"/>
    <w:rsid w:val="00156550"/>
    <w:rsid w:val="00156C5F"/>
    <w:rsid w:val="00161D53"/>
    <w:rsid w:val="00161E4B"/>
    <w:rsid w:val="00161F07"/>
    <w:rsid w:val="00163658"/>
    <w:rsid w:val="001654B6"/>
    <w:rsid w:val="001656CE"/>
    <w:rsid w:val="00165C7E"/>
    <w:rsid w:val="0016620D"/>
    <w:rsid w:val="001724FC"/>
    <w:rsid w:val="001725B2"/>
    <w:rsid w:val="00172D48"/>
    <w:rsid w:val="00175350"/>
    <w:rsid w:val="0017670F"/>
    <w:rsid w:val="00176E56"/>
    <w:rsid w:val="0017729E"/>
    <w:rsid w:val="00181F5C"/>
    <w:rsid w:val="00183910"/>
    <w:rsid w:val="00185034"/>
    <w:rsid w:val="0018581B"/>
    <w:rsid w:val="001860F8"/>
    <w:rsid w:val="00186C84"/>
    <w:rsid w:val="001905BA"/>
    <w:rsid w:val="00191B60"/>
    <w:rsid w:val="00192579"/>
    <w:rsid w:val="001928D4"/>
    <w:rsid w:val="001929CF"/>
    <w:rsid w:val="00193163"/>
    <w:rsid w:val="00193181"/>
    <w:rsid w:val="0019463E"/>
    <w:rsid w:val="0019473A"/>
    <w:rsid w:val="00195967"/>
    <w:rsid w:val="001960E3"/>
    <w:rsid w:val="001A02B3"/>
    <w:rsid w:val="001A0C6C"/>
    <w:rsid w:val="001A147D"/>
    <w:rsid w:val="001A247C"/>
    <w:rsid w:val="001A7119"/>
    <w:rsid w:val="001B11C0"/>
    <w:rsid w:val="001B1A1B"/>
    <w:rsid w:val="001B2A26"/>
    <w:rsid w:val="001B46AA"/>
    <w:rsid w:val="001B48EB"/>
    <w:rsid w:val="001B7F34"/>
    <w:rsid w:val="001C09AF"/>
    <w:rsid w:val="001C1264"/>
    <w:rsid w:val="001C299B"/>
    <w:rsid w:val="001C2CCB"/>
    <w:rsid w:val="001D0982"/>
    <w:rsid w:val="001D09C7"/>
    <w:rsid w:val="001D672F"/>
    <w:rsid w:val="001D6FFA"/>
    <w:rsid w:val="001D74F6"/>
    <w:rsid w:val="001D7821"/>
    <w:rsid w:val="001E031E"/>
    <w:rsid w:val="001E35B7"/>
    <w:rsid w:val="001E3E1B"/>
    <w:rsid w:val="001E41B9"/>
    <w:rsid w:val="001E5B77"/>
    <w:rsid w:val="001E6293"/>
    <w:rsid w:val="001E72CA"/>
    <w:rsid w:val="001F2FF2"/>
    <w:rsid w:val="001F37A2"/>
    <w:rsid w:val="001F5036"/>
    <w:rsid w:val="001F5981"/>
    <w:rsid w:val="001F646A"/>
    <w:rsid w:val="001F77C5"/>
    <w:rsid w:val="00200166"/>
    <w:rsid w:val="0020063B"/>
    <w:rsid w:val="00203486"/>
    <w:rsid w:val="002041A4"/>
    <w:rsid w:val="00204F73"/>
    <w:rsid w:val="00205F6B"/>
    <w:rsid w:val="00210DA3"/>
    <w:rsid w:val="00212509"/>
    <w:rsid w:val="0021331C"/>
    <w:rsid w:val="002149FD"/>
    <w:rsid w:val="00215F60"/>
    <w:rsid w:val="002167F7"/>
    <w:rsid w:val="00216BA3"/>
    <w:rsid w:val="00220F76"/>
    <w:rsid w:val="00221A7F"/>
    <w:rsid w:val="00222D21"/>
    <w:rsid w:val="002235EB"/>
    <w:rsid w:val="0022461A"/>
    <w:rsid w:val="0022552E"/>
    <w:rsid w:val="002260C9"/>
    <w:rsid w:val="00226250"/>
    <w:rsid w:val="0022745A"/>
    <w:rsid w:val="002317DB"/>
    <w:rsid w:val="002335A9"/>
    <w:rsid w:val="00235405"/>
    <w:rsid w:val="00235985"/>
    <w:rsid w:val="00244254"/>
    <w:rsid w:val="002447A1"/>
    <w:rsid w:val="00247589"/>
    <w:rsid w:val="00250B60"/>
    <w:rsid w:val="00251AB6"/>
    <w:rsid w:val="002537FE"/>
    <w:rsid w:val="00254847"/>
    <w:rsid w:val="00254C13"/>
    <w:rsid w:val="0025555B"/>
    <w:rsid w:val="00255773"/>
    <w:rsid w:val="00256EC4"/>
    <w:rsid w:val="002573A6"/>
    <w:rsid w:val="00261FA6"/>
    <w:rsid w:val="002633AD"/>
    <w:rsid w:val="002643E2"/>
    <w:rsid w:val="00266024"/>
    <w:rsid w:val="002660FC"/>
    <w:rsid w:val="00267825"/>
    <w:rsid w:val="0027129A"/>
    <w:rsid w:val="0027261E"/>
    <w:rsid w:val="002735E4"/>
    <w:rsid w:val="0027379B"/>
    <w:rsid w:val="00273AB1"/>
    <w:rsid w:val="00274295"/>
    <w:rsid w:val="0027518C"/>
    <w:rsid w:val="002800A6"/>
    <w:rsid w:val="0028013D"/>
    <w:rsid w:val="00280B8F"/>
    <w:rsid w:val="00281A4D"/>
    <w:rsid w:val="00281EC0"/>
    <w:rsid w:val="002844EF"/>
    <w:rsid w:val="00286B44"/>
    <w:rsid w:val="00292D98"/>
    <w:rsid w:val="00293AB9"/>
    <w:rsid w:val="002945FB"/>
    <w:rsid w:val="00294D85"/>
    <w:rsid w:val="00295F29"/>
    <w:rsid w:val="0029650F"/>
    <w:rsid w:val="002967F7"/>
    <w:rsid w:val="00297152"/>
    <w:rsid w:val="00297AAD"/>
    <w:rsid w:val="002A15B0"/>
    <w:rsid w:val="002A1882"/>
    <w:rsid w:val="002A4E53"/>
    <w:rsid w:val="002A4FE9"/>
    <w:rsid w:val="002A5FEE"/>
    <w:rsid w:val="002A7560"/>
    <w:rsid w:val="002B012E"/>
    <w:rsid w:val="002B1B52"/>
    <w:rsid w:val="002B2E81"/>
    <w:rsid w:val="002B4725"/>
    <w:rsid w:val="002B5EE5"/>
    <w:rsid w:val="002B5F48"/>
    <w:rsid w:val="002B66DC"/>
    <w:rsid w:val="002B6F38"/>
    <w:rsid w:val="002C54CE"/>
    <w:rsid w:val="002D1B02"/>
    <w:rsid w:val="002D3ACF"/>
    <w:rsid w:val="002D45BA"/>
    <w:rsid w:val="002D5E6B"/>
    <w:rsid w:val="002D691E"/>
    <w:rsid w:val="002E06E9"/>
    <w:rsid w:val="002E2EE9"/>
    <w:rsid w:val="002E4263"/>
    <w:rsid w:val="002E6238"/>
    <w:rsid w:val="002E6C5B"/>
    <w:rsid w:val="002F026E"/>
    <w:rsid w:val="002F221D"/>
    <w:rsid w:val="002F2BD1"/>
    <w:rsid w:val="002F38A6"/>
    <w:rsid w:val="002F4D4C"/>
    <w:rsid w:val="002F57A5"/>
    <w:rsid w:val="002F79C0"/>
    <w:rsid w:val="002F7EB3"/>
    <w:rsid w:val="003003EE"/>
    <w:rsid w:val="00301091"/>
    <w:rsid w:val="003022E8"/>
    <w:rsid w:val="0030466C"/>
    <w:rsid w:val="00304B83"/>
    <w:rsid w:val="00306A29"/>
    <w:rsid w:val="00310C74"/>
    <w:rsid w:val="00310F77"/>
    <w:rsid w:val="00313AF7"/>
    <w:rsid w:val="0031482C"/>
    <w:rsid w:val="00314C1D"/>
    <w:rsid w:val="00314DDE"/>
    <w:rsid w:val="0031742D"/>
    <w:rsid w:val="00317724"/>
    <w:rsid w:val="00317EE3"/>
    <w:rsid w:val="00323112"/>
    <w:rsid w:val="00323FC7"/>
    <w:rsid w:val="003256E2"/>
    <w:rsid w:val="003279DF"/>
    <w:rsid w:val="003279FA"/>
    <w:rsid w:val="00331ABB"/>
    <w:rsid w:val="00333A12"/>
    <w:rsid w:val="00333F01"/>
    <w:rsid w:val="003364DF"/>
    <w:rsid w:val="00337EEB"/>
    <w:rsid w:val="003415C7"/>
    <w:rsid w:val="003421B3"/>
    <w:rsid w:val="00342A6E"/>
    <w:rsid w:val="00344004"/>
    <w:rsid w:val="00345A2E"/>
    <w:rsid w:val="00345B18"/>
    <w:rsid w:val="00350A40"/>
    <w:rsid w:val="0035187F"/>
    <w:rsid w:val="00352217"/>
    <w:rsid w:val="0035224C"/>
    <w:rsid w:val="00352DA9"/>
    <w:rsid w:val="00354765"/>
    <w:rsid w:val="00355684"/>
    <w:rsid w:val="00360606"/>
    <w:rsid w:val="00366B6E"/>
    <w:rsid w:val="00367C6A"/>
    <w:rsid w:val="0037062E"/>
    <w:rsid w:val="00371E20"/>
    <w:rsid w:val="00371EE4"/>
    <w:rsid w:val="0037512A"/>
    <w:rsid w:val="00375F52"/>
    <w:rsid w:val="003768A9"/>
    <w:rsid w:val="00381B65"/>
    <w:rsid w:val="003827B6"/>
    <w:rsid w:val="003830BA"/>
    <w:rsid w:val="0038332B"/>
    <w:rsid w:val="00385E6F"/>
    <w:rsid w:val="0038716A"/>
    <w:rsid w:val="00387558"/>
    <w:rsid w:val="00387A9B"/>
    <w:rsid w:val="00392825"/>
    <w:rsid w:val="00392DE2"/>
    <w:rsid w:val="003949BC"/>
    <w:rsid w:val="00394DBD"/>
    <w:rsid w:val="003977A6"/>
    <w:rsid w:val="003A27B7"/>
    <w:rsid w:val="003A335B"/>
    <w:rsid w:val="003A3C0C"/>
    <w:rsid w:val="003A5B1B"/>
    <w:rsid w:val="003A5EAC"/>
    <w:rsid w:val="003A6448"/>
    <w:rsid w:val="003A6926"/>
    <w:rsid w:val="003A7538"/>
    <w:rsid w:val="003B190E"/>
    <w:rsid w:val="003B2978"/>
    <w:rsid w:val="003B5F7D"/>
    <w:rsid w:val="003B6C46"/>
    <w:rsid w:val="003C1C7C"/>
    <w:rsid w:val="003C45A9"/>
    <w:rsid w:val="003C55AD"/>
    <w:rsid w:val="003D4261"/>
    <w:rsid w:val="003D5013"/>
    <w:rsid w:val="003D62D3"/>
    <w:rsid w:val="003E346F"/>
    <w:rsid w:val="003E535C"/>
    <w:rsid w:val="003E6D82"/>
    <w:rsid w:val="003F0DC0"/>
    <w:rsid w:val="003F22AD"/>
    <w:rsid w:val="003F35D6"/>
    <w:rsid w:val="003F54CC"/>
    <w:rsid w:val="003F5914"/>
    <w:rsid w:val="003F60BB"/>
    <w:rsid w:val="003F79A0"/>
    <w:rsid w:val="003F7C98"/>
    <w:rsid w:val="0040080F"/>
    <w:rsid w:val="00401DFF"/>
    <w:rsid w:val="004036C5"/>
    <w:rsid w:val="00406C17"/>
    <w:rsid w:val="004112DE"/>
    <w:rsid w:val="00411308"/>
    <w:rsid w:val="00416890"/>
    <w:rsid w:val="00417313"/>
    <w:rsid w:val="004205C2"/>
    <w:rsid w:val="00422BE1"/>
    <w:rsid w:val="00424DC4"/>
    <w:rsid w:val="00424DF0"/>
    <w:rsid w:val="00427CF6"/>
    <w:rsid w:val="00430C2E"/>
    <w:rsid w:val="00432063"/>
    <w:rsid w:val="00435457"/>
    <w:rsid w:val="0043545F"/>
    <w:rsid w:val="004404D5"/>
    <w:rsid w:val="00441A03"/>
    <w:rsid w:val="004439DB"/>
    <w:rsid w:val="00444844"/>
    <w:rsid w:val="00445C25"/>
    <w:rsid w:val="00450385"/>
    <w:rsid w:val="00450508"/>
    <w:rsid w:val="00452188"/>
    <w:rsid w:val="0045333F"/>
    <w:rsid w:val="00453E2C"/>
    <w:rsid w:val="004548F4"/>
    <w:rsid w:val="00454E9E"/>
    <w:rsid w:val="00455A95"/>
    <w:rsid w:val="004655A4"/>
    <w:rsid w:val="0046719F"/>
    <w:rsid w:val="00467967"/>
    <w:rsid w:val="00470BA3"/>
    <w:rsid w:val="004720F3"/>
    <w:rsid w:val="00472D9E"/>
    <w:rsid w:val="004737A0"/>
    <w:rsid w:val="0047443C"/>
    <w:rsid w:val="00474790"/>
    <w:rsid w:val="00474A5F"/>
    <w:rsid w:val="00475349"/>
    <w:rsid w:val="004772AB"/>
    <w:rsid w:val="00477984"/>
    <w:rsid w:val="00482D84"/>
    <w:rsid w:val="00484649"/>
    <w:rsid w:val="00485C12"/>
    <w:rsid w:val="00485F92"/>
    <w:rsid w:val="00486097"/>
    <w:rsid w:val="004863F2"/>
    <w:rsid w:val="00486697"/>
    <w:rsid w:val="00490DC9"/>
    <w:rsid w:val="00491562"/>
    <w:rsid w:val="0049429A"/>
    <w:rsid w:val="0049651D"/>
    <w:rsid w:val="00497676"/>
    <w:rsid w:val="004A0F83"/>
    <w:rsid w:val="004A27C2"/>
    <w:rsid w:val="004A3160"/>
    <w:rsid w:val="004A3350"/>
    <w:rsid w:val="004A461E"/>
    <w:rsid w:val="004A472D"/>
    <w:rsid w:val="004A64DA"/>
    <w:rsid w:val="004B0DC5"/>
    <w:rsid w:val="004B0DDE"/>
    <w:rsid w:val="004B1A4F"/>
    <w:rsid w:val="004B2AB3"/>
    <w:rsid w:val="004B49A7"/>
    <w:rsid w:val="004B4FB0"/>
    <w:rsid w:val="004B50E0"/>
    <w:rsid w:val="004B569C"/>
    <w:rsid w:val="004B7142"/>
    <w:rsid w:val="004B7BB6"/>
    <w:rsid w:val="004C0321"/>
    <w:rsid w:val="004C159E"/>
    <w:rsid w:val="004C1804"/>
    <w:rsid w:val="004C1AB4"/>
    <w:rsid w:val="004C23EF"/>
    <w:rsid w:val="004C31B5"/>
    <w:rsid w:val="004C39FA"/>
    <w:rsid w:val="004C45A7"/>
    <w:rsid w:val="004C5D94"/>
    <w:rsid w:val="004D0EDA"/>
    <w:rsid w:val="004D1318"/>
    <w:rsid w:val="004E0121"/>
    <w:rsid w:val="004E0A16"/>
    <w:rsid w:val="004E162E"/>
    <w:rsid w:val="004E1D3C"/>
    <w:rsid w:val="004E1E8E"/>
    <w:rsid w:val="004E4F6A"/>
    <w:rsid w:val="004E7AFC"/>
    <w:rsid w:val="004F05E3"/>
    <w:rsid w:val="004F1850"/>
    <w:rsid w:val="004F4BDF"/>
    <w:rsid w:val="00501B48"/>
    <w:rsid w:val="00502EB9"/>
    <w:rsid w:val="0050486A"/>
    <w:rsid w:val="00505018"/>
    <w:rsid w:val="0050605E"/>
    <w:rsid w:val="005062E1"/>
    <w:rsid w:val="00507CA0"/>
    <w:rsid w:val="00512022"/>
    <w:rsid w:val="00515B88"/>
    <w:rsid w:val="0051624F"/>
    <w:rsid w:val="0051703E"/>
    <w:rsid w:val="00521D67"/>
    <w:rsid w:val="00521E10"/>
    <w:rsid w:val="00523246"/>
    <w:rsid w:val="00523D23"/>
    <w:rsid w:val="0052418E"/>
    <w:rsid w:val="0052648F"/>
    <w:rsid w:val="00526562"/>
    <w:rsid w:val="0052691E"/>
    <w:rsid w:val="00531781"/>
    <w:rsid w:val="00533CEF"/>
    <w:rsid w:val="00533E75"/>
    <w:rsid w:val="00534B3B"/>
    <w:rsid w:val="0053601C"/>
    <w:rsid w:val="00536705"/>
    <w:rsid w:val="00537BDF"/>
    <w:rsid w:val="00541B71"/>
    <w:rsid w:val="00542763"/>
    <w:rsid w:val="00542E1A"/>
    <w:rsid w:val="00544FBD"/>
    <w:rsid w:val="00545516"/>
    <w:rsid w:val="005461A4"/>
    <w:rsid w:val="00552ADF"/>
    <w:rsid w:val="00552EE0"/>
    <w:rsid w:val="0055323F"/>
    <w:rsid w:val="00555205"/>
    <w:rsid w:val="0055584C"/>
    <w:rsid w:val="0055693B"/>
    <w:rsid w:val="00557C5B"/>
    <w:rsid w:val="0056157B"/>
    <w:rsid w:val="00561F50"/>
    <w:rsid w:val="00562313"/>
    <w:rsid w:val="005636BE"/>
    <w:rsid w:val="00564D2B"/>
    <w:rsid w:val="00565C03"/>
    <w:rsid w:val="0057313C"/>
    <w:rsid w:val="00576793"/>
    <w:rsid w:val="00576E30"/>
    <w:rsid w:val="00576F8F"/>
    <w:rsid w:val="00580167"/>
    <w:rsid w:val="005816F3"/>
    <w:rsid w:val="00581A48"/>
    <w:rsid w:val="005827CE"/>
    <w:rsid w:val="00583DD4"/>
    <w:rsid w:val="00585C05"/>
    <w:rsid w:val="005870A5"/>
    <w:rsid w:val="00592F5B"/>
    <w:rsid w:val="005954BB"/>
    <w:rsid w:val="00596650"/>
    <w:rsid w:val="00597B93"/>
    <w:rsid w:val="005A0F48"/>
    <w:rsid w:val="005A1DDC"/>
    <w:rsid w:val="005A5164"/>
    <w:rsid w:val="005A666A"/>
    <w:rsid w:val="005A6D67"/>
    <w:rsid w:val="005B04F1"/>
    <w:rsid w:val="005B072A"/>
    <w:rsid w:val="005B232C"/>
    <w:rsid w:val="005B4474"/>
    <w:rsid w:val="005B4D51"/>
    <w:rsid w:val="005B5CFC"/>
    <w:rsid w:val="005C3BBC"/>
    <w:rsid w:val="005C4182"/>
    <w:rsid w:val="005C47E7"/>
    <w:rsid w:val="005C4971"/>
    <w:rsid w:val="005D2316"/>
    <w:rsid w:val="005D25D8"/>
    <w:rsid w:val="005D29E8"/>
    <w:rsid w:val="005D2DAC"/>
    <w:rsid w:val="005D4BB3"/>
    <w:rsid w:val="005D5A72"/>
    <w:rsid w:val="005D6A52"/>
    <w:rsid w:val="005D7142"/>
    <w:rsid w:val="005D748E"/>
    <w:rsid w:val="005E0718"/>
    <w:rsid w:val="005E1985"/>
    <w:rsid w:val="005E1A18"/>
    <w:rsid w:val="005E5280"/>
    <w:rsid w:val="005F21BA"/>
    <w:rsid w:val="005F37EB"/>
    <w:rsid w:val="005F46E9"/>
    <w:rsid w:val="0060164D"/>
    <w:rsid w:val="00602FBA"/>
    <w:rsid w:val="00605444"/>
    <w:rsid w:val="00605D09"/>
    <w:rsid w:val="00605FDD"/>
    <w:rsid w:val="00610E36"/>
    <w:rsid w:val="00611CD1"/>
    <w:rsid w:val="006146D3"/>
    <w:rsid w:val="00616890"/>
    <w:rsid w:val="006169C1"/>
    <w:rsid w:val="00617851"/>
    <w:rsid w:val="0061787A"/>
    <w:rsid w:val="00620ACA"/>
    <w:rsid w:val="00620AEE"/>
    <w:rsid w:val="006248B4"/>
    <w:rsid w:val="006256A3"/>
    <w:rsid w:val="00625D28"/>
    <w:rsid w:val="006302DC"/>
    <w:rsid w:val="0063194C"/>
    <w:rsid w:val="0063298C"/>
    <w:rsid w:val="006339B7"/>
    <w:rsid w:val="006353A1"/>
    <w:rsid w:val="00637C97"/>
    <w:rsid w:val="00642A05"/>
    <w:rsid w:val="006430E0"/>
    <w:rsid w:val="0065058D"/>
    <w:rsid w:val="00650976"/>
    <w:rsid w:val="00651879"/>
    <w:rsid w:val="00652409"/>
    <w:rsid w:val="0065273A"/>
    <w:rsid w:val="006536F8"/>
    <w:rsid w:val="0065643A"/>
    <w:rsid w:val="00657FF9"/>
    <w:rsid w:val="00661434"/>
    <w:rsid w:val="006616F1"/>
    <w:rsid w:val="00663704"/>
    <w:rsid w:val="0066417F"/>
    <w:rsid w:val="006648DB"/>
    <w:rsid w:val="00664FBC"/>
    <w:rsid w:val="006659F0"/>
    <w:rsid w:val="006666F5"/>
    <w:rsid w:val="00666C2F"/>
    <w:rsid w:val="00670EFA"/>
    <w:rsid w:val="00671304"/>
    <w:rsid w:val="00671449"/>
    <w:rsid w:val="00672587"/>
    <w:rsid w:val="00674CD6"/>
    <w:rsid w:val="006754F8"/>
    <w:rsid w:val="0067585B"/>
    <w:rsid w:val="0067770D"/>
    <w:rsid w:val="00681364"/>
    <w:rsid w:val="006823A5"/>
    <w:rsid w:val="00682B50"/>
    <w:rsid w:val="006830B5"/>
    <w:rsid w:val="0068358D"/>
    <w:rsid w:val="00683B83"/>
    <w:rsid w:val="0068503A"/>
    <w:rsid w:val="006853D4"/>
    <w:rsid w:val="00690FE3"/>
    <w:rsid w:val="0069261C"/>
    <w:rsid w:val="00695841"/>
    <w:rsid w:val="006972D7"/>
    <w:rsid w:val="006A07B2"/>
    <w:rsid w:val="006A3C66"/>
    <w:rsid w:val="006A5813"/>
    <w:rsid w:val="006B17A0"/>
    <w:rsid w:val="006B3603"/>
    <w:rsid w:val="006B3F5D"/>
    <w:rsid w:val="006B61C6"/>
    <w:rsid w:val="006C24DB"/>
    <w:rsid w:val="006C343D"/>
    <w:rsid w:val="006C3461"/>
    <w:rsid w:val="006C4258"/>
    <w:rsid w:val="006C7350"/>
    <w:rsid w:val="006C7CEF"/>
    <w:rsid w:val="006C7D8C"/>
    <w:rsid w:val="006D0037"/>
    <w:rsid w:val="006D37E3"/>
    <w:rsid w:val="006D50B2"/>
    <w:rsid w:val="006D6092"/>
    <w:rsid w:val="006D6148"/>
    <w:rsid w:val="006E0244"/>
    <w:rsid w:val="006E23ED"/>
    <w:rsid w:val="006E3538"/>
    <w:rsid w:val="006E7740"/>
    <w:rsid w:val="006E7BDC"/>
    <w:rsid w:val="006F3CD2"/>
    <w:rsid w:val="007007A2"/>
    <w:rsid w:val="007024B9"/>
    <w:rsid w:val="00702F2C"/>
    <w:rsid w:val="00703BE6"/>
    <w:rsid w:val="00710421"/>
    <w:rsid w:val="00710780"/>
    <w:rsid w:val="007116AA"/>
    <w:rsid w:val="00715EF6"/>
    <w:rsid w:val="00715FDA"/>
    <w:rsid w:val="0072378A"/>
    <w:rsid w:val="007243CD"/>
    <w:rsid w:val="007266B4"/>
    <w:rsid w:val="0072721C"/>
    <w:rsid w:val="00727C80"/>
    <w:rsid w:val="007301CD"/>
    <w:rsid w:val="00730E81"/>
    <w:rsid w:val="00732C3A"/>
    <w:rsid w:val="007350C0"/>
    <w:rsid w:val="00736B9F"/>
    <w:rsid w:val="00740962"/>
    <w:rsid w:val="00747E19"/>
    <w:rsid w:val="007507B7"/>
    <w:rsid w:val="00751B09"/>
    <w:rsid w:val="00756136"/>
    <w:rsid w:val="00756794"/>
    <w:rsid w:val="0075740A"/>
    <w:rsid w:val="00761E99"/>
    <w:rsid w:val="00771AD0"/>
    <w:rsid w:val="007732EF"/>
    <w:rsid w:val="00774642"/>
    <w:rsid w:val="00775017"/>
    <w:rsid w:val="00775A1C"/>
    <w:rsid w:val="00776926"/>
    <w:rsid w:val="00776BD1"/>
    <w:rsid w:val="0078032F"/>
    <w:rsid w:val="0078053B"/>
    <w:rsid w:val="007811B3"/>
    <w:rsid w:val="0078142E"/>
    <w:rsid w:val="0078250E"/>
    <w:rsid w:val="00783B67"/>
    <w:rsid w:val="007841B3"/>
    <w:rsid w:val="007866AA"/>
    <w:rsid w:val="00787954"/>
    <w:rsid w:val="00787C61"/>
    <w:rsid w:val="007906D6"/>
    <w:rsid w:val="007945A8"/>
    <w:rsid w:val="00794A89"/>
    <w:rsid w:val="00796BBE"/>
    <w:rsid w:val="00797679"/>
    <w:rsid w:val="00797A77"/>
    <w:rsid w:val="007A54D9"/>
    <w:rsid w:val="007A5866"/>
    <w:rsid w:val="007A7CAD"/>
    <w:rsid w:val="007B05E8"/>
    <w:rsid w:val="007B2781"/>
    <w:rsid w:val="007B323C"/>
    <w:rsid w:val="007B3335"/>
    <w:rsid w:val="007B6E9F"/>
    <w:rsid w:val="007B740B"/>
    <w:rsid w:val="007C0772"/>
    <w:rsid w:val="007C173C"/>
    <w:rsid w:val="007C2566"/>
    <w:rsid w:val="007C28D2"/>
    <w:rsid w:val="007C4936"/>
    <w:rsid w:val="007C54F3"/>
    <w:rsid w:val="007C5CA6"/>
    <w:rsid w:val="007C6CE5"/>
    <w:rsid w:val="007D1570"/>
    <w:rsid w:val="007D16B6"/>
    <w:rsid w:val="007D2073"/>
    <w:rsid w:val="007D73D9"/>
    <w:rsid w:val="007E010C"/>
    <w:rsid w:val="007E05AE"/>
    <w:rsid w:val="007E0BDF"/>
    <w:rsid w:val="007E2990"/>
    <w:rsid w:val="007E2BAB"/>
    <w:rsid w:val="007E38C9"/>
    <w:rsid w:val="007E5C71"/>
    <w:rsid w:val="007E6006"/>
    <w:rsid w:val="007E7BFA"/>
    <w:rsid w:val="007F0B17"/>
    <w:rsid w:val="007F17E7"/>
    <w:rsid w:val="007F1EF7"/>
    <w:rsid w:val="007F201C"/>
    <w:rsid w:val="007F3478"/>
    <w:rsid w:val="007F6658"/>
    <w:rsid w:val="007F68CB"/>
    <w:rsid w:val="007F68F7"/>
    <w:rsid w:val="007F7449"/>
    <w:rsid w:val="0080003A"/>
    <w:rsid w:val="0080269A"/>
    <w:rsid w:val="00806678"/>
    <w:rsid w:val="00810852"/>
    <w:rsid w:val="00810FC1"/>
    <w:rsid w:val="00816D06"/>
    <w:rsid w:val="008214E9"/>
    <w:rsid w:val="0082164C"/>
    <w:rsid w:val="0082302E"/>
    <w:rsid w:val="008232A3"/>
    <w:rsid w:val="008240D3"/>
    <w:rsid w:val="00824AFB"/>
    <w:rsid w:val="00826999"/>
    <w:rsid w:val="00827FA4"/>
    <w:rsid w:val="0083256E"/>
    <w:rsid w:val="00832CE8"/>
    <w:rsid w:val="0083369D"/>
    <w:rsid w:val="0083405C"/>
    <w:rsid w:val="00834441"/>
    <w:rsid w:val="008350C2"/>
    <w:rsid w:val="00836BD8"/>
    <w:rsid w:val="00837B76"/>
    <w:rsid w:val="00840854"/>
    <w:rsid w:val="00842074"/>
    <w:rsid w:val="008454E7"/>
    <w:rsid w:val="00846F63"/>
    <w:rsid w:val="008500C4"/>
    <w:rsid w:val="008532E0"/>
    <w:rsid w:val="00855306"/>
    <w:rsid w:val="0085532F"/>
    <w:rsid w:val="00855F62"/>
    <w:rsid w:val="00856F22"/>
    <w:rsid w:val="00860957"/>
    <w:rsid w:val="00861486"/>
    <w:rsid w:val="00861B08"/>
    <w:rsid w:val="008633C8"/>
    <w:rsid w:val="00865663"/>
    <w:rsid w:val="0086570B"/>
    <w:rsid w:val="008669C2"/>
    <w:rsid w:val="00867453"/>
    <w:rsid w:val="00867F94"/>
    <w:rsid w:val="00871548"/>
    <w:rsid w:val="0087220E"/>
    <w:rsid w:val="00872415"/>
    <w:rsid w:val="00873346"/>
    <w:rsid w:val="00873EBB"/>
    <w:rsid w:val="00880B93"/>
    <w:rsid w:val="008826FE"/>
    <w:rsid w:val="00883827"/>
    <w:rsid w:val="0088564F"/>
    <w:rsid w:val="00887544"/>
    <w:rsid w:val="008905C5"/>
    <w:rsid w:val="008923D6"/>
    <w:rsid w:val="00892575"/>
    <w:rsid w:val="008A0D02"/>
    <w:rsid w:val="008A0D6F"/>
    <w:rsid w:val="008A1356"/>
    <w:rsid w:val="008A2244"/>
    <w:rsid w:val="008A3051"/>
    <w:rsid w:val="008A506A"/>
    <w:rsid w:val="008A6225"/>
    <w:rsid w:val="008A6E8C"/>
    <w:rsid w:val="008A78BD"/>
    <w:rsid w:val="008A7954"/>
    <w:rsid w:val="008B07EE"/>
    <w:rsid w:val="008B1489"/>
    <w:rsid w:val="008B1D29"/>
    <w:rsid w:val="008B6482"/>
    <w:rsid w:val="008C0E37"/>
    <w:rsid w:val="008C15A1"/>
    <w:rsid w:val="008C17C9"/>
    <w:rsid w:val="008C1D73"/>
    <w:rsid w:val="008C325E"/>
    <w:rsid w:val="008C332D"/>
    <w:rsid w:val="008C3986"/>
    <w:rsid w:val="008C4F21"/>
    <w:rsid w:val="008C6B59"/>
    <w:rsid w:val="008C7936"/>
    <w:rsid w:val="008D0AC5"/>
    <w:rsid w:val="008D1102"/>
    <w:rsid w:val="008D1576"/>
    <w:rsid w:val="008D3549"/>
    <w:rsid w:val="008D6AF7"/>
    <w:rsid w:val="008E0123"/>
    <w:rsid w:val="008E0512"/>
    <w:rsid w:val="008E0C46"/>
    <w:rsid w:val="008E0F37"/>
    <w:rsid w:val="008E1F71"/>
    <w:rsid w:val="008E263B"/>
    <w:rsid w:val="008E5F97"/>
    <w:rsid w:val="008E6C21"/>
    <w:rsid w:val="008E72FE"/>
    <w:rsid w:val="008E751D"/>
    <w:rsid w:val="008F1DB4"/>
    <w:rsid w:val="008F34FD"/>
    <w:rsid w:val="008F38D4"/>
    <w:rsid w:val="008F4EF8"/>
    <w:rsid w:val="008F50B1"/>
    <w:rsid w:val="009015BB"/>
    <w:rsid w:val="009057AF"/>
    <w:rsid w:val="00913313"/>
    <w:rsid w:val="009159CB"/>
    <w:rsid w:val="009169D9"/>
    <w:rsid w:val="0092091B"/>
    <w:rsid w:val="009209F6"/>
    <w:rsid w:val="0092294A"/>
    <w:rsid w:val="00922A43"/>
    <w:rsid w:val="00923ADE"/>
    <w:rsid w:val="00925405"/>
    <w:rsid w:val="00925B0E"/>
    <w:rsid w:val="0092673C"/>
    <w:rsid w:val="00926FA8"/>
    <w:rsid w:val="009314DD"/>
    <w:rsid w:val="009325AE"/>
    <w:rsid w:val="00933695"/>
    <w:rsid w:val="0093414D"/>
    <w:rsid w:val="00934505"/>
    <w:rsid w:val="009345CF"/>
    <w:rsid w:val="00936C2D"/>
    <w:rsid w:val="00937ADF"/>
    <w:rsid w:val="009414B9"/>
    <w:rsid w:val="00943D5C"/>
    <w:rsid w:val="009509B8"/>
    <w:rsid w:val="009530FE"/>
    <w:rsid w:val="0095491C"/>
    <w:rsid w:val="00954A0D"/>
    <w:rsid w:val="009555E5"/>
    <w:rsid w:val="00956FEA"/>
    <w:rsid w:val="00957A07"/>
    <w:rsid w:val="009631D1"/>
    <w:rsid w:val="009644B1"/>
    <w:rsid w:val="009653AF"/>
    <w:rsid w:val="00965FEE"/>
    <w:rsid w:val="00966093"/>
    <w:rsid w:val="0096618F"/>
    <w:rsid w:val="00967D41"/>
    <w:rsid w:val="00971048"/>
    <w:rsid w:val="0097104A"/>
    <w:rsid w:val="009733A5"/>
    <w:rsid w:val="00977DDA"/>
    <w:rsid w:val="00980BA9"/>
    <w:rsid w:val="009821AD"/>
    <w:rsid w:val="00983C77"/>
    <w:rsid w:val="0098624E"/>
    <w:rsid w:val="00986EA7"/>
    <w:rsid w:val="00987A9B"/>
    <w:rsid w:val="00991784"/>
    <w:rsid w:val="00992343"/>
    <w:rsid w:val="0099265D"/>
    <w:rsid w:val="009940B2"/>
    <w:rsid w:val="00994366"/>
    <w:rsid w:val="00995818"/>
    <w:rsid w:val="009968C5"/>
    <w:rsid w:val="009974BA"/>
    <w:rsid w:val="009A05E0"/>
    <w:rsid w:val="009A06A4"/>
    <w:rsid w:val="009A4A3A"/>
    <w:rsid w:val="009A4C21"/>
    <w:rsid w:val="009A5B23"/>
    <w:rsid w:val="009A7335"/>
    <w:rsid w:val="009B10FF"/>
    <w:rsid w:val="009B118B"/>
    <w:rsid w:val="009B1E23"/>
    <w:rsid w:val="009B5415"/>
    <w:rsid w:val="009B5775"/>
    <w:rsid w:val="009B63EB"/>
    <w:rsid w:val="009B749D"/>
    <w:rsid w:val="009C01EF"/>
    <w:rsid w:val="009C0D5C"/>
    <w:rsid w:val="009C0F03"/>
    <w:rsid w:val="009C5ED0"/>
    <w:rsid w:val="009C5FCE"/>
    <w:rsid w:val="009C62FD"/>
    <w:rsid w:val="009C7A60"/>
    <w:rsid w:val="009D234E"/>
    <w:rsid w:val="009D4D76"/>
    <w:rsid w:val="009D5E82"/>
    <w:rsid w:val="009D76DE"/>
    <w:rsid w:val="009D7869"/>
    <w:rsid w:val="009E1E46"/>
    <w:rsid w:val="009E327A"/>
    <w:rsid w:val="009E3EAC"/>
    <w:rsid w:val="009E3F7B"/>
    <w:rsid w:val="009E5A59"/>
    <w:rsid w:val="009E767D"/>
    <w:rsid w:val="009F2158"/>
    <w:rsid w:val="009F3279"/>
    <w:rsid w:val="009F3706"/>
    <w:rsid w:val="009F5F59"/>
    <w:rsid w:val="009F793B"/>
    <w:rsid w:val="00A0271F"/>
    <w:rsid w:val="00A04DDA"/>
    <w:rsid w:val="00A06D3F"/>
    <w:rsid w:val="00A11C82"/>
    <w:rsid w:val="00A13326"/>
    <w:rsid w:val="00A1343D"/>
    <w:rsid w:val="00A13AF8"/>
    <w:rsid w:val="00A15FFD"/>
    <w:rsid w:val="00A160CA"/>
    <w:rsid w:val="00A160DB"/>
    <w:rsid w:val="00A164F6"/>
    <w:rsid w:val="00A16D6F"/>
    <w:rsid w:val="00A17C4D"/>
    <w:rsid w:val="00A20A80"/>
    <w:rsid w:val="00A2315D"/>
    <w:rsid w:val="00A2651E"/>
    <w:rsid w:val="00A271D1"/>
    <w:rsid w:val="00A31836"/>
    <w:rsid w:val="00A3330E"/>
    <w:rsid w:val="00A364E5"/>
    <w:rsid w:val="00A400CB"/>
    <w:rsid w:val="00A41329"/>
    <w:rsid w:val="00A473FE"/>
    <w:rsid w:val="00A51A6F"/>
    <w:rsid w:val="00A52CD5"/>
    <w:rsid w:val="00A55D34"/>
    <w:rsid w:val="00A55D93"/>
    <w:rsid w:val="00A56FDF"/>
    <w:rsid w:val="00A6140F"/>
    <w:rsid w:val="00A61A26"/>
    <w:rsid w:val="00A61DA7"/>
    <w:rsid w:val="00A62CDF"/>
    <w:rsid w:val="00A62E41"/>
    <w:rsid w:val="00A64CF6"/>
    <w:rsid w:val="00A64FB5"/>
    <w:rsid w:val="00A66363"/>
    <w:rsid w:val="00A664A3"/>
    <w:rsid w:val="00A66922"/>
    <w:rsid w:val="00A72599"/>
    <w:rsid w:val="00A727BA"/>
    <w:rsid w:val="00A72E65"/>
    <w:rsid w:val="00A75709"/>
    <w:rsid w:val="00A77E34"/>
    <w:rsid w:val="00A806A1"/>
    <w:rsid w:val="00A80A7C"/>
    <w:rsid w:val="00A83436"/>
    <w:rsid w:val="00A8358C"/>
    <w:rsid w:val="00A86589"/>
    <w:rsid w:val="00A87E33"/>
    <w:rsid w:val="00A9098D"/>
    <w:rsid w:val="00A90ACC"/>
    <w:rsid w:val="00A92294"/>
    <w:rsid w:val="00A924A4"/>
    <w:rsid w:val="00A92C4E"/>
    <w:rsid w:val="00A932A0"/>
    <w:rsid w:val="00A9416A"/>
    <w:rsid w:val="00A952F5"/>
    <w:rsid w:val="00AA0045"/>
    <w:rsid w:val="00AA2921"/>
    <w:rsid w:val="00AA503B"/>
    <w:rsid w:val="00AB3458"/>
    <w:rsid w:val="00AB5EB8"/>
    <w:rsid w:val="00AB6A66"/>
    <w:rsid w:val="00AB7931"/>
    <w:rsid w:val="00AC0EC5"/>
    <w:rsid w:val="00AC1673"/>
    <w:rsid w:val="00AC3F75"/>
    <w:rsid w:val="00AC45A8"/>
    <w:rsid w:val="00AC7DC7"/>
    <w:rsid w:val="00AD0041"/>
    <w:rsid w:val="00AD1369"/>
    <w:rsid w:val="00AD379C"/>
    <w:rsid w:val="00AE2F27"/>
    <w:rsid w:val="00AE4493"/>
    <w:rsid w:val="00AE46A2"/>
    <w:rsid w:val="00AE4AA5"/>
    <w:rsid w:val="00AE4C91"/>
    <w:rsid w:val="00AE4E69"/>
    <w:rsid w:val="00AE716D"/>
    <w:rsid w:val="00AF0A72"/>
    <w:rsid w:val="00AF28E8"/>
    <w:rsid w:val="00AF2BB6"/>
    <w:rsid w:val="00AF44A0"/>
    <w:rsid w:val="00AF7417"/>
    <w:rsid w:val="00B00179"/>
    <w:rsid w:val="00B00866"/>
    <w:rsid w:val="00B011EE"/>
    <w:rsid w:val="00B01448"/>
    <w:rsid w:val="00B07F63"/>
    <w:rsid w:val="00B119EF"/>
    <w:rsid w:val="00B12A94"/>
    <w:rsid w:val="00B1541C"/>
    <w:rsid w:val="00B1568F"/>
    <w:rsid w:val="00B15A2C"/>
    <w:rsid w:val="00B20375"/>
    <w:rsid w:val="00B22485"/>
    <w:rsid w:val="00B22D7B"/>
    <w:rsid w:val="00B2524A"/>
    <w:rsid w:val="00B25F24"/>
    <w:rsid w:val="00B2653F"/>
    <w:rsid w:val="00B267F6"/>
    <w:rsid w:val="00B27B5F"/>
    <w:rsid w:val="00B311DA"/>
    <w:rsid w:val="00B31718"/>
    <w:rsid w:val="00B32312"/>
    <w:rsid w:val="00B328D0"/>
    <w:rsid w:val="00B33C4C"/>
    <w:rsid w:val="00B36B6E"/>
    <w:rsid w:val="00B374BF"/>
    <w:rsid w:val="00B41C13"/>
    <w:rsid w:val="00B42495"/>
    <w:rsid w:val="00B428B2"/>
    <w:rsid w:val="00B450A0"/>
    <w:rsid w:val="00B45B9C"/>
    <w:rsid w:val="00B46717"/>
    <w:rsid w:val="00B52F99"/>
    <w:rsid w:val="00B5302F"/>
    <w:rsid w:val="00B54088"/>
    <w:rsid w:val="00B546F2"/>
    <w:rsid w:val="00B56749"/>
    <w:rsid w:val="00B5782E"/>
    <w:rsid w:val="00B57B14"/>
    <w:rsid w:val="00B6031F"/>
    <w:rsid w:val="00B62798"/>
    <w:rsid w:val="00B7023B"/>
    <w:rsid w:val="00B712F5"/>
    <w:rsid w:val="00B747F0"/>
    <w:rsid w:val="00B75084"/>
    <w:rsid w:val="00B762EF"/>
    <w:rsid w:val="00B767BB"/>
    <w:rsid w:val="00B7701B"/>
    <w:rsid w:val="00B777DA"/>
    <w:rsid w:val="00B777FA"/>
    <w:rsid w:val="00B77B74"/>
    <w:rsid w:val="00B8126B"/>
    <w:rsid w:val="00B82C96"/>
    <w:rsid w:val="00B82E59"/>
    <w:rsid w:val="00B84B41"/>
    <w:rsid w:val="00B84D3B"/>
    <w:rsid w:val="00B84E77"/>
    <w:rsid w:val="00B87448"/>
    <w:rsid w:val="00B902B0"/>
    <w:rsid w:val="00B90F50"/>
    <w:rsid w:val="00B92A6B"/>
    <w:rsid w:val="00B94568"/>
    <w:rsid w:val="00B971DA"/>
    <w:rsid w:val="00BA051A"/>
    <w:rsid w:val="00BA0CD9"/>
    <w:rsid w:val="00BA30D3"/>
    <w:rsid w:val="00BA3F9D"/>
    <w:rsid w:val="00BA636E"/>
    <w:rsid w:val="00BB1A32"/>
    <w:rsid w:val="00BB24F2"/>
    <w:rsid w:val="00BB3D9E"/>
    <w:rsid w:val="00BB4B94"/>
    <w:rsid w:val="00BB4C6E"/>
    <w:rsid w:val="00BB56E5"/>
    <w:rsid w:val="00BB5EDC"/>
    <w:rsid w:val="00BB5F6E"/>
    <w:rsid w:val="00BB7523"/>
    <w:rsid w:val="00BC0C09"/>
    <w:rsid w:val="00BC30D4"/>
    <w:rsid w:val="00BC44BF"/>
    <w:rsid w:val="00BC4D5E"/>
    <w:rsid w:val="00BC6361"/>
    <w:rsid w:val="00BC7677"/>
    <w:rsid w:val="00BC7750"/>
    <w:rsid w:val="00BC7A54"/>
    <w:rsid w:val="00BD0A38"/>
    <w:rsid w:val="00BD123A"/>
    <w:rsid w:val="00BD1C20"/>
    <w:rsid w:val="00BD26DF"/>
    <w:rsid w:val="00BD2A48"/>
    <w:rsid w:val="00BD2C41"/>
    <w:rsid w:val="00BD3C51"/>
    <w:rsid w:val="00BD5325"/>
    <w:rsid w:val="00BD5925"/>
    <w:rsid w:val="00BD6287"/>
    <w:rsid w:val="00BD6E3A"/>
    <w:rsid w:val="00BD7197"/>
    <w:rsid w:val="00BE0E4D"/>
    <w:rsid w:val="00BE3C7A"/>
    <w:rsid w:val="00BE4ADD"/>
    <w:rsid w:val="00BE6D95"/>
    <w:rsid w:val="00BE7931"/>
    <w:rsid w:val="00BE7E03"/>
    <w:rsid w:val="00BF0DC0"/>
    <w:rsid w:val="00BF1547"/>
    <w:rsid w:val="00BF22E0"/>
    <w:rsid w:val="00BF2810"/>
    <w:rsid w:val="00BF3C4E"/>
    <w:rsid w:val="00BF4312"/>
    <w:rsid w:val="00BF55DB"/>
    <w:rsid w:val="00BF56EE"/>
    <w:rsid w:val="00BF5FC3"/>
    <w:rsid w:val="00BF7931"/>
    <w:rsid w:val="00C02F75"/>
    <w:rsid w:val="00C02FA8"/>
    <w:rsid w:val="00C03DF4"/>
    <w:rsid w:val="00C05BA5"/>
    <w:rsid w:val="00C10956"/>
    <w:rsid w:val="00C113FE"/>
    <w:rsid w:val="00C12CC6"/>
    <w:rsid w:val="00C14C0E"/>
    <w:rsid w:val="00C15F2D"/>
    <w:rsid w:val="00C16156"/>
    <w:rsid w:val="00C1622F"/>
    <w:rsid w:val="00C20096"/>
    <w:rsid w:val="00C24831"/>
    <w:rsid w:val="00C25374"/>
    <w:rsid w:val="00C27F67"/>
    <w:rsid w:val="00C334C2"/>
    <w:rsid w:val="00C34C24"/>
    <w:rsid w:val="00C359E5"/>
    <w:rsid w:val="00C35E02"/>
    <w:rsid w:val="00C3647E"/>
    <w:rsid w:val="00C40751"/>
    <w:rsid w:val="00C40B92"/>
    <w:rsid w:val="00C4213A"/>
    <w:rsid w:val="00C4294A"/>
    <w:rsid w:val="00C42E96"/>
    <w:rsid w:val="00C505B2"/>
    <w:rsid w:val="00C50B32"/>
    <w:rsid w:val="00C5457C"/>
    <w:rsid w:val="00C54A37"/>
    <w:rsid w:val="00C550B7"/>
    <w:rsid w:val="00C5690A"/>
    <w:rsid w:val="00C56972"/>
    <w:rsid w:val="00C57849"/>
    <w:rsid w:val="00C61D31"/>
    <w:rsid w:val="00C61EE2"/>
    <w:rsid w:val="00C67287"/>
    <w:rsid w:val="00C73D10"/>
    <w:rsid w:val="00C75A62"/>
    <w:rsid w:val="00C807C8"/>
    <w:rsid w:val="00C817C5"/>
    <w:rsid w:val="00C8270B"/>
    <w:rsid w:val="00C8304E"/>
    <w:rsid w:val="00C839A0"/>
    <w:rsid w:val="00C83C04"/>
    <w:rsid w:val="00C84969"/>
    <w:rsid w:val="00C84BF5"/>
    <w:rsid w:val="00C90140"/>
    <w:rsid w:val="00C90358"/>
    <w:rsid w:val="00C9141C"/>
    <w:rsid w:val="00C96B8F"/>
    <w:rsid w:val="00CA0E99"/>
    <w:rsid w:val="00CA4BB2"/>
    <w:rsid w:val="00CA50BA"/>
    <w:rsid w:val="00CA736C"/>
    <w:rsid w:val="00CB20DE"/>
    <w:rsid w:val="00CB2D79"/>
    <w:rsid w:val="00CB361A"/>
    <w:rsid w:val="00CB3F3E"/>
    <w:rsid w:val="00CB42A8"/>
    <w:rsid w:val="00CB464F"/>
    <w:rsid w:val="00CB4A31"/>
    <w:rsid w:val="00CB74CE"/>
    <w:rsid w:val="00CB7F67"/>
    <w:rsid w:val="00CC05AE"/>
    <w:rsid w:val="00CC09C0"/>
    <w:rsid w:val="00CC2421"/>
    <w:rsid w:val="00CC2880"/>
    <w:rsid w:val="00CC2E84"/>
    <w:rsid w:val="00CC3150"/>
    <w:rsid w:val="00CC31FF"/>
    <w:rsid w:val="00CC3F59"/>
    <w:rsid w:val="00CC4DC6"/>
    <w:rsid w:val="00CC50F7"/>
    <w:rsid w:val="00CC69AF"/>
    <w:rsid w:val="00CC7B08"/>
    <w:rsid w:val="00CD04D4"/>
    <w:rsid w:val="00CD3A7E"/>
    <w:rsid w:val="00CD5C1E"/>
    <w:rsid w:val="00CD6C76"/>
    <w:rsid w:val="00CD6E46"/>
    <w:rsid w:val="00CD7697"/>
    <w:rsid w:val="00CE3F1F"/>
    <w:rsid w:val="00CE4F0B"/>
    <w:rsid w:val="00CE5722"/>
    <w:rsid w:val="00CF092C"/>
    <w:rsid w:val="00CF150F"/>
    <w:rsid w:val="00CF46A6"/>
    <w:rsid w:val="00CF52D3"/>
    <w:rsid w:val="00CF7FC1"/>
    <w:rsid w:val="00D00E97"/>
    <w:rsid w:val="00D011A6"/>
    <w:rsid w:val="00D03190"/>
    <w:rsid w:val="00D033BD"/>
    <w:rsid w:val="00D035E8"/>
    <w:rsid w:val="00D03BB7"/>
    <w:rsid w:val="00D040F5"/>
    <w:rsid w:val="00D048AD"/>
    <w:rsid w:val="00D056FC"/>
    <w:rsid w:val="00D05A15"/>
    <w:rsid w:val="00D10A8A"/>
    <w:rsid w:val="00D15736"/>
    <w:rsid w:val="00D165BD"/>
    <w:rsid w:val="00D17ABD"/>
    <w:rsid w:val="00D211CF"/>
    <w:rsid w:val="00D227E5"/>
    <w:rsid w:val="00D30C0B"/>
    <w:rsid w:val="00D31F7F"/>
    <w:rsid w:val="00D32E92"/>
    <w:rsid w:val="00D347FC"/>
    <w:rsid w:val="00D34802"/>
    <w:rsid w:val="00D35080"/>
    <w:rsid w:val="00D37368"/>
    <w:rsid w:val="00D41C12"/>
    <w:rsid w:val="00D44A92"/>
    <w:rsid w:val="00D45B10"/>
    <w:rsid w:val="00D464A0"/>
    <w:rsid w:val="00D47CBF"/>
    <w:rsid w:val="00D55343"/>
    <w:rsid w:val="00D61D4B"/>
    <w:rsid w:val="00D62B4F"/>
    <w:rsid w:val="00D63A3F"/>
    <w:rsid w:val="00D63C65"/>
    <w:rsid w:val="00D652B8"/>
    <w:rsid w:val="00D663E0"/>
    <w:rsid w:val="00D66A2E"/>
    <w:rsid w:val="00D67F02"/>
    <w:rsid w:val="00D706EE"/>
    <w:rsid w:val="00D70C8F"/>
    <w:rsid w:val="00D71248"/>
    <w:rsid w:val="00D761B3"/>
    <w:rsid w:val="00D76936"/>
    <w:rsid w:val="00D7729E"/>
    <w:rsid w:val="00D77E42"/>
    <w:rsid w:val="00D82D91"/>
    <w:rsid w:val="00D83442"/>
    <w:rsid w:val="00D845F3"/>
    <w:rsid w:val="00D84FBD"/>
    <w:rsid w:val="00D85161"/>
    <w:rsid w:val="00D8587D"/>
    <w:rsid w:val="00D85C2B"/>
    <w:rsid w:val="00D87BC5"/>
    <w:rsid w:val="00D87D0A"/>
    <w:rsid w:val="00D928F5"/>
    <w:rsid w:val="00D93BC2"/>
    <w:rsid w:val="00D953DE"/>
    <w:rsid w:val="00D966AC"/>
    <w:rsid w:val="00D97A83"/>
    <w:rsid w:val="00DA0D52"/>
    <w:rsid w:val="00DA39C0"/>
    <w:rsid w:val="00DA5212"/>
    <w:rsid w:val="00DA6F21"/>
    <w:rsid w:val="00DA747B"/>
    <w:rsid w:val="00DB14BA"/>
    <w:rsid w:val="00DB6060"/>
    <w:rsid w:val="00DB60A5"/>
    <w:rsid w:val="00DB69C7"/>
    <w:rsid w:val="00DC0F18"/>
    <w:rsid w:val="00DC11DD"/>
    <w:rsid w:val="00DC12E6"/>
    <w:rsid w:val="00DC20EA"/>
    <w:rsid w:val="00DC4597"/>
    <w:rsid w:val="00DC490D"/>
    <w:rsid w:val="00DD1638"/>
    <w:rsid w:val="00DD1A9A"/>
    <w:rsid w:val="00DD22E0"/>
    <w:rsid w:val="00DD37C9"/>
    <w:rsid w:val="00DD394E"/>
    <w:rsid w:val="00DD795E"/>
    <w:rsid w:val="00DD7FC5"/>
    <w:rsid w:val="00DE1832"/>
    <w:rsid w:val="00DE22E4"/>
    <w:rsid w:val="00DE2507"/>
    <w:rsid w:val="00DE30F9"/>
    <w:rsid w:val="00DE4623"/>
    <w:rsid w:val="00DE57B5"/>
    <w:rsid w:val="00DF0B51"/>
    <w:rsid w:val="00DF16C0"/>
    <w:rsid w:val="00DF2DD9"/>
    <w:rsid w:val="00DF36C8"/>
    <w:rsid w:val="00DF370F"/>
    <w:rsid w:val="00DF5012"/>
    <w:rsid w:val="00DF5CA5"/>
    <w:rsid w:val="00DF5E5C"/>
    <w:rsid w:val="00DF6EB3"/>
    <w:rsid w:val="00E003B8"/>
    <w:rsid w:val="00E0140E"/>
    <w:rsid w:val="00E03578"/>
    <w:rsid w:val="00E04163"/>
    <w:rsid w:val="00E043C2"/>
    <w:rsid w:val="00E05AB4"/>
    <w:rsid w:val="00E07D0C"/>
    <w:rsid w:val="00E1282D"/>
    <w:rsid w:val="00E1368C"/>
    <w:rsid w:val="00E13EBD"/>
    <w:rsid w:val="00E13FBF"/>
    <w:rsid w:val="00E156DD"/>
    <w:rsid w:val="00E167AF"/>
    <w:rsid w:val="00E167E6"/>
    <w:rsid w:val="00E21046"/>
    <w:rsid w:val="00E2109F"/>
    <w:rsid w:val="00E259FC"/>
    <w:rsid w:val="00E25D43"/>
    <w:rsid w:val="00E26884"/>
    <w:rsid w:val="00E26F12"/>
    <w:rsid w:val="00E34048"/>
    <w:rsid w:val="00E3498B"/>
    <w:rsid w:val="00E35D87"/>
    <w:rsid w:val="00E40053"/>
    <w:rsid w:val="00E41F37"/>
    <w:rsid w:val="00E4254C"/>
    <w:rsid w:val="00E46CED"/>
    <w:rsid w:val="00E47587"/>
    <w:rsid w:val="00E47918"/>
    <w:rsid w:val="00E5016B"/>
    <w:rsid w:val="00E52312"/>
    <w:rsid w:val="00E538C8"/>
    <w:rsid w:val="00E5456F"/>
    <w:rsid w:val="00E54DF5"/>
    <w:rsid w:val="00E5773B"/>
    <w:rsid w:val="00E607CD"/>
    <w:rsid w:val="00E608BE"/>
    <w:rsid w:val="00E6299B"/>
    <w:rsid w:val="00E62B98"/>
    <w:rsid w:val="00E62F75"/>
    <w:rsid w:val="00E6338C"/>
    <w:rsid w:val="00E643B1"/>
    <w:rsid w:val="00E64F96"/>
    <w:rsid w:val="00E65065"/>
    <w:rsid w:val="00E662CD"/>
    <w:rsid w:val="00E6659B"/>
    <w:rsid w:val="00E71933"/>
    <w:rsid w:val="00E729A9"/>
    <w:rsid w:val="00E732AE"/>
    <w:rsid w:val="00E759C5"/>
    <w:rsid w:val="00E76D8E"/>
    <w:rsid w:val="00E818D2"/>
    <w:rsid w:val="00E83D06"/>
    <w:rsid w:val="00E84CD2"/>
    <w:rsid w:val="00E85A3E"/>
    <w:rsid w:val="00E90D72"/>
    <w:rsid w:val="00E90F30"/>
    <w:rsid w:val="00E916D9"/>
    <w:rsid w:val="00E92577"/>
    <w:rsid w:val="00E92A5C"/>
    <w:rsid w:val="00E936EF"/>
    <w:rsid w:val="00E9370C"/>
    <w:rsid w:val="00E937B2"/>
    <w:rsid w:val="00E93A6A"/>
    <w:rsid w:val="00E9567D"/>
    <w:rsid w:val="00E96674"/>
    <w:rsid w:val="00E9670A"/>
    <w:rsid w:val="00E97B44"/>
    <w:rsid w:val="00EA358E"/>
    <w:rsid w:val="00EA479D"/>
    <w:rsid w:val="00EA52C3"/>
    <w:rsid w:val="00EA5ACF"/>
    <w:rsid w:val="00EA6742"/>
    <w:rsid w:val="00EB05E6"/>
    <w:rsid w:val="00EB2873"/>
    <w:rsid w:val="00EB57A7"/>
    <w:rsid w:val="00EC2CDE"/>
    <w:rsid w:val="00EC4AD2"/>
    <w:rsid w:val="00ED0CB6"/>
    <w:rsid w:val="00ED4FCB"/>
    <w:rsid w:val="00ED6FB6"/>
    <w:rsid w:val="00ED7DD1"/>
    <w:rsid w:val="00EE0A99"/>
    <w:rsid w:val="00EE0D39"/>
    <w:rsid w:val="00EE0F53"/>
    <w:rsid w:val="00EE205F"/>
    <w:rsid w:val="00EE40E2"/>
    <w:rsid w:val="00EE53F8"/>
    <w:rsid w:val="00EE547F"/>
    <w:rsid w:val="00EF486F"/>
    <w:rsid w:val="00EF541C"/>
    <w:rsid w:val="00EF6DAE"/>
    <w:rsid w:val="00EF7453"/>
    <w:rsid w:val="00F0034E"/>
    <w:rsid w:val="00F005DA"/>
    <w:rsid w:val="00F00FDC"/>
    <w:rsid w:val="00F02E4A"/>
    <w:rsid w:val="00F0644A"/>
    <w:rsid w:val="00F06592"/>
    <w:rsid w:val="00F06AD4"/>
    <w:rsid w:val="00F07350"/>
    <w:rsid w:val="00F07393"/>
    <w:rsid w:val="00F10F86"/>
    <w:rsid w:val="00F11A4A"/>
    <w:rsid w:val="00F12B32"/>
    <w:rsid w:val="00F144BC"/>
    <w:rsid w:val="00F15031"/>
    <w:rsid w:val="00F15A8E"/>
    <w:rsid w:val="00F15D75"/>
    <w:rsid w:val="00F15E98"/>
    <w:rsid w:val="00F16528"/>
    <w:rsid w:val="00F16B87"/>
    <w:rsid w:val="00F16FAD"/>
    <w:rsid w:val="00F21659"/>
    <w:rsid w:val="00F253D0"/>
    <w:rsid w:val="00F25CC1"/>
    <w:rsid w:val="00F27538"/>
    <w:rsid w:val="00F3411B"/>
    <w:rsid w:val="00F3416E"/>
    <w:rsid w:val="00F3572B"/>
    <w:rsid w:val="00F36E7F"/>
    <w:rsid w:val="00F37D2D"/>
    <w:rsid w:val="00F40E07"/>
    <w:rsid w:val="00F46E1C"/>
    <w:rsid w:val="00F477DD"/>
    <w:rsid w:val="00F501DB"/>
    <w:rsid w:val="00F5055B"/>
    <w:rsid w:val="00F5110B"/>
    <w:rsid w:val="00F5363D"/>
    <w:rsid w:val="00F546C7"/>
    <w:rsid w:val="00F54C81"/>
    <w:rsid w:val="00F57077"/>
    <w:rsid w:val="00F601AC"/>
    <w:rsid w:val="00F6295F"/>
    <w:rsid w:val="00F62EA9"/>
    <w:rsid w:val="00F630F9"/>
    <w:rsid w:val="00F63175"/>
    <w:rsid w:val="00F63B66"/>
    <w:rsid w:val="00F65140"/>
    <w:rsid w:val="00F66B23"/>
    <w:rsid w:val="00F70043"/>
    <w:rsid w:val="00F70E07"/>
    <w:rsid w:val="00F71B8E"/>
    <w:rsid w:val="00F7278B"/>
    <w:rsid w:val="00F7334F"/>
    <w:rsid w:val="00F735AF"/>
    <w:rsid w:val="00F73A52"/>
    <w:rsid w:val="00F7430F"/>
    <w:rsid w:val="00F757EE"/>
    <w:rsid w:val="00F75DA2"/>
    <w:rsid w:val="00F76E9E"/>
    <w:rsid w:val="00F7724A"/>
    <w:rsid w:val="00F77264"/>
    <w:rsid w:val="00F779D9"/>
    <w:rsid w:val="00F8030E"/>
    <w:rsid w:val="00F81522"/>
    <w:rsid w:val="00F82B9B"/>
    <w:rsid w:val="00F82CEA"/>
    <w:rsid w:val="00F83C19"/>
    <w:rsid w:val="00F85635"/>
    <w:rsid w:val="00F87584"/>
    <w:rsid w:val="00F90041"/>
    <w:rsid w:val="00F91218"/>
    <w:rsid w:val="00F91295"/>
    <w:rsid w:val="00F91BEF"/>
    <w:rsid w:val="00F961F0"/>
    <w:rsid w:val="00FA237F"/>
    <w:rsid w:val="00FA2588"/>
    <w:rsid w:val="00FA2DEA"/>
    <w:rsid w:val="00FA36FA"/>
    <w:rsid w:val="00FA4DCC"/>
    <w:rsid w:val="00FA5121"/>
    <w:rsid w:val="00FB1949"/>
    <w:rsid w:val="00FB1E01"/>
    <w:rsid w:val="00FB29CA"/>
    <w:rsid w:val="00FB3019"/>
    <w:rsid w:val="00FB4764"/>
    <w:rsid w:val="00FB569E"/>
    <w:rsid w:val="00FC17BD"/>
    <w:rsid w:val="00FC2CFA"/>
    <w:rsid w:val="00FC3AA1"/>
    <w:rsid w:val="00FC3B1D"/>
    <w:rsid w:val="00FC42F3"/>
    <w:rsid w:val="00FC5535"/>
    <w:rsid w:val="00FC612F"/>
    <w:rsid w:val="00FC7119"/>
    <w:rsid w:val="00FD25F6"/>
    <w:rsid w:val="00FD5B5F"/>
    <w:rsid w:val="00FE0774"/>
    <w:rsid w:val="00FE192A"/>
    <w:rsid w:val="00FE1A2D"/>
    <w:rsid w:val="00FF24A6"/>
    <w:rsid w:val="00FF27BD"/>
    <w:rsid w:val="00FF32FE"/>
    <w:rsid w:val="00FF4550"/>
    <w:rsid w:val="00FF4C6D"/>
    <w:rsid w:val="00FF55FE"/>
    <w:rsid w:val="00FF764D"/>
    <w:rsid w:val="00FF7D97"/>
    <w:rsid w:val="01014E09"/>
    <w:rsid w:val="01102D45"/>
    <w:rsid w:val="01194E3A"/>
    <w:rsid w:val="011D25DB"/>
    <w:rsid w:val="011D4E9E"/>
    <w:rsid w:val="011E014F"/>
    <w:rsid w:val="01241B7F"/>
    <w:rsid w:val="0128142A"/>
    <w:rsid w:val="012E1F82"/>
    <w:rsid w:val="012E2FDA"/>
    <w:rsid w:val="013222D1"/>
    <w:rsid w:val="01330C2B"/>
    <w:rsid w:val="0133494B"/>
    <w:rsid w:val="01360875"/>
    <w:rsid w:val="0137579B"/>
    <w:rsid w:val="013C4408"/>
    <w:rsid w:val="013D2EAE"/>
    <w:rsid w:val="01471EE9"/>
    <w:rsid w:val="01486C23"/>
    <w:rsid w:val="014D2996"/>
    <w:rsid w:val="0155714D"/>
    <w:rsid w:val="01677AB3"/>
    <w:rsid w:val="01767484"/>
    <w:rsid w:val="017C3319"/>
    <w:rsid w:val="01814B58"/>
    <w:rsid w:val="018446DD"/>
    <w:rsid w:val="01872B7F"/>
    <w:rsid w:val="01A75AAA"/>
    <w:rsid w:val="01AC3E6A"/>
    <w:rsid w:val="01C207A1"/>
    <w:rsid w:val="01C548D1"/>
    <w:rsid w:val="01C75F05"/>
    <w:rsid w:val="01D61765"/>
    <w:rsid w:val="01D83CCB"/>
    <w:rsid w:val="01DD2E28"/>
    <w:rsid w:val="01DE09C0"/>
    <w:rsid w:val="01E51F91"/>
    <w:rsid w:val="01FB5D6E"/>
    <w:rsid w:val="02027CEC"/>
    <w:rsid w:val="020447EF"/>
    <w:rsid w:val="0207520E"/>
    <w:rsid w:val="020B4FD7"/>
    <w:rsid w:val="021725D6"/>
    <w:rsid w:val="021F32E7"/>
    <w:rsid w:val="0226135C"/>
    <w:rsid w:val="02480EC2"/>
    <w:rsid w:val="025B6319"/>
    <w:rsid w:val="026765FB"/>
    <w:rsid w:val="027A43D8"/>
    <w:rsid w:val="027A7604"/>
    <w:rsid w:val="028433E6"/>
    <w:rsid w:val="0284575C"/>
    <w:rsid w:val="02971468"/>
    <w:rsid w:val="029B7E68"/>
    <w:rsid w:val="02A77551"/>
    <w:rsid w:val="02B11862"/>
    <w:rsid w:val="02B30886"/>
    <w:rsid w:val="02B57417"/>
    <w:rsid w:val="02B86240"/>
    <w:rsid w:val="02B954BA"/>
    <w:rsid w:val="02BB0A85"/>
    <w:rsid w:val="02BD1CD0"/>
    <w:rsid w:val="02D50E51"/>
    <w:rsid w:val="02D862F6"/>
    <w:rsid w:val="02D96002"/>
    <w:rsid w:val="02DC37FA"/>
    <w:rsid w:val="02E653AF"/>
    <w:rsid w:val="02EC22AC"/>
    <w:rsid w:val="02F276E1"/>
    <w:rsid w:val="031F75C4"/>
    <w:rsid w:val="032C5D5B"/>
    <w:rsid w:val="03383D1A"/>
    <w:rsid w:val="033C64CC"/>
    <w:rsid w:val="03603903"/>
    <w:rsid w:val="037D384D"/>
    <w:rsid w:val="037F5561"/>
    <w:rsid w:val="03830006"/>
    <w:rsid w:val="038639A8"/>
    <w:rsid w:val="038B61CD"/>
    <w:rsid w:val="039501DC"/>
    <w:rsid w:val="03976E3A"/>
    <w:rsid w:val="03991699"/>
    <w:rsid w:val="039C0C30"/>
    <w:rsid w:val="03A42DEA"/>
    <w:rsid w:val="03A87496"/>
    <w:rsid w:val="03B44B0C"/>
    <w:rsid w:val="03E445AE"/>
    <w:rsid w:val="03F25560"/>
    <w:rsid w:val="03F56AFF"/>
    <w:rsid w:val="03FF285E"/>
    <w:rsid w:val="040110FE"/>
    <w:rsid w:val="040E0E10"/>
    <w:rsid w:val="040E4648"/>
    <w:rsid w:val="04242BB0"/>
    <w:rsid w:val="042674F5"/>
    <w:rsid w:val="042F4BD2"/>
    <w:rsid w:val="04410500"/>
    <w:rsid w:val="04485D81"/>
    <w:rsid w:val="04496C9E"/>
    <w:rsid w:val="044A2CDF"/>
    <w:rsid w:val="044F19C7"/>
    <w:rsid w:val="04502474"/>
    <w:rsid w:val="04521695"/>
    <w:rsid w:val="045923D9"/>
    <w:rsid w:val="04660C89"/>
    <w:rsid w:val="047771AA"/>
    <w:rsid w:val="04840050"/>
    <w:rsid w:val="048B18C4"/>
    <w:rsid w:val="048B5013"/>
    <w:rsid w:val="04921A0D"/>
    <w:rsid w:val="049E5FA0"/>
    <w:rsid w:val="04A674F9"/>
    <w:rsid w:val="04A740CB"/>
    <w:rsid w:val="04A80713"/>
    <w:rsid w:val="04B81C99"/>
    <w:rsid w:val="04BB2326"/>
    <w:rsid w:val="04BC7130"/>
    <w:rsid w:val="04CB06EA"/>
    <w:rsid w:val="04D32945"/>
    <w:rsid w:val="04D868A7"/>
    <w:rsid w:val="04EB12DE"/>
    <w:rsid w:val="04ED1604"/>
    <w:rsid w:val="04FE1D1F"/>
    <w:rsid w:val="04FF2B6B"/>
    <w:rsid w:val="05096023"/>
    <w:rsid w:val="05096B05"/>
    <w:rsid w:val="050E5351"/>
    <w:rsid w:val="05101102"/>
    <w:rsid w:val="05122BBB"/>
    <w:rsid w:val="051D4BB4"/>
    <w:rsid w:val="05281101"/>
    <w:rsid w:val="052B764B"/>
    <w:rsid w:val="05383BFB"/>
    <w:rsid w:val="053A4571"/>
    <w:rsid w:val="05443E0E"/>
    <w:rsid w:val="05587AB9"/>
    <w:rsid w:val="05587F40"/>
    <w:rsid w:val="055A6703"/>
    <w:rsid w:val="05664DED"/>
    <w:rsid w:val="056E0F61"/>
    <w:rsid w:val="05863F8C"/>
    <w:rsid w:val="059232BC"/>
    <w:rsid w:val="05925832"/>
    <w:rsid w:val="05961A6A"/>
    <w:rsid w:val="05A312D7"/>
    <w:rsid w:val="05B1736B"/>
    <w:rsid w:val="05BE5E96"/>
    <w:rsid w:val="05BE6E15"/>
    <w:rsid w:val="05C062C7"/>
    <w:rsid w:val="05CB200E"/>
    <w:rsid w:val="05D769DD"/>
    <w:rsid w:val="05DF090D"/>
    <w:rsid w:val="05E03869"/>
    <w:rsid w:val="05EC63FC"/>
    <w:rsid w:val="05F424EE"/>
    <w:rsid w:val="05F77A09"/>
    <w:rsid w:val="05FC42DC"/>
    <w:rsid w:val="05FD1058"/>
    <w:rsid w:val="060078FC"/>
    <w:rsid w:val="060B4887"/>
    <w:rsid w:val="06124763"/>
    <w:rsid w:val="06143FE3"/>
    <w:rsid w:val="061B47A6"/>
    <w:rsid w:val="061E2B29"/>
    <w:rsid w:val="06212A18"/>
    <w:rsid w:val="06241EF3"/>
    <w:rsid w:val="06266472"/>
    <w:rsid w:val="06270B1C"/>
    <w:rsid w:val="06360265"/>
    <w:rsid w:val="063D028D"/>
    <w:rsid w:val="063E6E7F"/>
    <w:rsid w:val="0648644E"/>
    <w:rsid w:val="064D467D"/>
    <w:rsid w:val="06516022"/>
    <w:rsid w:val="06593D32"/>
    <w:rsid w:val="06790B95"/>
    <w:rsid w:val="06884877"/>
    <w:rsid w:val="068944B0"/>
    <w:rsid w:val="068E0EF1"/>
    <w:rsid w:val="0690025C"/>
    <w:rsid w:val="069A720D"/>
    <w:rsid w:val="069B0D62"/>
    <w:rsid w:val="069C2A51"/>
    <w:rsid w:val="06A332BA"/>
    <w:rsid w:val="06A63780"/>
    <w:rsid w:val="06AB43F6"/>
    <w:rsid w:val="06C01A57"/>
    <w:rsid w:val="06E035EA"/>
    <w:rsid w:val="06E47CD1"/>
    <w:rsid w:val="06E47D4B"/>
    <w:rsid w:val="06EA25F2"/>
    <w:rsid w:val="06ED1ED3"/>
    <w:rsid w:val="06ED487D"/>
    <w:rsid w:val="06EE03B1"/>
    <w:rsid w:val="070765CE"/>
    <w:rsid w:val="07111DD1"/>
    <w:rsid w:val="071708F8"/>
    <w:rsid w:val="071A3377"/>
    <w:rsid w:val="071B1770"/>
    <w:rsid w:val="071E0E7E"/>
    <w:rsid w:val="07210FE3"/>
    <w:rsid w:val="072B3F72"/>
    <w:rsid w:val="07312988"/>
    <w:rsid w:val="0741484A"/>
    <w:rsid w:val="0746368A"/>
    <w:rsid w:val="074A77DE"/>
    <w:rsid w:val="075E2861"/>
    <w:rsid w:val="076765C4"/>
    <w:rsid w:val="0768172A"/>
    <w:rsid w:val="078802AF"/>
    <w:rsid w:val="078E3AFB"/>
    <w:rsid w:val="07AA6F40"/>
    <w:rsid w:val="07C67D19"/>
    <w:rsid w:val="07CA50A5"/>
    <w:rsid w:val="07D42DEE"/>
    <w:rsid w:val="07D65594"/>
    <w:rsid w:val="07D87E7C"/>
    <w:rsid w:val="07DA0941"/>
    <w:rsid w:val="07DE6C00"/>
    <w:rsid w:val="07E2188B"/>
    <w:rsid w:val="07E40EDA"/>
    <w:rsid w:val="08084689"/>
    <w:rsid w:val="081A623D"/>
    <w:rsid w:val="0827587F"/>
    <w:rsid w:val="082E4204"/>
    <w:rsid w:val="083008BC"/>
    <w:rsid w:val="08347E9F"/>
    <w:rsid w:val="08376B94"/>
    <w:rsid w:val="083F5B31"/>
    <w:rsid w:val="083F71C2"/>
    <w:rsid w:val="085C2A69"/>
    <w:rsid w:val="086B7740"/>
    <w:rsid w:val="086F0D26"/>
    <w:rsid w:val="08744C7C"/>
    <w:rsid w:val="087E4C55"/>
    <w:rsid w:val="08802FA9"/>
    <w:rsid w:val="088D4DD5"/>
    <w:rsid w:val="089B412F"/>
    <w:rsid w:val="08A57E77"/>
    <w:rsid w:val="08C849C3"/>
    <w:rsid w:val="08D01217"/>
    <w:rsid w:val="08D2221B"/>
    <w:rsid w:val="08E14BD3"/>
    <w:rsid w:val="08E52C4A"/>
    <w:rsid w:val="08E568BF"/>
    <w:rsid w:val="08E6704B"/>
    <w:rsid w:val="08EB7058"/>
    <w:rsid w:val="08FC1BBD"/>
    <w:rsid w:val="09024969"/>
    <w:rsid w:val="09035B0B"/>
    <w:rsid w:val="09072D2B"/>
    <w:rsid w:val="090F24A2"/>
    <w:rsid w:val="09137EF7"/>
    <w:rsid w:val="092252B2"/>
    <w:rsid w:val="09267AA9"/>
    <w:rsid w:val="092B7B85"/>
    <w:rsid w:val="092C5617"/>
    <w:rsid w:val="09302ACB"/>
    <w:rsid w:val="093123F9"/>
    <w:rsid w:val="09354F10"/>
    <w:rsid w:val="093B3F14"/>
    <w:rsid w:val="093C0E7F"/>
    <w:rsid w:val="093D2421"/>
    <w:rsid w:val="093F69C1"/>
    <w:rsid w:val="093F763A"/>
    <w:rsid w:val="09507123"/>
    <w:rsid w:val="09512FC2"/>
    <w:rsid w:val="09593228"/>
    <w:rsid w:val="095A2A79"/>
    <w:rsid w:val="095B3C34"/>
    <w:rsid w:val="09624746"/>
    <w:rsid w:val="096910A9"/>
    <w:rsid w:val="09755117"/>
    <w:rsid w:val="09766C18"/>
    <w:rsid w:val="097B1263"/>
    <w:rsid w:val="09935E76"/>
    <w:rsid w:val="09987614"/>
    <w:rsid w:val="09996C80"/>
    <w:rsid w:val="099D2645"/>
    <w:rsid w:val="099E3A27"/>
    <w:rsid w:val="09CB4684"/>
    <w:rsid w:val="09CC509B"/>
    <w:rsid w:val="09D00A44"/>
    <w:rsid w:val="09D22A07"/>
    <w:rsid w:val="09DB6F5A"/>
    <w:rsid w:val="09DC19DF"/>
    <w:rsid w:val="09DF4756"/>
    <w:rsid w:val="09E96AB1"/>
    <w:rsid w:val="09F66F32"/>
    <w:rsid w:val="0A014989"/>
    <w:rsid w:val="0A02303B"/>
    <w:rsid w:val="0A100D5A"/>
    <w:rsid w:val="0A1B6F8E"/>
    <w:rsid w:val="0A1C6F14"/>
    <w:rsid w:val="0A305DD4"/>
    <w:rsid w:val="0A392033"/>
    <w:rsid w:val="0A42188C"/>
    <w:rsid w:val="0A442BA6"/>
    <w:rsid w:val="0A4D5351"/>
    <w:rsid w:val="0A4E04DE"/>
    <w:rsid w:val="0A4E47BE"/>
    <w:rsid w:val="0A552E98"/>
    <w:rsid w:val="0A554CA6"/>
    <w:rsid w:val="0A585640"/>
    <w:rsid w:val="0A604550"/>
    <w:rsid w:val="0A7200C3"/>
    <w:rsid w:val="0A8247EF"/>
    <w:rsid w:val="0A8301F9"/>
    <w:rsid w:val="0A9407C2"/>
    <w:rsid w:val="0A9564D7"/>
    <w:rsid w:val="0A9A584E"/>
    <w:rsid w:val="0AB0703C"/>
    <w:rsid w:val="0AB53042"/>
    <w:rsid w:val="0AB74940"/>
    <w:rsid w:val="0ABC6B4C"/>
    <w:rsid w:val="0ACE55B4"/>
    <w:rsid w:val="0AD27F4E"/>
    <w:rsid w:val="0AE17BC0"/>
    <w:rsid w:val="0AF56635"/>
    <w:rsid w:val="0AF56D3F"/>
    <w:rsid w:val="0AFF6BA6"/>
    <w:rsid w:val="0B063DB1"/>
    <w:rsid w:val="0B174FC0"/>
    <w:rsid w:val="0B38557F"/>
    <w:rsid w:val="0B3A70FE"/>
    <w:rsid w:val="0B3C70FE"/>
    <w:rsid w:val="0B5A5C72"/>
    <w:rsid w:val="0B5D62F4"/>
    <w:rsid w:val="0B610E14"/>
    <w:rsid w:val="0B6B5012"/>
    <w:rsid w:val="0B752551"/>
    <w:rsid w:val="0B7B0DAB"/>
    <w:rsid w:val="0B7F4CB8"/>
    <w:rsid w:val="0B813340"/>
    <w:rsid w:val="0B8833B0"/>
    <w:rsid w:val="0B8F283F"/>
    <w:rsid w:val="0B91439B"/>
    <w:rsid w:val="0B9B2F56"/>
    <w:rsid w:val="0BA5334E"/>
    <w:rsid w:val="0BAD6FAA"/>
    <w:rsid w:val="0BC907FF"/>
    <w:rsid w:val="0BDA4243"/>
    <w:rsid w:val="0BF439C9"/>
    <w:rsid w:val="0BFB6E33"/>
    <w:rsid w:val="0C021D44"/>
    <w:rsid w:val="0C092A88"/>
    <w:rsid w:val="0C0E600F"/>
    <w:rsid w:val="0C0E64C4"/>
    <w:rsid w:val="0C111D29"/>
    <w:rsid w:val="0C1B479A"/>
    <w:rsid w:val="0C210F76"/>
    <w:rsid w:val="0C341386"/>
    <w:rsid w:val="0C376041"/>
    <w:rsid w:val="0C3F7953"/>
    <w:rsid w:val="0C4A7221"/>
    <w:rsid w:val="0C5D1F70"/>
    <w:rsid w:val="0C611550"/>
    <w:rsid w:val="0C6236AD"/>
    <w:rsid w:val="0C6635A2"/>
    <w:rsid w:val="0C6B32FE"/>
    <w:rsid w:val="0C6C096D"/>
    <w:rsid w:val="0C714988"/>
    <w:rsid w:val="0C851768"/>
    <w:rsid w:val="0C8B1705"/>
    <w:rsid w:val="0C975C46"/>
    <w:rsid w:val="0CA035DD"/>
    <w:rsid w:val="0CA20453"/>
    <w:rsid w:val="0CA43E7F"/>
    <w:rsid w:val="0CAF1DB2"/>
    <w:rsid w:val="0CBA0C20"/>
    <w:rsid w:val="0CBB0DCA"/>
    <w:rsid w:val="0CC33BB2"/>
    <w:rsid w:val="0CF922F0"/>
    <w:rsid w:val="0CFB3DE8"/>
    <w:rsid w:val="0D037805"/>
    <w:rsid w:val="0D0C7BEB"/>
    <w:rsid w:val="0D2D5668"/>
    <w:rsid w:val="0D37471F"/>
    <w:rsid w:val="0D3B5D1B"/>
    <w:rsid w:val="0D410EAC"/>
    <w:rsid w:val="0D4A45A4"/>
    <w:rsid w:val="0D4F01F3"/>
    <w:rsid w:val="0D515925"/>
    <w:rsid w:val="0D5576BF"/>
    <w:rsid w:val="0D6330B6"/>
    <w:rsid w:val="0D6A5A96"/>
    <w:rsid w:val="0D7468F8"/>
    <w:rsid w:val="0D794FC0"/>
    <w:rsid w:val="0D8159E2"/>
    <w:rsid w:val="0D817E77"/>
    <w:rsid w:val="0D851AFD"/>
    <w:rsid w:val="0D882DA0"/>
    <w:rsid w:val="0D8B45F7"/>
    <w:rsid w:val="0D924181"/>
    <w:rsid w:val="0D954B08"/>
    <w:rsid w:val="0D971183"/>
    <w:rsid w:val="0DB626E4"/>
    <w:rsid w:val="0DB81C12"/>
    <w:rsid w:val="0DEF49B1"/>
    <w:rsid w:val="0DF0192F"/>
    <w:rsid w:val="0DF1751B"/>
    <w:rsid w:val="0DF452F7"/>
    <w:rsid w:val="0E0428CC"/>
    <w:rsid w:val="0E072B53"/>
    <w:rsid w:val="0E125926"/>
    <w:rsid w:val="0E296AC0"/>
    <w:rsid w:val="0E2A12B3"/>
    <w:rsid w:val="0E2B51E6"/>
    <w:rsid w:val="0E3054E9"/>
    <w:rsid w:val="0E345413"/>
    <w:rsid w:val="0E3B5F15"/>
    <w:rsid w:val="0E446D1D"/>
    <w:rsid w:val="0E4B2605"/>
    <w:rsid w:val="0E506531"/>
    <w:rsid w:val="0E570555"/>
    <w:rsid w:val="0E593DC6"/>
    <w:rsid w:val="0E62773A"/>
    <w:rsid w:val="0E6A6746"/>
    <w:rsid w:val="0E784679"/>
    <w:rsid w:val="0E842FDC"/>
    <w:rsid w:val="0E954E51"/>
    <w:rsid w:val="0E976E58"/>
    <w:rsid w:val="0E9A4306"/>
    <w:rsid w:val="0E9D4FFA"/>
    <w:rsid w:val="0EA623F0"/>
    <w:rsid w:val="0EB13F2F"/>
    <w:rsid w:val="0EC0150F"/>
    <w:rsid w:val="0EC06B78"/>
    <w:rsid w:val="0ED812D9"/>
    <w:rsid w:val="0EDE0FCF"/>
    <w:rsid w:val="0EE232FD"/>
    <w:rsid w:val="0EF63AC0"/>
    <w:rsid w:val="0F2546FC"/>
    <w:rsid w:val="0F290F15"/>
    <w:rsid w:val="0F291FCB"/>
    <w:rsid w:val="0F403439"/>
    <w:rsid w:val="0F4314AF"/>
    <w:rsid w:val="0F4C208E"/>
    <w:rsid w:val="0F4F0DBC"/>
    <w:rsid w:val="0F522CC0"/>
    <w:rsid w:val="0F607DD5"/>
    <w:rsid w:val="0F6B28E4"/>
    <w:rsid w:val="0F771920"/>
    <w:rsid w:val="0F820E04"/>
    <w:rsid w:val="0F894115"/>
    <w:rsid w:val="0F997456"/>
    <w:rsid w:val="0F9B7D26"/>
    <w:rsid w:val="0F9D670D"/>
    <w:rsid w:val="0FAA20C2"/>
    <w:rsid w:val="0FB13B6D"/>
    <w:rsid w:val="0FB83637"/>
    <w:rsid w:val="0FBC42DB"/>
    <w:rsid w:val="0FC059BC"/>
    <w:rsid w:val="0FC61211"/>
    <w:rsid w:val="0FD228C2"/>
    <w:rsid w:val="0FE4517C"/>
    <w:rsid w:val="0FE71064"/>
    <w:rsid w:val="0FEF123F"/>
    <w:rsid w:val="0FF84BE7"/>
    <w:rsid w:val="0FF9631B"/>
    <w:rsid w:val="10052457"/>
    <w:rsid w:val="100A2337"/>
    <w:rsid w:val="10215E92"/>
    <w:rsid w:val="102A5508"/>
    <w:rsid w:val="10367415"/>
    <w:rsid w:val="1049612B"/>
    <w:rsid w:val="104C30C6"/>
    <w:rsid w:val="104F6FDD"/>
    <w:rsid w:val="10514F81"/>
    <w:rsid w:val="105E22DF"/>
    <w:rsid w:val="1061220E"/>
    <w:rsid w:val="10625688"/>
    <w:rsid w:val="106E5098"/>
    <w:rsid w:val="106F1968"/>
    <w:rsid w:val="107035BF"/>
    <w:rsid w:val="1071638C"/>
    <w:rsid w:val="1071721C"/>
    <w:rsid w:val="107850A3"/>
    <w:rsid w:val="1079709B"/>
    <w:rsid w:val="107B766C"/>
    <w:rsid w:val="107C4AF5"/>
    <w:rsid w:val="108C7FA3"/>
    <w:rsid w:val="10944183"/>
    <w:rsid w:val="10951112"/>
    <w:rsid w:val="10A329DB"/>
    <w:rsid w:val="10A50DFB"/>
    <w:rsid w:val="10B778F9"/>
    <w:rsid w:val="10C17216"/>
    <w:rsid w:val="10C50985"/>
    <w:rsid w:val="10C630EA"/>
    <w:rsid w:val="10CE375F"/>
    <w:rsid w:val="10D53F56"/>
    <w:rsid w:val="10DE1CE8"/>
    <w:rsid w:val="10E716A4"/>
    <w:rsid w:val="10ED1E4E"/>
    <w:rsid w:val="110714B0"/>
    <w:rsid w:val="110E08F2"/>
    <w:rsid w:val="11153F39"/>
    <w:rsid w:val="11155CA3"/>
    <w:rsid w:val="112212AD"/>
    <w:rsid w:val="112459F8"/>
    <w:rsid w:val="112572D2"/>
    <w:rsid w:val="11263055"/>
    <w:rsid w:val="113231FC"/>
    <w:rsid w:val="113561E5"/>
    <w:rsid w:val="113826CC"/>
    <w:rsid w:val="11397E48"/>
    <w:rsid w:val="1141252D"/>
    <w:rsid w:val="11444752"/>
    <w:rsid w:val="114F7D5D"/>
    <w:rsid w:val="11553DF1"/>
    <w:rsid w:val="116F7B40"/>
    <w:rsid w:val="117F26ED"/>
    <w:rsid w:val="117F76F4"/>
    <w:rsid w:val="11801842"/>
    <w:rsid w:val="11A34338"/>
    <w:rsid w:val="11A42843"/>
    <w:rsid w:val="11A772B3"/>
    <w:rsid w:val="11B22EBE"/>
    <w:rsid w:val="11B97CDA"/>
    <w:rsid w:val="11D335E4"/>
    <w:rsid w:val="11DB5F2F"/>
    <w:rsid w:val="11F14B8A"/>
    <w:rsid w:val="11F87A1F"/>
    <w:rsid w:val="120B2A0B"/>
    <w:rsid w:val="12123902"/>
    <w:rsid w:val="12145879"/>
    <w:rsid w:val="123C3D81"/>
    <w:rsid w:val="124548B6"/>
    <w:rsid w:val="124F5F0C"/>
    <w:rsid w:val="12735B1E"/>
    <w:rsid w:val="129224F6"/>
    <w:rsid w:val="129B2CF7"/>
    <w:rsid w:val="129F41B7"/>
    <w:rsid w:val="12B54322"/>
    <w:rsid w:val="12B97D6F"/>
    <w:rsid w:val="12BF1660"/>
    <w:rsid w:val="12C70CA8"/>
    <w:rsid w:val="12C730A4"/>
    <w:rsid w:val="12D80584"/>
    <w:rsid w:val="12E20523"/>
    <w:rsid w:val="12F042EE"/>
    <w:rsid w:val="12F35413"/>
    <w:rsid w:val="13250F0C"/>
    <w:rsid w:val="133336BF"/>
    <w:rsid w:val="13415DDE"/>
    <w:rsid w:val="134C026C"/>
    <w:rsid w:val="134D1490"/>
    <w:rsid w:val="1355374D"/>
    <w:rsid w:val="135737D9"/>
    <w:rsid w:val="135D1449"/>
    <w:rsid w:val="135D336F"/>
    <w:rsid w:val="13675BA1"/>
    <w:rsid w:val="13A04984"/>
    <w:rsid w:val="13A32EB2"/>
    <w:rsid w:val="13B11736"/>
    <w:rsid w:val="13BA4D1E"/>
    <w:rsid w:val="13CC1E23"/>
    <w:rsid w:val="13D10AFC"/>
    <w:rsid w:val="13D440F2"/>
    <w:rsid w:val="13D75924"/>
    <w:rsid w:val="13DD7079"/>
    <w:rsid w:val="13DF5084"/>
    <w:rsid w:val="13F03728"/>
    <w:rsid w:val="13FB0B9F"/>
    <w:rsid w:val="14072BD5"/>
    <w:rsid w:val="1408784C"/>
    <w:rsid w:val="14134DD3"/>
    <w:rsid w:val="141F6D07"/>
    <w:rsid w:val="142B1822"/>
    <w:rsid w:val="14331A15"/>
    <w:rsid w:val="1446384C"/>
    <w:rsid w:val="14611FA2"/>
    <w:rsid w:val="146A4F07"/>
    <w:rsid w:val="147C28F0"/>
    <w:rsid w:val="147E4394"/>
    <w:rsid w:val="148873ED"/>
    <w:rsid w:val="148E3292"/>
    <w:rsid w:val="149065E7"/>
    <w:rsid w:val="149C0459"/>
    <w:rsid w:val="14A17EF6"/>
    <w:rsid w:val="14A210E2"/>
    <w:rsid w:val="14A426E7"/>
    <w:rsid w:val="14A6465C"/>
    <w:rsid w:val="14A84BFB"/>
    <w:rsid w:val="14AD1EA1"/>
    <w:rsid w:val="14B25775"/>
    <w:rsid w:val="14B57A1D"/>
    <w:rsid w:val="14B70D44"/>
    <w:rsid w:val="14CA0395"/>
    <w:rsid w:val="14CC559E"/>
    <w:rsid w:val="14CD3439"/>
    <w:rsid w:val="14D75C17"/>
    <w:rsid w:val="14E177A6"/>
    <w:rsid w:val="14F353F4"/>
    <w:rsid w:val="14FB68B9"/>
    <w:rsid w:val="150021B6"/>
    <w:rsid w:val="15022AC7"/>
    <w:rsid w:val="150372C1"/>
    <w:rsid w:val="15055774"/>
    <w:rsid w:val="151024DB"/>
    <w:rsid w:val="151B4B32"/>
    <w:rsid w:val="1522523B"/>
    <w:rsid w:val="15240E12"/>
    <w:rsid w:val="15252EBC"/>
    <w:rsid w:val="1539137B"/>
    <w:rsid w:val="153A3DF0"/>
    <w:rsid w:val="153D28C3"/>
    <w:rsid w:val="153E4F63"/>
    <w:rsid w:val="153F6940"/>
    <w:rsid w:val="1545072F"/>
    <w:rsid w:val="155260EF"/>
    <w:rsid w:val="15541C87"/>
    <w:rsid w:val="15581006"/>
    <w:rsid w:val="156E572D"/>
    <w:rsid w:val="157F428C"/>
    <w:rsid w:val="159002D4"/>
    <w:rsid w:val="159A4F79"/>
    <w:rsid w:val="15A55298"/>
    <w:rsid w:val="15A800F4"/>
    <w:rsid w:val="15AB7F05"/>
    <w:rsid w:val="15BB00C0"/>
    <w:rsid w:val="15BC1420"/>
    <w:rsid w:val="15BF0482"/>
    <w:rsid w:val="15C66491"/>
    <w:rsid w:val="15CB6EB4"/>
    <w:rsid w:val="15CF2083"/>
    <w:rsid w:val="15D4104C"/>
    <w:rsid w:val="15F448DF"/>
    <w:rsid w:val="15FE5A68"/>
    <w:rsid w:val="160D3DE7"/>
    <w:rsid w:val="161223A1"/>
    <w:rsid w:val="161921D5"/>
    <w:rsid w:val="16320150"/>
    <w:rsid w:val="16453EEC"/>
    <w:rsid w:val="164845A2"/>
    <w:rsid w:val="165D3DE2"/>
    <w:rsid w:val="16656ABF"/>
    <w:rsid w:val="16773734"/>
    <w:rsid w:val="168A23DB"/>
    <w:rsid w:val="16994541"/>
    <w:rsid w:val="16994564"/>
    <w:rsid w:val="169E377C"/>
    <w:rsid w:val="16A213B6"/>
    <w:rsid w:val="16A2262B"/>
    <w:rsid w:val="16B05918"/>
    <w:rsid w:val="16BA35FE"/>
    <w:rsid w:val="16C33ADA"/>
    <w:rsid w:val="16CC4EAB"/>
    <w:rsid w:val="16DC3F61"/>
    <w:rsid w:val="16E427DA"/>
    <w:rsid w:val="16EF765E"/>
    <w:rsid w:val="16F57C99"/>
    <w:rsid w:val="16F7153D"/>
    <w:rsid w:val="16F81A6B"/>
    <w:rsid w:val="17043489"/>
    <w:rsid w:val="17061831"/>
    <w:rsid w:val="17077743"/>
    <w:rsid w:val="170E41F1"/>
    <w:rsid w:val="17192F53"/>
    <w:rsid w:val="171D6486"/>
    <w:rsid w:val="173869D7"/>
    <w:rsid w:val="1740409C"/>
    <w:rsid w:val="17450B2A"/>
    <w:rsid w:val="174832C3"/>
    <w:rsid w:val="174B3A96"/>
    <w:rsid w:val="174D5266"/>
    <w:rsid w:val="176D478E"/>
    <w:rsid w:val="176E2BE7"/>
    <w:rsid w:val="17702B67"/>
    <w:rsid w:val="177619F7"/>
    <w:rsid w:val="17780065"/>
    <w:rsid w:val="178529C7"/>
    <w:rsid w:val="1788664D"/>
    <w:rsid w:val="17905A2A"/>
    <w:rsid w:val="17A00B24"/>
    <w:rsid w:val="17BE0354"/>
    <w:rsid w:val="17C242BE"/>
    <w:rsid w:val="17C86974"/>
    <w:rsid w:val="17CA322B"/>
    <w:rsid w:val="17CB6FFE"/>
    <w:rsid w:val="17D11344"/>
    <w:rsid w:val="17D87926"/>
    <w:rsid w:val="17EB5250"/>
    <w:rsid w:val="17EE2309"/>
    <w:rsid w:val="17F54903"/>
    <w:rsid w:val="17F73471"/>
    <w:rsid w:val="17F968DC"/>
    <w:rsid w:val="18057DEE"/>
    <w:rsid w:val="18074BD3"/>
    <w:rsid w:val="1819021B"/>
    <w:rsid w:val="181E4CCA"/>
    <w:rsid w:val="182C41B7"/>
    <w:rsid w:val="18367C5F"/>
    <w:rsid w:val="183B6B66"/>
    <w:rsid w:val="183F4D6A"/>
    <w:rsid w:val="184206B5"/>
    <w:rsid w:val="184A26A8"/>
    <w:rsid w:val="185625C3"/>
    <w:rsid w:val="18651E99"/>
    <w:rsid w:val="186C7206"/>
    <w:rsid w:val="1879414A"/>
    <w:rsid w:val="189434DA"/>
    <w:rsid w:val="18A24DEB"/>
    <w:rsid w:val="18AF7A1B"/>
    <w:rsid w:val="18C35142"/>
    <w:rsid w:val="18D02539"/>
    <w:rsid w:val="18D1486F"/>
    <w:rsid w:val="18EE0322"/>
    <w:rsid w:val="18EE44EA"/>
    <w:rsid w:val="18F54829"/>
    <w:rsid w:val="18FE2381"/>
    <w:rsid w:val="19090F47"/>
    <w:rsid w:val="1919795B"/>
    <w:rsid w:val="191B1356"/>
    <w:rsid w:val="19223C70"/>
    <w:rsid w:val="192856F0"/>
    <w:rsid w:val="19361281"/>
    <w:rsid w:val="1942376F"/>
    <w:rsid w:val="194C0BEC"/>
    <w:rsid w:val="19516482"/>
    <w:rsid w:val="19524AC9"/>
    <w:rsid w:val="19742EE3"/>
    <w:rsid w:val="19752938"/>
    <w:rsid w:val="197733DC"/>
    <w:rsid w:val="19807D98"/>
    <w:rsid w:val="198111A1"/>
    <w:rsid w:val="198E4DE9"/>
    <w:rsid w:val="199006F7"/>
    <w:rsid w:val="19905367"/>
    <w:rsid w:val="19911C8E"/>
    <w:rsid w:val="199E11BD"/>
    <w:rsid w:val="19AD5E54"/>
    <w:rsid w:val="19BA63B1"/>
    <w:rsid w:val="19BB4B1A"/>
    <w:rsid w:val="19BC0D06"/>
    <w:rsid w:val="19BF0379"/>
    <w:rsid w:val="19BF4292"/>
    <w:rsid w:val="19D04F96"/>
    <w:rsid w:val="19D85011"/>
    <w:rsid w:val="19DE197A"/>
    <w:rsid w:val="19DF7028"/>
    <w:rsid w:val="19E742CF"/>
    <w:rsid w:val="19F9080E"/>
    <w:rsid w:val="19F91534"/>
    <w:rsid w:val="1A1B1249"/>
    <w:rsid w:val="1A1F4674"/>
    <w:rsid w:val="1A211CB4"/>
    <w:rsid w:val="1A357BCB"/>
    <w:rsid w:val="1A360F1E"/>
    <w:rsid w:val="1A5A49FD"/>
    <w:rsid w:val="1A64192B"/>
    <w:rsid w:val="1A645351"/>
    <w:rsid w:val="1A7B5638"/>
    <w:rsid w:val="1A843E3B"/>
    <w:rsid w:val="1A8935CE"/>
    <w:rsid w:val="1AA36778"/>
    <w:rsid w:val="1AAB56D5"/>
    <w:rsid w:val="1AB15548"/>
    <w:rsid w:val="1AB96EF8"/>
    <w:rsid w:val="1AC0689E"/>
    <w:rsid w:val="1AC70BE6"/>
    <w:rsid w:val="1AE749C8"/>
    <w:rsid w:val="1AEE223B"/>
    <w:rsid w:val="1AF13361"/>
    <w:rsid w:val="1AFE6EB0"/>
    <w:rsid w:val="1AFF13E3"/>
    <w:rsid w:val="1B003EDE"/>
    <w:rsid w:val="1B0430DF"/>
    <w:rsid w:val="1B066CD6"/>
    <w:rsid w:val="1B103DC2"/>
    <w:rsid w:val="1B104BFB"/>
    <w:rsid w:val="1B1322F6"/>
    <w:rsid w:val="1B1F4EEF"/>
    <w:rsid w:val="1B253209"/>
    <w:rsid w:val="1B29608A"/>
    <w:rsid w:val="1B2A5651"/>
    <w:rsid w:val="1B2D5E60"/>
    <w:rsid w:val="1B326CDE"/>
    <w:rsid w:val="1B350595"/>
    <w:rsid w:val="1B351DC2"/>
    <w:rsid w:val="1B47595A"/>
    <w:rsid w:val="1B4D0788"/>
    <w:rsid w:val="1B59715B"/>
    <w:rsid w:val="1B5C795C"/>
    <w:rsid w:val="1B6C3520"/>
    <w:rsid w:val="1B6F5253"/>
    <w:rsid w:val="1B7B0E7A"/>
    <w:rsid w:val="1B814705"/>
    <w:rsid w:val="1B8D6FB2"/>
    <w:rsid w:val="1B99346C"/>
    <w:rsid w:val="1B9D0546"/>
    <w:rsid w:val="1BBC375E"/>
    <w:rsid w:val="1BC33147"/>
    <w:rsid w:val="1BCE6FF9"/>
    <w:rsid w:val="1BD200DA"/>
    <w:rsid w:val="1BD336E1"/>
    <w:rsid w:val="1BD50F13"/>
    <w:rsid w:val="1BD679C5"/>
    <w:rsid w:val="1BDD0D59"/>
    <w:rsid w:val="1BE41E8A"/>
    <w:rsid w:val="1BE76D18"/>
    <w:rsid w:val="1BEA4FF0"/>
    <w:rsid w:val="1BF10FCB"/>
    <w:rsid w:val="1C012DA4"/>
    <w:rsid w:val="1C0D7496"/>
    <w:rsid w:val="1C0E7962"/>
    <w:rsid w:val="1C1C292B"/>
    <w:rsid w:val="1C247E0E"/>
    <w:rsid w:val="1C253D13"/>
    <w:rsid w:val="1C2A066D"/>
    <w:rsid w:val="1C2B4E13"/>
    <w:rsid w:val="1C42308B"/>
    <w:rsid w:val="1C482EEB"/>
    <w:rsid w:val="1C500455"/>
    <w:rsid w:val="1C5E6C65"/>
    <w:rsid w:val="1C63425D"/>
    <w:rsid w:val="1C7B7F02"/>
    <w:rsid w:val="1C7C5B96"/>
    <w:rsid w:val="1C883E73"/>
    <w:rsid w:val="1C99441D"/>
    <w:rsid w:val="1CA75E8E"/>
    <w:rsid w:val="1CA84E0E"/>
    <w:rsid w:val="1CB60084"/>
    <w:rsid w:val="1CB97FA1"/>
    <w:rsid w:val="1CBC13EB"/>
    <w:rsid w:val="1CC22F6C"/>
    <w:rsid w:val="1CC8143D"/>
    <w:rsid w:val="1CC91B13"/>
    <w:rsid w:val="1CCD1573"/>
    <w:rsid w:val="1CD74F92"/>
    <w:rsid w:val="1CD97436"/>
    <w:rsid w:val="1CDB0B9B"/>
    <w:rsid w:val="1CDD0CF8"/>
    <w:rsid w:val="1CE0778D"/>
    <w:rsid w:val="1CEF26C2"/>
    <w:rsid w:val="1D007753"/>
    <w:rsid w:val="1D065EB9"/>
    <w:rsid w:val="1D1129A8"/>
    <w:rsid w:val="1D135C3C"/>
    <w:rsid w:val="1D1642E2"/>
    <w:rsid w:val="1D164A4F"/>
    <w:rsid w:val="1D183C62"/>
    <w:rsid w:val="1D1C48EC"/>
    <w:rsid w:val="1D340C86"/>
    <w:rsid w:val="1D4C04CD"/>
    <w:rsid w:val="1D503A2A"/>
    <w:rsid w:val="1D507CBA"/>
    <w:rsid w:val="1D5500FF"/>
    <w:rsid w:val="1D702F0A"/>
    <w:rsid w:val="1D7C2ABC"/>
    <w:rsid w:val="1D7C7C00"/>
    <w:rsid w:val="1D863A68"/>
    <w:rsid w:val="1D8B0DE6"/>
    <w:rsid w:val="1D8C11FE"/>
    <w:rsid w:val="1D9306A7"/>
    <w:rsid w:val="1DA70F08"/>
    <w:rsid w:val="1DBB16CA"/>
    <w:rsid w:val="1DD261CA"/>
    <w:rsid w:val="1DE014D0"/>
    <w:rsid w:val="1DEC095F"/>
    <w:rsid w:val="1E043069"/>
    <w:rsid w:val="1E0F4DA8"/>
    <w:rsid w:val="1E16737D"/>
    <w:rsid w:val="1E186552"/>
    <w:rsid w:val="1E1F7126"/>
    <w:rsid w:val="1E283896"/>
    <w:rsid w:val="1E3A393B"/>
    <w:rsid w:val="1E4052E8"/>
    <w:rsid w:val="1E492B20"/>
    <w:rsid w:val="1E495460"/>
    <w:rsid w:val="1E537AC7"/>
    <w:rsid w:val="1E550CDC"/>
    <w:rsid w:val="1E60486E"/>
    <w:rsid w:val="1E7D2058"/>
    <w:rsid w:val="1E856DDF"/>
    <w:rsid w:val="1E87313F"/>
    <w:rsid w:val="1E887E69"/>
    <w:rsid w:val="1E8A72B8"/>
    <w:rsid w:val="1EAA2FA3"/>
    <w:rsid w:val="1EAD0C64"/>
    <w:rsid w:val="1EBB39AD"/>
    <w:rsid w:val="1EBD5962"/>
    <w:rsid w:val="1EC168D5"/>
    <w:rsid w:val="1EC81C07"/>
    <w:rsid w:val="1EC824ED"/>
    <w:rsid w:val="1ED91CAD"/>
    <w:rsid w:val="1ED965AB"/>
    <w:rsid w:val="1EDC5909"/>
    <w:rsid w:val="1EDD274A"/>
    <w:rsid w:val="1EDE504F"/>
    <w:rsid w:val="1EE24B37"/>
    <w:rsid w:val="1EE26266"/>
    <w:rsid w:val="1EE43D18"/>
    <w:rsid w:val="1EE5580C"/>
    <w:rsid w:val="1EE9344B"/>
    <w:rsid w:val="1EFF1DAA"/>
    <w:rsid w:val="1F0B2417"/>
    <w:rsid w:val="1F1F616C"/>
    <w:rsid w:val="1F24258F"/>
    <w:rsid w:val="1F290841"/>
    <w:rsid w:val="1F2C3E52"/>
    <w:rsid w:val="1F311966"/>
    <w:rsid w:val="1F346848"/>
    <w:rsid w:val="1F390D53"/>
    <w:rsid w:val="1F3D6167"/>
    <w:rsid w:val="1F3E3610"/>
    <w:rsid w:val="1F4A1984"/>
    <w:rsid w:val="1F4A1CE5"/>
    <w:rsid w:val="1F4C635D"/>
    <w:rsid w:val="1F5307B6"/>
    <w:rsid w:val="1F6B03C8"/>
    <w:rsid w:val="1F725B4F"/>
    <w:rsid w:val="1F8C731C"/>
    <w:rsid w:val="1F8E35E5"/>
    <w:rsid w:val="1F904743"/>
    <w:rsid w:val="1F9840E1"/>
    <w:rsid w:val="1FA6420F"/>
    <w:rsid w:val="1FB4478A"/>
    <w:rsid w:val="1FB451AC"/>
    <w:rsid w:val="1FCB60CE"/>
    <w:rsid w:val="1FCE1F16"/>
    <w:rsid w:val="1FD25B0D"/>
    <w:rsid w:val="1FDE5724"/>
    <w:rsid w:val="1FE30883"/>
    <w:rsid w:val="1FE53D57"/>
    <w:rsid w:val="1FF24E34"/>
    <w:rsid w:val="1FF60DCF"/>
    <w:rsid w:val="200120B5"/>
    <w:rsid w:val="20030DC7"/>
    <w:rsid w:val="200D05EA"/>
    <w:rsid w:val="201645BD"/>
    <w:rsid w:val="201C7F2A"/>
    <w:rsid w:val="201E302B"/>
    <w:rsid w:val="201E57B3"/>
    <w:rsid w:val="2032468E"/>
    <w:rsid w:val="203555D9"/>
    <w:rsid w:val="203C5552"/>
    <w:rsid w:val="2042440E"/>
    <w:rsid w:val="204D7500"/>
    <w:rsid w:val="20547521"/>
    <w:rsid w:val="205C1758"/>
    <w:rsid w:val="2068590D"/>
    <w:rsid w:val="20715AA7"/>
    <w:rsid w:val="2075589B"/>
    <w:rsid w:val="2076518F"/>
    <w:rsid w:val="208D546C"/>
    <w:rsid w:val="20930925"/>
    <w:rsid w:val="20947A35"/>
    <w:rsid w:val="20980B01"/>
    <w:rsid w:val="209A69E5"/>
    <w:rsid w:val="209E655B"/>
    <w:rsid w:val="209F4339"/>
    <w:rsid w:val="20B73A81"/>
    <w:rsid w:val="20BC0D1F"/>
    <w:rsid w:val="20C65FFD"/>
    <w:rsid w:val="20CF0C40"/>
    <w:rsid w:val="20CF6BDB"/>
    <w:rsid w:val="20D5240F"/>
    <w:rsid w:val="20E36C6B"/>
    <w:rsid w:val="20E679D6"/>
    <w:rsid w:val="20F92A8B"/>
    <w:rsid w:val="2101154F"/>
    <w:rsid w:val="21042E54"/>
    <w:rsid w:val="21080331"/>
    <w:rsid w:val="21145653"/>
    <w:rsid w:val="21201F65"/>
    <w:rsid w:val="2123431D"/>
    <w:rsid w:val="212C515F"/>
    <w:rsid w:val="212D7327"/>
    <w:rsid w:val="212E2150"/>
    <w:rsid w:val="213D4BF2"/>
    <w:rsid w:val="214426F9"/>
    <w:rsid w:val="214B3A3C"/>
    <w:rsid w:val="214D213D"/>
    <w:rsid w:val="214D6622"/>
    <w:rsid w:val="2155442D"/>
    <w:rsid w:val="215D0EC3"/>
    <w:rsid w:val="21653CB4"/>
    <w:rsid w:val="21705E54"/>
    <w:rsid w:val="217666CF"/>
    <w:rsid w:val="217C02EF"/>
    <w:rsid w:val="217D3831"/>
    <w:rsid w:val="21865596"/>
    <w:rsid w:val="2190510D"/>
    <w:rsid w:val="219A59FE"/>
    <w:rsid w:val="219C4D09"/>
    <w:rsid w:val="219D5C8C"/>
    <w:rsid w:val="219D679D"/>
    <w:rsid w:val="21AD270E"/>
    <w:rsid w:val="21AF35CE"/>
    <w:rsid w:val="21C72602"/>
    <w:rsid w:val="21DA035B"/>
    <w:rsid w:val="21DC6F4F"/>
    <w:rsid w:val="21E21CB6"/>
    <w:rsid w:val="21E50FC6"/>
    <w:rsid w:val="21E73847"/>
    <w:rsid w:val="21E7741E"/>
    <w:rsid w:val="21F7623B"/>
    <w:rsid w:val="21FB19F9"/>
    <w:rsid w:val="21FB7975"/>
    <w:rsid w:val="21FD4075"/>
    <w:rsid w:val="22127FEF"/>
    <w:rsid w:val="221E33F9"/>
    <w:rsid w:val="221F1015"/>
    <w:rsid w:val="2228530D"/>
    <w:rsid w:val="22304D20"/>
    <w:rsid w:val="22345014"/>
    <w:rsid w:val="22354EB6"/>
    <w:rsid w:val="22361CA3"/>
    <w:rsid w:val="22411D87"/>
    <w:rsid w:val="22445A9B"/>
    <w:rsid w:val="224B42DA"/>
    <w:rsid w:val="224F5D1D"/>
    <w:rsid w:val="22564773"/>
    <w:rsid w:val="2258496C"/>
    <w:rsid w:val="22720687"/>
    <w:rsid w:val="2280038D"/>
    <w:rsid w:val="228B3067"/>
    <w:rsid w:val="22964D6E"/>
    <w:rsid w:val="22965DB1"/>
    <w:rsid w:val="22B6421A"/>
    <w:rsid w:val="22B92284"/>
    <w:rsid w:val="22C947CB"/>
    <w:rsid w:val="22CC3001"/>
    <w:rsid w:val="22CC69B3"/>
    <w:rsid w:val="22CD2210"/>
    <w:rsid w:val="22D60B25"/>
    <w:rsid w:val="22DA278C"/>
    <w:rsid w:val="22E42608"/>
    <w:rsid w:val="22E648CC"/>
    <w:rsid w:val="22E77C7C"/>
    <w:rsid w:val="22EA2754"/>
    <w:rsid w:val="22EE3417"/>
    <w:rsid w:val="23195D3E"/>
    <w:rsid w:val="23274BA7"/>
    <w:rsid w:val="232850C2"/>
    <w:rsid w:val="23321187"/>
    <w:rsid w:val="23456432"/>
    <w:rsid w:val="2347778D"/>
    <w:rsid w:val="239A4B57"/>
    <w:rsid w:val="239D7FA9"/>
    <w:rsid w:val="23A102AA"/>
    <w:rsid w:val="23A45FB9"/>
    <w:rsid w:val="23D0068F"/>
    <w:rsid w:val="23DC109B"/>
    <w:rsid w:val="23DE0D7E"/>
    <w:rsid w:val="23F20F3E"/>
    <w:rsid w:val="23F95C80"/>
    <w:rsid w:val="24002DE9"/>
    <w:rsid w:val="241B3C4B"/>
    <w:rsid w:val="24264C18"/>
    <w:rsid w:val="242E5341"/>
    <w:rsid w:val="2438219B"/>
    <w:rsid w:val="245153C8"/>
    <w:rsid w:val="246B0B45"/>
    <w:rsid w:val="2470717B"/>
    <w:rsid w:val="24840F93"/>
    <w:rsid w:val="24A0384C"/>
    <w:rsid w:val="24A60848"/>
    <w:rsid w:val="24C461F4"/>
    <w:rsid w:val="24C57CFA"/>
    <w:rsid w:val="24CA50CB"/>
    <w:rsid w:val="24D821C9"/>
    <w:rsid w:val="24DB6B5F"/>
    <w:rsid w:val="24E61F35"/>
    <w:rsid w:val="24E673A2"/>
    <w:rsid w:val="24EB0B72"/>
    <w:rsid w:val="24EF4B4C"/>
    <w:rsid w:val="2507064B"/>
    <w:rsid w:val="25232043"/>
    <w:rsid w:val="252B1E3E"/>
    <w:rsid w:val="252B762E"/>
    <w:rsid w:val="25384367"/>
    <w:rsid w:val="2544373E"/>
    <w:rsid w:val="25470AB8"/>
    <w:rsid w:val="256625E7"/>
    <w:rsid w:val="256D3E54"/>
    <w:rsid w:val="256F73D5"/>
    <w:rsid w:val="257759AC"/>
    <w:rsid w:val="257B5F57"/>
    <w:rsid w:val="25866250"/>
    <w:rsid w:val="258B653F"/>
    <w:rsid w:val="258D4C69"/>
    <w:rsid w:val="25925B3A"/>
    <w:rsid w:val="25930FDF"/>
    <w:rsid w:val="259B2B9B"/>
    <w:rsid w:val="25A55E65"/>
    <w:rsid w:val="25AB0427"/>
    <w:rsid w:val="25B9137B"/>
    <w:rsid w:val="25CC4F8D"/>
    <w:rsid w:val="25D80D8A"/>
    <w:rsid w:val="25DB1897"/>
    <w:rsid w:val="25DB5F06"/>
    <w:rsid w:val="25E00DCF"/>
    <w:rsid w:val="25E27E49"/>
    <w:rsid w:val="25ED3E79"/>
    <w:rsid w:val="25EE6D7C"/>
    <w:rsid w:val="25FB26DA"/>
    <w:rsid w:val="25FE06D3"/>
    <w:rsid w:val="26064FB8"/>
    <w:rsid w:val="260A24BB"/>
    <w:rsid w:val="26122E9D"/>
    <w:rsid w:val="2616453B"/>
    <w:rsid w:val="261E6549"/>
    <w:rsid w:val="262023AC"/>
    <w:rsid w:val="262055DC"/>
    <w:rsid w:val="262C7AD8"/>
    <w:rsid w:val="26387C6E"/>
    <w:rsid w:val="264C6FC5"/>
    <w:rsid w:val="266C07D3"/>
    <w:rsid w:val="26701FB1"/>
    <w:rsid w:val="26727811"/>
    <w:rsid w:val="26740D51"/>
    <w:rsid w:val="26890B2A"/>
    <w:rsid w:val="2692056F"/>
    <w:rsid w:val="269246F9"/>
    <w:rsid w:val="2698454E"/>
    <w:rsid w:val="26A36DFC"/>
    <w:rsid w:val="26B75FC1"/>
    <w:rsid w:val="26B76215"/>
    <w:rsid w:val="26B919D7"/>
    <w:rsid w:val="26C35C0F"/>
    <w:rsid w:val="26CD3099"/>
    <w:rsid w:val="26CE6BFE"/>
    <w:rsid w:val="26D9141D"/>
    <w:rsid w:val="26DE34DD"/>
    <w:rsid w:val="26E454E4"/>
    <w:rsid w:val="26E56620"/>
    <w:rsid w:val="26F01A7A"/>
    <w:rsid w:val="26FD70A4"/>
    <w:rsid w:val="26FE3C0D"/>
    <w:rsid w:val="270D066A"/>
    <w:rsid w:val="270D2167"/>
    <w:rsid w:val="270F4E64"/>
    <w:rsid w:val="270F5344"/>
    <w:rsid w:val="2711604D"/>
    <w:rsid w:val="27381462"/>
    <w:rsid w:val="273C0300"/>
    <w:rsid w:val="275677C3"/>
    <w:rsid w:val="275E4FD2"/>
    <w:rsid w:val="27630A23"/>
    <w:rsid w:val="27701B5F"/>
    <w:rsid w:val="2781764A"/>
    <w:rsid w:val="27827029"/>
    <w:rsid w:val="279B509E"/>
    <w:rsid w:val="279C7715"/>
    <w:rsid w:val="279F1001"/>
    <w:rsid w:val="27B63919"/>
    <w:rsid w:val="27BF59D7"/>
    <w:rsid w:val="27C01909"/>
    <w:rsid w:val="27C179A9"/>
    <w:rsid w:val="27CB4517"/>
    <w:rsid w:val="27D04EC3"/>
    <w:rsid w:val="27DC527C"/>
    <w:rsid w:val="27EE7DA5"/>
    <w:rsid w:val="27F20616"/>
    <w:rsid w:val="281241BC"/>
    <w:rsid w:val="28273088"/>
    <w:rsid w:val="2848224E"/>
    <w:rsid w:val="28552C0C"/>
    <w:rsid w:val="285C555E"/>
    <w:rsid w:val="285D64B8"/>
    <w:rsid w:val="285E4BB5"/>
    <w:rsid w:val="28683BEF"/>
    <w:rsid w:val="28804A46"/>
    <w:rsid w:val="288420E9"/>
    <w:rsid w:val="28902C07"/>
    <w:rsid w:val="28A75673"/>
    <w:rsid w:val="28CB448E"/>
    <w:rsid w:val="28F76E7F"/>
    <w:rsid w:val="29105296"/>
    <w:rsid w:val="29165473"/>
    <w:rsid w:val="291755A3"/>
    <w:rsid w:val="291D5456"/>
    <w:rsid w:val="29295340"/>
    <w:rsid w:val="29311D25"/>
    <w:rsid w:val="29435907"/>
    <w:rsid w:val="29437E44"/>
    <w:rsid w:val="294C44FC"/>
    <w:rsid w:val="29512BC3"/>
    <w:rsid w:val="29642705"/>
    <w:rsid w:val="296A21C8"/>
    <w:rsid w:val="296F3C61"/>
    <w:rsid w:val="296F65C4"/>
    <w:rsid w:val="29723D69"/>
    <w:rsid w:val="297F2968"/>
    <w:rsid w:val="29823E65"/>
    <w:rsid w:val="299A03B6"/>
    <w:rsid w:val="29B53AB1"/>
    <w:rsid w:val="29B65F85"/>
    <w:rsid w:val="29B751B3"/>
    <w:rsid w:val="29B974BE"/>
    <w:rsid w:val="29BC280B"/>
    <w:rsid w:val="29C64D0A"/>
    <w:rsid w:val="29C86729"/>
    <w:rsid w:val="29CE69D5"/>
    <w:rsid w:val="29D36010"/>
    <w:rsid w:val="29D77D1C"/>
    <w:rsid w:val="29DB397C"/>
    <w:rsid w:val="29DE7D13"/>
    <w:rsid w:val="29E552D9"/>
    <w:rsid w:val="29E66246"/>
    <w:rsid w:val="29EC14F4"/>
    <w:rsid w:val="29EF0CB5"/>
    <w:rsid w:val="29F146AA"/>
    <w:rsid w:val="29FE3B56"/>
    <w:rsid w:val="2A017424"/>
    <w:rsid w:val="2A023B85"/>
    <w:rsid w:val="2A0B3D90"/>
    <w:rsid w:val="2A155B96"/>
    <w:rsid w:val="2A3139CE"/>
    <w:rsid w:val="2A3D4C58"/>
    <w:rsid w:val="2A412358"/>
    <w:rsid w:val="2A467DE6"/>
    <w:rsid w:val="2A4A6299"/>
    <w:rsid w:val="2A4C046D"/>
    <w:rsid w:val="2A5A6459"/>
    <w:rsid w:val="2A6A2980"/>
    <w:rsid w:val="2A715578"/>
    <w:rsid w:val="2A7A4C6C"/>
    <w:rsid w:val="2AB25A98"/>
    <w:rsid w:val="2AC71EBF"/>
    <w:rsid w:val="2ACB4E16"/>
    <w:rsid w:val="2AD17788"/>
    <w:rsid w:val="2ADB5564"/>
    <w:rsid w:val="2AF66BD4"/>
    <w:rsid w:val="2AF770A4"/>
    <w:rsid w:val="2B196442"/>
    <w:rsid w:val="2B201469"/>
    <w:rsid w:val="2B24283D"/>
    <w:rsid w:val="2B270B05"/>
    <w:rsid w:val="2B2A56EB"/>
    <w:rsid w:val="2B2D0BBA"/>
    <w:rsid w:val="2B332E44"/>
    <w:rsid w:val="2B404170"/>
    <w:rsid w:val="2B4D2A72"/>
    <w:rsid w:val="2B561F8D"/>
    <w:rsid w:val="2B591DDC"/>
    <w:rsid w:val="2B5E388D"/>
    <w:rsid w:val="2B5F3627"/>
    <w:rsid w:val="2B6C681B"/>
    <w:rsid w:val="2B6D2DEA"/>
    <w:rsid w:val="2B6E6149"/>
    <w:rsid w:val="2B7C3C52"/>
    <w:rsid w:val="2B7F5760"/>
    <w:rsid w:val="2B8730C7"/>
    <w:rsid w:val="2B884EBC"/>
    <w:rsid w:val="2BA36CE1"/>
    <w:rsid w:val="2BA37043"/>
    <w:rsid w:val="2BBB0DB4"/>
    <w:rsid w:val="2BBD4849"/>
    <w:rsid w:val="2BBE588E"/>
    <w:rsid w:val="2BBF6F49"/>
    <w:rsid w:val="2BD77FDA"/>
    <w:rsid w:val="2BD92AA6"/>
    <w:rsid w:val="2BDC5A15"/>
    <w:rsid w:val="2BF411BD"/>
    <w:rsid w:val="2BF45F50"/>
    <w:rsid w:val="2BF7092B"/>
    <w:rsid w:val="2BF72BAD"/>
    <w:rsid w:val="2BFB7DEB"/>
    <w:rsid w:val="2C10540A"/>
    <w:rsid w:val="2C1A2E2F"/>
    <w:rsid w:val="2C27236F"/>
    <w:rsid w:val="2C2D0801"/>
    <w:rsid w:val="2C2D5495"/>
    <w:rsid w:val="2C352FBD"/>
    <w:rsid w:val="2C39716F"/>
    <w:rsid w:val="2C4242BF"/>
    <w:rsid w:val="2C4B7C3C"/>
    <w:rsid w:val="2C5B3735"/>
    <w:rsid w:val="2C5C5211"/>
    <w:rsid w:val="2C714153"/>
    <w:rsid w:val="2C7D7CAF"/>
    <w:rsid w:val="2CA72C5E"/>
    <w:rsid w:val="2CB01364"/>
    <w:rsid w:val="2CB079FF"/>
    <w:rsid w:val="2CB25170"/>
    <w:rsid w:val="2CB32CA0"/>
    <w:rsid w:val="2CC27F9C"/>
    <w:rsid w:val="2CC4285E"/>
    <w:rsid w:val="2CC45589"/>
    <w:rsid w:val="2CC6603A"/>
    <w:rsid w:val="2CC85F8F"/>
    <w:rsid w:val="2CCA112C"/>
    <w:rsid w:val="2CCD7AED"/>
    <w:rsid w:val="2CD62A4D"/>
    <w:rsid w:val="2CD75386"/>
    <w:rsid w:val="2CDD0085"/>
    <w:rsid w:val="2CDE329A"/>
    <w:rsid w:val="2CE26F4B"/>
    <w:rsid w:val="2CE27140"/>
    <w:rsid w:val="2CEB4410"/>
    <w:rsid w:val="2CEC09FE"/>
    <w:rsid w:val="2CF10AB0"/>
    <w:rsid w:val="2CF40879"/>
    <w:rsid w:val="2CFB48C0"/>
    <w:rsid w:val="2D0A5520"/>
    <w:rsid w:val="2D200143"/>
    <w:rsid w:val="2D297877"/>
    <w:rsid w:val="2D2E6278"/>
    <w:rsid w:val="2D355E3C"/>
    <w:rsid w:val="2D453A7B"/>
    <w:rsid w:val="2D495C6A"/>
    <w:rsid w:val="2D602912"/>
    <w:rsid w:val="2D603E84"/>
    <w:rsid w:val="2D6F315A"/>
    <w:rsid w:val="2D70148C"/>
    <w:rsid w:val="2D703316"/>
    <w:rsid w:val="2D726B18"/>
    <w:rsid w:val="2D766E72"/>
    <w:rsid w:val="2D7F40AC"/>
    <w:rsid w:val="2D89126C"/>
    <w:rsid w:val="2D9A10A3"/>
    <w:rsid w:val="2D9B49E0"/>
    <w:rsid w:val="2DA27B5F"/>
    <w:rsid w:val="2DA42A29"/>
    <w:rsid w:val="2DA47CE2"/>
    <w:rsid w:val="2DAA7E41"/>
    <w:rsid w:val="2DAB4B54"/>
    <w:rsid w:val="2DB34194"/>
    <w:rsid w:val="2DC569B7"/>
    <w:rsid w:val="2DD56CAC"/>
    <w:rsid w:val="2DD866A9"/>
    <w:rsid w:val="2DE06A69"/>
    <w:rsid w:val="2DE0709D"/>
    <w:rsid w:val="2DE3526B"/>
    <w:rsid w:val="2DE874E0"/>
    <w:rsid w:val="2DF7575A"/>
    <w:rsid w:val="2DFB268D"/>
    <w:rsid w:val="2E1F7193"/>
    <w:rsid w:val="2E2F6D47"/>
    <w:rsid w:val="2E316044"/>
    <w:rsid w:val="2E32694D"/>
    <w:rsid w:val="2E3C007E"/>
    <w:rsid w:val="2E3E1A7C"/>
    <w:rsid w:val="2E4338EA"/>
    <w:rsid w:val="2E4B6DBF"/>
    <w:rsid w:val="2E5B243E"/>
    <w:rsid w:val="2E5C412B"/>
    <w:rsid w:val="2E5F45F3"/>
    <w:rsid w:val="2E6B789D"/>
    <w:rsid w:val="2E7F6655"/>
    <w:rsid w:val="2E8619D0"/>
    <w:rsid w:val="2E8F650F"/>
    <w:rsid w:val="2E9221D1"/>
    <w:rsid w:val="2EA72B77"/>
    <w:rsid w:val="2EAB385E"/>
    <w:rsid w:val="2EAC65B6"/>
    <w:rsid w:val="2EB1306C"/>
    <w:rsid w:val="2EB41F7C"/>
    <w:rsid w:val="2EB86E96"/>
    <w:rsid w:val="2EBA2AEE"/>
    <w:rsid w:val="2EBA2AF6"/>
    <w:rsid w:val="2EBF7ECE"/>
    <w:rsid w:val="2EC063C2"/>
    <w:rsid w:val="2EC36D57"/>
    <w:rsid w:val="2EC5039D"/>
    <w:rsid w:val="2ED6294F"/>
    <w:rsid w:val="2EE54962"/>
    <w:rsid w:val="2EEA4FCB"/>
    <w:rsid w:val="2EFB40E7"/>
    <w:rsid w:val="2F010A55"/>
    <w:rsid w:val="2F027A87"/>
    <w:rsid w:val="2F0A2BD1"/>
    <w:rsid w:val="2F100205"/>
    <w:rsid w:val="2F123995"/>
    <w:rsid w:val="2F2A0D14"/>
    <w:rsid w:val="2F311BD4"/>
    <w:rsid w:val="2F31452A"/>
    <w:rsid w:val="2F367724"/>
    <w:rsid w:val="2F3758F3"/>
    <w:rsid w:val="2F383B94"/>
    <w:rsid w:val="2F471422"/>
    <w:rsid w:val="2F4E4A28"/>
    <w:rsid w:val="2F570325"/>
    <w:rsid w:val="2F575F5D"/>
    <w:rsid w:val="2F584A9B"/>
    <w:rsid w:val="2F5E46B9"/>
    <w:rsid w:val="2F604846"/>
    <w:rsid w:val="2F63700F"/>
    <w:rsid w:val="2F700D37"/>
    <w:rsid w:val="2F80708C"/>
    <w:rsid w:val="2F814BFC"/>
    <w:rsid w:val="2F88485D"/>
    <w:rsid w:val="2F9379C8"/>
    <w:rsid w:val="2FAB122A"/>
    <w:rsid w:val="2FAE70A7"/>
    <w:rsid w:val="2FB153BE"/>
    <w:rsid w:val="2FD83DC5"/>
    <w:rsid w:val="2FDE3146"/>
    <w:rsid w:val="2FDE7155"/>
    <w:rsid w:val="2FE277BC"/>
    <w:rsid w:val="2FEB3B2E"/>
    <w:rsid w:val="2FF77E8D"/>
    <w:rsid w:val="2FF87B37"/>
    <w:rsid w:val="2FFB5E6F"/>
    <w:rsid w:val="30042778"/>
    <w:rsid w:val="30061495"/>
    <w:rsid w:val="300C3999"/>
    <w:rsid w:val="301903D0"/>
    <w:rsid w:val="30203578"/>
    <w:rsid w:val="30247828"/>
    <w:rsid w:val="302F3C52"/>
    <w:rsid w:val="30395013"/>
    <w:rsid w:val="30506525"/>
    <w:rsid w:val="3055270B"/>
    <w:rsid w:val="305D7F39"/>
    <w:rsid w:val="30720368"/>
    <w:rsid w:val="307B716B"/>
    <w:rsid w:val="30811008"/>
    <w:rsid w:val="30915602"/>
    <w:rsid w:val="30993E23"/>
    <w:rsid w:val="309E005B"/>
    <w:rsid w:val="30A145EE"/>
    <w:rsid w:val="30A82555"/>
    <w:rsid w:val="30AA09AB"/>
    <w:rsid w:val="30AB61E0"/>
    <w:rsid w:val="30AC1D25"/>
    <w:rsid w:val="30AD41FF"/>
    <w:rsid w:val="30B72FFB"/>
    <w:rsid w:val="30C53F54"/>
    <w:rsid w:val="30D1176C"/>
    <w:rsid w:val="30DC012B"/>
    <w:rsid w:val="30DC2702"/>
    <w:rsid w:val="30DE30CE"/>
    <w:rsid w:val="30E47D97"/>
    <w:rsid w:val="30FC445A"/>
    <w:rsid w:val="31062B9A"/>
    <w:rsid w:val="311123EB"/>
    <w:rsid w:val="311D56C3"/>
    <w:rsid w:val="311F7A30"/>
    <w:rsid w:val="3122692B"/>
    <w:rsid w:val="3129247B"/>
    <w:rsid w:val="312B6FCF"/>
    <w:rsid w:val="31343247"/>
    <w:rsid w:val="31385EED"/>
    <w:rsid w:val="313D16E3"/>
    <w:rsid w:val="313F182A"/>
    <w:rsid w:val="314430AF"/>
    <w:rsid w:val="314578B8"/>
    <w:rsid w:val="31596873"/>
    <w:rsid w:val="316B59D2"/>
    <w:rsid w:val="317105A8"/>
    <w:rsid w:val="31720105"/>
    <w:rsid w:val="31760F22"/>
    <w:rsid w:val="317A485B"/>
    <w:rsid w:val="317C5B2E"/>
    <w:rsid w:val="317D3F4A"/>
    <w:rsid w:val="318156A9"/>
    <w:rsid w:val="31840ADB"/>
    <w:rsid w:val="318D0D68"/>
    <w:rsid w:val="31985B86"/>
    <w:rsid w:val="31A60433"/>
    <w:rsid w:val="31AF2E03"/>
    <w:rsid w:val="31BD6699"/>
    <w:rsid w:val="31F0512F"/>
    <w:rsid w:val="32033636"/>
    <w:rsid w:val="320C1037"/>
    <w:rsid w:val="32191269"/>
    <w:rsid w:val="321C472A"/>
    <w:rsid w:val="32214E63"/>
    <w:rsid w:val="323B0EB7"/>
    <w:rsid w:val="323C7B44"/>
    <w:rsid w:val="32420E26"/>
    <w:rsid w:val="32440C4A"/>
    <w:rsid w:val="32473979"/>
    <w:rsid w:val="324E7E72"/>
    <w:rsid w:val="3254317B"/>
    <w:rsid w:val="326157C5"/>
    <w:rsid w:val="3270101E"/>
    <w:rsid w:val="32710AD1"/>
    <w:rsid w:val="327862A9"/>
    <w:rsid w:val="32786EB7"/>
    <w:rsid w:val="328046DE"/>
    <w:rsid w:val="329B2257"/>
    <w:rsid w:val="32BE422C"/>
    <w:rsid w:val="32DB01AD"/>
    <w:rsid w:val="32DC6885"/>
    <w:rsid w:val="32E45100"/>
    <w:rsid w:val="32F64962"/>
    <w:rsid w:val="33052FD9"/>
    <w:rsid w:val="3305504E"/>
    <w:rsid w:val="331B03CC"/>
    <w:rsid w:val="331B18B1"/>
    <w:rsid w:val="331B532A"/>
    <w:rsid w:val="331F084A"/>
    <w:rsid w:val="33221442"/>
    <w:rsid w:val="332479BA"/>
    <w:rsid w:val="33255A78"/>
    <w:rsid w:val="33331F6C"/>
    <w:rsid w:val="333E2B34"/>
    <w:rsid w:val="3344480A"/>
    <w:rsid w:val="33467C7A"/>
    <w:rsid w:val="33480DD3"/>
    <w:rsid w:val="334E0A35"/>
    <w:rsid w:val="335B4365"/>
    <w:rsid w:val="336E2375"/>
    <w:rsid w:val="336F49E9"/>
    <w:rsid w:val="337B1B27"/>
    <w:rsid w:val="33810279"/>
    <w:rsid w:val="339E2BCC"/>
    <w:rsid w:val="33BC66D1"/>
    <w:rsid w:val="33BE1B91"/>
    <w:rsid w:val="33C104FA"/>
    <w:rsid w:val="33F14D53"/>
    <w:rsid w:val="33F547FE"/>
    <w:rsid w:val="33FA46A9"/>
    <w:rsid w:val="340420C3"/>
    <w:rsid w:val="34063950"/>
    <w:rsid w:val="34150AAD"/>
    <w:rsid w:val="342966A0"/>
    <w:rsid w:val="342C73F3"/>
    <w:rsid w:val="342E32AF"/>
    <w:rsid w:val="343070AF"/>
    <w:rsid w:val="343169CC"/>
    <w:rsid w:val="34353910"/>
    <w:rsid w:val="34376866"/>
    <w:rsid w:val="34395029"/>
    <w:rsid w:val="343B7C02"/>
    <w:rsid w:val="34673184"/>
    <w:rsid w:val="34753CDD"/>
    <w:rsid w:val="348644BF"/>
    <w:rsid w:val="34874C80"/>
    <w:rsid w:val="348F6235"/>
    <w:rsid w:val="34910C5A"/>
    <w:rsid w:val="3496371F"/>
    <w:rsid w:val="34972ACD"/>
    <w:rsid w:val="34984C21"/>
    <w:rsid w:val="349A7FCD"/>
    <w:rsid w:val="34A30231"/>
    <w:rsid w:val="34AB6341"/>
    <w:rsid w:val="34BA6A68"/>
    <w:rsid w:val="34BC5351"/>
    <w:rsid w:val="34C06539"/>
    <w:rsid w:val="34C34473"/>
    <w:rsid w:val="34D81EA5"/>
    <w:rsid w:val="34D9351B"/>
    <w:rsid w:val="34D94347"/>
    <w:rsid w:val="34DC5BAA"/>
    <w:rsid w:val="34DD0BF1"/>
    <w:rsid w:val="34DE3C64"/>
    <w:rsid w:val="34E00445"/>
    <w:rsid w:val="35093C2F"/>
    <w:rsid w:val="35120375"/>
    <w:rsid w:val="35404CD7"/>
    <w:rsid w:val="3541071B"/>
    <w:rsid w:val="35490C74"/>
    <w:rsid w:val="354C1B02"/>
    <w:rsid w:val="354F1BBC"/>
    <w:rsid w:val="35500CAA"/>
    <w:rsid w:val="35573002"/>
    <w:rsid w:val="35627DC8"/>
    <w:rsid w:val="3563720E"/>
    <w:rsid w:val="357E384A"/>
    <w:rsid w:val="3586259E"/>
    <w:rsid w:val="35870711"/>
    <w:rsid w:val="35882E2E"/>
    <w:rsid w:val="358903C5"/>
    <w:rsid w:val="35983A77"/>
    <w:rsid w:val="35BE415C"/>
    <w:rsid w:val="35C94AA6"/>
    <w:rsid w:val="35D165A1"/>
    <w:rsid w:val="35EF0FEC"/>
    <w:rsid w:val="35F24B96"/>
    <w:rsid w:val="35F8653F"/>
    <w:rsid w:val="360A22AF"/>
    <w:rsid w:val="361B2F05"/>
    <w:rsid w:val="361D553E"/>
    <w:rsid w:val="361F0F51"/>
    <w:rsid w:val="36321C42"/>
    <w:rsid w:val="36394B33"/>
    <w:rsid w:val="36417BA6"/>
    <w:rsid w:val="36486842"/>
    <w:rsid w:val="364A4677"/>
    <w:rsid w:val="365153FB"/>
    <w:rsid w:val="366203F0"/>
    <w:rsid w:val="366900F7"/>
    <w:rsid w:val="36693F40"/>
    <w:rsid w:val="367400C2"/>
    <w:rsid w:val="368C0C7C"/>
    <w:rsid w:val="36A85E8C"/>
    <w:rsid w:val="36AC1967"/>
    <w:rsid w:val="36B554F9"/>
    <w:rsid w:val="36BC6E3C"/>
    <w:rsid w:val="36CB02EC"/>
    <w:rsid w:val="36D203F5"/>
    <w:rsid w:val="36D63945"/>
    <w:rsid w:val="36E228A2"/>
    <w:rsid w:val="36ED588E"/>
    <w:rsid w:val="36F57D4E"/>
    <w:rsid w:val="36FD7085"/>
    <w:rsid w:val="37083142"/>
    <w:rsid w:val="370B34FD"/>
    <w:rsid w:val="370B7350"/>
    <w:rsid w:val="37122804"/>
    <w:rsid w:val="371C46D9"/>
    <w:rsid w:val="3729238B"/>
    <w:rsid w:val="374100B3"/>
    <w:rsid w:val="374705EC"/>
    <w:rsid w:val="374971A7"/>
    <w:rsid w:val="374F5145"/>
    <w:rsid w:val="375B15F9"/>
    <w:rsid w:val="37711B1B"/>
    <w:rsid w:val="377277C2"/>
    <w:rsid w:val="377A40B3"/>
    <w:rsid w:val="378245A2"/>
    <w:rsid w:val="378B37E8"/>
    <w:rsid w:val="37987646"/>
    <w:rsid w:val="37A019DB"/>
    <w:rsid w:val="37A0406F"/>
    <w:rsid w:val="37A10008"/>
    <w:rsid w:val="37A60BA8"/>
    <w:rsid w:val="37AC2C67"/>
    <w:rsid w:val="37BB5270"/>
    <w:rsid w:val="37BF4620"/>
    <w:rsid w:val="37C25DCE"/>
    <w:rsid w:val="37C7010A"/>
    <w:rsid w:val="37D60ABA"/>
    <w:rsid w:val="37D919DA"/>
    <w:rsid w:val="37DE1E38"/>
    <w:rsid w:val="37DE5E84"/>
    <w:rsid w:val="37E46D4C"/>
    <w:rsid w:val="37FD02AE"/>
    <w:rsid w:val="3811295D"/>
    <w:rsid w:val="38130D00"/>
    <w:rsid w:val="38157D3B"/>
    <w:rsid w:val="382F6340"/>
    <w:rsid w:val="383E4991"/>
    <w:rsid w:val="385C23D5"/>
    <w:rsid w:val="385C4854"/>
    <w:rsid w:val="385F548B"/>
    <w:rsid w:val="38625EFA"/>
    <w:rsid w:val="3866143C"/>
    <w:rsid w:val="38786663"/>
    <w:rsid w:val="389908F2"/>
    <w:rsid w:val="389E402D"/>
    <w:rsid w:val="38B15827"/>
    <w:rsid w:val="38BE40A2"/>
    <w:rsid w:val="38C45E5B"/>
    <w:rsid w:val="38C70F3C"/>
    <w:rsid w:val="38C82B6C"/>
    <w:rsid w:val="38C9333E"/>
    <w:rsid w:val="38D503A2"/>
    <w:rsid w:val="38DA70EB"/>
    <w:rsid w:val="38DF30D9"/>
    <w:rsid w:val="38E05F10"/>
    <w:rsid w:val="38E73A68"/>
    <w:rsid w:val="38EC2297"/>
    <w:rsid w:val="38F140CE"/>
    <w:rsid w:val="39016B9C"/>
    <w:rsid w:val="390A5DD6"/>
    <w:rsid w:val="391B1014"/>
    <w:rsid w:val="391C68D7"/>
    <w:rsid w:val="391C69A4"/>
    <w:rsid w:val="391F5FAD"/>
    <w:rsid w:val="39240400"/>
    <w:rsid w:val="39243192"/>
    <w:rsid w:val="392A2A06"/>
    <w:rsid w:val="393071A8"/>
    <w:rsid w:val="39323753"/>
    <w:rsid w:val="393A40BA"/>
    <w:rsid w:val="395048AF"/>
    <w:rsid w:val="395F6636"/>
    <w:rsid w:val="397A4711"/>
    <w:rsid w:val="3992176D"/>
    <w:rsid w:val="399C3C7B"/>
    <w:rsid w:val="39B04BA9"/>
    <w:rsid w:val="39B706FB"/>
    <w:rsid w:val="39BB03AF"/>
    <w:rsid w:val="39C445A3"/>
    <w:rsid w:val="39CF0365"/>
    <w:rsid w:val="39DE138D"/>
    <w:rsid w:val="39E65F11"/>
    <w:rsid w:val="39E73115"/>
    <w:rsid w:val="39ED42E3"/>
    <w:rsid w:val="39EE5165"/>
    <w:rsid w:val="39F04788"/>
    <w:rsid w:val="39F65438"/>
    <w:rsid w:val="39FC1444"/>
    <w:rsid w:val="39FF644D"/>
    <w:rsid w:val="3A011272"/>
    <w:rsid w:val="3A092778"/>
    <w:rsid w:val="3A1655E3"/>
    <w:rsid w:val="3A211D63"/>
    <w:rsid w:val="3A2B4FCD"/>
    <w:rsid w:val="3A3466C0"/>
    <w:rsid w:val="3A347063"/>
    <w:rsid w:val="3A373ED5"/>
    <w:rsid w:val="3A3C71EB"/>
    <w:rsid w:val="3A477BEA"/>
    <w:rsid w:val="3A523667"/>
    <w:rsid w:val="3A6623AF"/>
    <w:rsid w:val="3A6905B7"/>
    <w:rsid w:val="3A6D36DF"/>
    <w:rsid w:val="3A782C82"/>
    <w:rsid w:val="3A7F37D2"/>
    <w:rsid w:val="3A902C5C"/>
    <w:rsid w:val="3A91422E"/>
    <w:rsid w:val="3A9313E8"/>
    <w:rsid w:val="3AA43819"/>
    <w:rsid w:val="3AA82ED7"/>
    <w:rsid w:val="3AAF561D"/>
    <w:rsid w:val="3AB708C5"/>
    <w:rsid w:val="3AB917DC"/>
    <w:rsid w:val="3ACA7DAF"/>
    <w:rsid w:val="3ACF0B05"/>
    <w:rsid w:val="3AD05A65"/>
    <w:rsid w:val="3AD6036C"/>
    <w:rsid w:val="3AF27136"/>
    <w:rsid w:val="3B015170"/>
    <w:rsid w:val="3B055088"/>
    <w:rsid w:val="3B264617"/>
    <w:rsid w:val="3B2C5242"/>
    <w:rsid w:val="3B2C6954"/>
    <w:rsid w:val="3B3355EC"/>
    <w:rsid w:val="3B362B3A"/>
    <w:rsid w:val="3B3C2000"/>
    <w:rsid w:val="3B3E6832"/>
    <w:rsid w:val="3B3F1562"/>
    <w:rsid w:val="3B4B382A"/>
    <w:rsid w:val="3B4C0E62"/>
    <w:rsid w:val="3B550DF0"/>
    <w:rsid w:val="3B580509"/>
    <w:rsid w:val="3B5A6B46"/>
    <w:rsid w:val="3B6060C9"/>
    <w:rsid w:val="3B6C2A58"/>
    <w:rsid w:val="3B6E5663"/>
    <w:rsid w:val="3B741ABD"/>
    <w:rsid w:val="3B7851E0"/>
    <w:rsid w:val="3B7F00B2"/>
    <w:rsid w:val="3B8A0F21"/>
    <w:rsid w:val="3B9544E0"/>
    <w:rsid w:val="3B9F3AB8"/>
    <w:rsid w:val="3BA0147E"/>
    <w:rsid w:val="3BA84FF9"/>
    <w:rsid w:val="3BB20DEC"/>
    <w:rsid w:val="3BB654FE"/>
    <w:rsid w:val="3BC25863"/>
    <w:rsid w:val="3BD36C74"/>
    <w:rsid w:val="3BD67DA7"/>
    <w:rsid w:val="3BDA1E8F"/>
    <w:rsid w:val="3BDD7A9C"/>
    <w:rsid w:val="3BDE7B9B"/>
    <w:rsid w:val="3BDF3EBE"/>
    <w:rsid w:val="3BE63C27"/>
    <w:rsid w:val="3BF0765F"/>
    <w:rsid w:val="3BF3637A"/>
    <w:rsid w:val="3C01571F"/>
    <w:rsid w:val="3C064730"/>
    <w:rsid w:val="3C081284"/>
    <w:rsid w:val="3C14704B"/>
    <w:rsid w:val="3C2A17E7"/>
    <w:rsid w:val="3C3374C0"/>
    <w:rsid w:val="3C360098"/>
    <w:rsid w:val="3C404944"/>
    <w:rsid w:val="3C492BA7"/>
    <w:rsid w:val="3C500FB2"/>
    <w:rsid w:val="3C5A5D4B"/>
    <w:rsid w:val="3C6822AC"/>
    <w:rsid w:val="3C693ED3"/>
    <w:rsid w:val="3C740475"/>
    <w:rsid w:val="3C82716C"/>
    <w:rsid w:val="3C874C29"/>
    <w:rsid w:val="3C893330"/>
    <w:rsid w:val="3C905C48"/>
    <w:rsid w:val="3C9F7813"/>
    <w:rsid w:val="3CA86AC6"/>
    <w:rsid w:val="3CB106C4"/>
    <w:rsid w:val="3CBA5CDC"/>
    <w:rsid w:val="3CBC4912"/>
    <w:rsid w:val="3CBD2DC1"/>
    <w:rsid w:val="3CC5445E"/>
    <w:rsid w:val="3CDB54FF"/>
    <w:rsid w:val="3CE16F0F"/>
    <w:rsid w:val="3CF13CCD"/>
    <w:rsid w:val="3CF174D0"/>
    <w:rsid w:val="3D035659"/>
    <w:rsid w:val="3D08227D"/>
    <w:rsid w:val="3D10389B"/>
    <w:rsid w:val="3D124915"/>
    <w:rsid w:val="3D16285D"/>
    <w:rsid w:val="3D30708A"/>
    <w:rsid w:val="3D390AAA"/>
    <w:rsid w:val="3D3C2AF7"/>
    <w:rsid w:val="3D3D17F2"/>
    <w:rsid w:val="3D412F94"/>
    <w:rsid w:val="3D423350"/>
    <w:rsid w:val="3D4B5A38"/>
    <w:rsid w:val="3D4F21A1"/>
    <w:rsid w:val="3D5926AA"/>
    <w:rsid w:val="3D5A40ED"/>
    <w:rsid w:val="3D7F3D4E"/>
    <w:rsid w:val="3D8872E7"/>
    <w:rsid w:val="3D8A5966"/>
    <w:rsid w:val="3DAE45E3"/>
    <w:rsid w:val="3DB91993"/>
    <w:rsid w:val="3DC47986"/>
    <w:rsid w:val="3DCF55B8"/>
    <w:rsid w:val="3DD15312"/>
    <w:rsid w:val="3DD762EC"/>
    <w:rsid w:val="3DE73DC7"/>
    <w:rsid w:val="3DF16CC9"/>
    <w:rsid w:val="3DF72433"/>
    <w:rsid w:val="3DF868B1"/>
    <w:rsid w:val="3DFF257C"/>
    <w:rsid w:val="3E0625F1"/>
    <w:rsid w:val="3E16163E"/>
    <w:rsid w:val="3E3F5563"/>
    <w:rsid w:val="3E400403"/>
    <w:rsid w:val="3E455900"/>
    <w:rsid w:val="3E5D13E5"/>
    <w:rsid w:val="3E6A673F"/>
    <w:rsid w:val="3E6D18D5"/>
    <w:rsid w:val="3E7A697E"/>
    <w:rsid w:val="3E7B188D"/>
    <w:rsid w:val="3E7C4426"/>
    <w:rsid w:val="3EA54AEC"/>
    <w:rsid w:val="3EB62475"/>
    <w:rsid w:val="3EB70D5B"/>
    <w:rsid w:val="3EBA4335"/>
    <w:rsid w:val="3ECF6F7F"/>
    <w:rsid w:val="3ED73B69"/>
    <w:rsid w:val="3EDA6200"/>
    <w:rsid w:val="3EF02541"/>
    <w:rsid w:val="3EF56EA8"/>
    <w:rsid w:val="3EF826A9"/>
    <w:rsid w:val="3EF87EE0"/>
    <w:rsid w:val="3EFE5508"/>
    <w:rsid w:val="3F0B4374"/>
    <w:rsid w:val="3F220C46"/>
    <w:rsid w:val="3F245B44"/>
    <w:rsid w:val="3F2D7134"/>
    <w:rsid w:val="3F345B3C"/>
    <w:rsid w:val="3F377C4D"/>
    <w:rsid w:val="3F390BBD"/>
    <w:rsid w:val="3F3C615C"/>
    <w:rsid w:val="3F413FC8"/>
    <w:rsid w:val="3F444140"/>
    <w:rsid w:val="3F474F37"/>
    <w:rsid w:val="3F4E165D"/>
    <w:rsid w:val="3F560469"/>
    <w:rsid w:val="3F701854"/>
    <w:rsid w:val="3F7D3ADD"/>
    <w:rsid w:val="3F875B5D"/>
    <w:rsid w:val="3F88405F"/>
    <w:rsid w:val="3F885E53"/>
    <w:rsid w:val="3F975749"/>
    <w:rsid w:val="3FA71958"/>
    <w:rsid w:val="3FAD37BF"/>
    <w:rsid w:val="3FAF1B02"/>
    <w:rsid w:val="3FB745CE"/>
    <w:rsid w:val="3FB803AD"/>
    <w:rsid w:val="3FE360CE"/>
    <w:rsid w:val="3FEE058D"/>
    <w:rsid w:val="400D26C9"/>
    <w:rsid w:val="4010513A"/>
    <w:rsid w:val="40170566"/>
    <w:rsid w:val="40180869"/>
    <w:rsid w:val="401D2697"/>
    <w:rsid w:val="40263D12"/>
    <w:rsid w:val="402D343E"/>
    <w:rsid w:val="40465693"/>
    <w:rsid w:val="404E0914"/>
    <w:rsid w:val="40642112"/>
    <w:rsid w:val="406557A3"/>
    <w:rsid w:val="40700439"/>
    <w:rsid w:val="407478A4"/>
    <w:rsid w:val="40757154"/>
    <w:rsid w:val="407774F2"/>
    <w:rsid w:val="407F392C"/>
    <w:rsid w:val="408714EB"/>
    <w:rsid w:val="40886180"/>
    <w:rsid w:val="4092220E"/>
    <w:rsid w:val="40A3691C"/>
    <w:rsid w:val="40A80C39"/>
    <w:rsid w:val="40AA46DB"/>
    <w:rsid w:val="40AC1BD8"/>
    <w:rsid w:val="40B035DA"/>
    <w:rsid w:val="40B60EFF"/>
    <w:rsid w:val="40B86D1D"/>
    <w:rsid w:val="40C21800"/>
    <w:rsid w:val="40C52375"/>
    <w:rsid w:val="40C95417"/>
    <w:rsid w:val="40CC5F92"/>
    <w:rsid w:val="40CE3EA9"/>
    <w:rsid w:val="40D97F3D"/>
    <w:rsid w:val="40E4187B"/>
    <w:rsid w:val="40EF2A79"/>
    <w:rsid w:val="41091832"/>
    <w:rsid w:val="41106BD4"/>
    <w:rsid w:val="4113024B"/>
    <w:rsid w:val="413425F7"/>
    <w:rsid w:val="413705FB"/>
    <w:rsid w:val="414664BE"/>
    <w:rsid w:val="414C2FF5"/>
    <w:rsid w:val="41562C5B"/>
    <w:rsid w:val="41577809"/>
    <w:rsid w:val="417417B7"/>
    <w:rsid w:val="417C782E"/>
    <w:rsid w:val="41891B15"/>
    <w:rsid w:val="41935661"/>
    <w:rsid w:val="41A045CB"/>
    <w:rsid w:val="41A201A0"/>
    <w:rsid w:val="41A24024"/>
    <w:rsid w:val="41A44BA0"/>
    <w:rsid w:val="41AA541D"/>
    <w:rsid w:val="41B05D9D"/>
    <w:rsid w:val="41B81C84"/>
    <w:rsid w:val="41C811B1"/>
    <w:rsid w:val="41D13F3B"/>
    <w:rsid w:val="41DC7EAF"/>
    <w:rsid w:val="41DE20A6"/>
    <w:rsid w:val="41E17726"/>
    <w:rsid w:val="41EC2578"/>
    <w:rsid w:val="41FE0A35"/>
    <w:rsid w:val="421021E8"/>
    <w:rsid w:val="42193618"/>
    <w:rsid w:val="421967C5"/>
    <w:rsid w:val="422201E6"/>
    <w:rsid w:val="42296647"/>
    <w:rsid w:val="422D5F42"/>
    <w:rsid w:val="422E0E66"/>
    <w:rsid w:val="422F534F"/>
    <w:rsid w:val="4235157D"/>
    <w:rsid w:val="42377E62"/>
    <w:rsid w:val="424877FA"/>
    <w:rsid w:val="425C5A6C"/>
    <w:rsid w:val="42725FCA"/>
    <w:rsid w:val="427379E8"/>
    <w:rsid w:val="429B4EB9"/>
    <w:rsid w:val="42A24A27"/>
    <w:rsid w:val="42A33756"/>
    <w:rsid w:val="42B50C8C"/>
    <w:rsid w:val="42B97D41"/>
    <w:rsid w:val="42BC67B8"/>
    <w:rsid w:val="42C36FFD"/>
    <w:rsid w:val="42C7148C"/>
    <w:rsid w:val="42CD47FD"/>
    <w:rsid w:val="42DF30FC"/>
    <w:rsid w:val="42ED32C7"/>
    <w:rsid w:val="42F733B5"/>
    <w:rsid w:val="42FB53B8"/>
    <w:rsid w:val="43022EF1"/>
    <w:rsid w:val="43032440"/>
    <w:rsid w:val="43063718"/>
    <w:rsid w:val="431210C5"/>
    <w:rsid w:val="43143E5B"/>
    <w:rsid w:val="4337488F"/>
    <w:rsid w:val="433900FF"/>
    <w:rsid w:val="43415137"/>
    <w:rsid w:val="4342366D"/>
    <w:rsid w:val="434449F1"/>
    <w:rsid w:val="434721E0"/>
    <w:rsid w:val="434754EC"/>
    <w:rsid w:val="434F6006"/>
    <w:rsid w:val="435E5192"/>
    <w:rsid w:val="43627D20"/>
    <w:rsid w:val="437A2A8A"/>
    <w:rsid w:val="43854217"/>
    <w:rsid w:val="438910AF"/>
    <w:rsid w:val="43893AA1"/>
    <w:rsid w:val="43944C1D"/>
    <w:rsid w:val="439455BD"/>
    <w:rsid w:val="43963872"/>
    <w:rsid w:val="439B1510"/>
    <w:rsid w:val="43A1201B"/>
    <w:rsid w:val="43AF7B3D"/>
    <w:rsid w:val="43B566CC"/>
    <w:rsid w:val="43C351CE"/>
    <w:rsid w:val="43C37E8B"/>
    <w:rsid w:val="43C73450"/>
    <w:rsid w:val="43E859AC"/>
    <w:rsid w:val="44133020"/>
    <w:rsid w:val="44242AC9"/>
    <w:rsid w:val="442D18F9"/>
    <w:rsid w:val="442F44B2"/>
    <w:rsid w:val="4440590B"/>
    <w:rsid w:val="44446B8A"/>
    <w:rsid w:val="444E2FA4"/>
    <w:rsid w:val="446704A8"/>
    <w:rsid w:val="447A198E"/>
    <w:rsid w:val="44866C3E"/>
    <w:rsid w:val="44917319"/>
    <w:rsid w:val="44DF0558"/>
    <w:rsid w:val="44E149AF"/>
    <w:rsid w:val="44EA636F"/>
    <w:rsid w:val="44ED22A2"/>
    <w:rsid w:val="44F47900"/>
    <w:rsid w:val="45045B8A"/>
    <w:rsid w:val="450D3E0C"/>
    <w:rsid w:val="4512219C"/>
    <w:rsid w:val="452D5D23"/>
    <w:rsid w:val="45390187"/>
    <w:rsid w:val="454A38F2"/>
    <w:rsid w:val="454F7BC5"/>
    <w:rsid w:val="45526D62"/>
    <w:rsid w:val="45575511"/>
    <w:rsid w:val="45733331"/>
    <w:rsid w:val="45736014"/>
    <w:rsid w:val="45797762"/>
    <w:rsid w:val="458C2A13"/>
    <w:rsid w:val="458D73E7"/>
    <w:rsid w:val="459121A2"/>
    <w:rsid w:val="459C6275"/>
    <w:rsid w:val="459E44CB"/>
    <w:rsid w:val="45A21F11"/>
    <w:rsid w:val="45A500A9"/>
    <w:rsid w:val="45B76774"/>
    <w:rsid w:val="45C509E4"/>
    <w:rsid w:val="45C91178"/>
    <w:rsid w:val="45CF79BB"/>
    <w:rsid w:val="45DA3C1C"/>
    <w:rsid w:val="45E151A8"/>
    <w:rsid w:val="45F13C03"/>
    <w:rsid w:val="45F450B8"/>
    <w:rsid w:val="45F54587"/>
    <w:rsid w:val="45FC22BD"/>
    <w:rsid w:val="45FD7EF3"/>
    <w:rsid w:val="46196930"/>
    <w:rsid w:val="46273BA6"/>
    <w:rsid w:val="462771BF"/>
    <w:rsid w:val="46475FFF"/>
    <w:rsid w:val="464804FB"/>
    <w:rsid w:val="464A39AD"/>
    <w:rsid w:val="46501DFC"/>
    <w:rsid w:val="46521114"/>
    <w:rsid w:val="46551AD8"/>
    <w:rsid w:val="465C1E4B"/>
    <w:rsid w:val="46604BE3"/>
    <w:rsid w:val="466461FE"/>
    <w:rsid w:val="466539CA"/>
    <w:rsid w:val="466C2E4C"/>
    <w:rsid w:val="466E0597"/>
    <w:rsid w:val="466E101F"/>
    <w:rsid w:val="466E47E5"/>
    <w:rsid w:val="467708F6"/>
    <w:rsid w:val="467C3595"/>
    <w:rsid w:val="46956D7E"/>
    <w:rsid w:val="46962CEB"/>
    <w:rsid w:val="469C3907"/>
    <w:rsid w:val="46A13690"/>
    <w:rsid w:val="46A73C30"/>
    <w:rsid w:val="46A84601"/>
    <w:rsid w:val="46C15359"/>
    <w:rsid w:val="46C35113"/>
    <w:rsid w:val="46CB33CA"/>
    <w:rsid w:val="46E704A0"/>
    <w:rsid w:val="46F35246"/>
    <w:rsid w:val="46F44A40"/>
    <w:rsid w:val="46F54AC0"/>
    <w:rsid w:val="46FE0B83"/>
    <w:rsid w:val="47006727"/>
    <w:rsid w:val="47117C38"/>
    <w:rsid w:val="47127912"/>
    <w:rsid w:val="472205B5"/>
    <w:rsid w:val="473C4E2E"/>
    <w:rsid w:val="474B7E99"/>
    <w:rsid w:val="474E4167"/>
    <w:rsid w:val="475136AB"/>
    <w:rsid w:val="47554884"/>
    <w:rsid w:val="47667EA1"/>
    <w:rsid w:val="47694506"/>
    <w:rsid w:val="476D18A6"/>
    <w:rsid w:val="47713CD9"/>
    <w:rsid w:val="47742C6D"/>
    <w:rsid w:val="477F2D90"/>
    <w:rsid w:val="47807873"/>
    <w:rsid w:val="47876C52"/>
    <w:rsid w:val="47880E62"/>
    <w:rsid w:val="47C10B9F"/>
    <w:rsid w:val="47CB0B78"/>
    <w:rsid w:val="47D04308"/>
    <w:rsid w:val="47D04A17"/>
    <w:rsid w:val="47E12EA2"/>
    <w:rsid w:val="47F2134B"/>
    <w:rsid w:val="47F42759"/>
    <w:rsid w:val="47F92A48"/>
    <w:rsid w:val="47F92B19"/>
    <w:rsid w:val="47FA32FF"/>
    <w:rsid w:val="480C4832"/>
    <w:rsid w:val="481625AB"/>
    <w:rsid w:val="48291EB8"/>
    <w:rsid w:val="482960F3"/>
    <w:rsid w:val="482B042E"/>
    <w:rsid w:val="483B37EE"/>
    <w:rsid w:val="48535913"/>
    <w:rsid w:val="485A3940"/>
    <w:rsid w:val="487911F2"/>
    <w:rsid w:val="488C3AB2"/>
    <w:rsid w:val="489C00D6"/>
    <w:rsid w:val="489E0F69"/>
    <w:rsid w:val="48A34B7D"/>
    <w:rsid w:val="48A562CE"/>
    <w:rsid w:val="48BE3ED6"/>
    <w:rsid w:val="48C30112"/>
    <w:rsid w:val="48C351C4"/>
    <w:rsid w:val="48C44828"/>
    <w:rsid w:val="48C94E3F"/>
    <w:rsid w:val="48DE3607"/>
    <w:rsid w:val="490439AB"/>
    <w:rsid w:val="490E62D2"/>
    <w:rsid w:val="49244970"/>
    <w:rsid w:val="49320888"/>
    <w:rsid w:val="49331633"/>
    <w:rsid w:val="49390EE0"/>
    <w:rsid w:val="493B4123"/>
    <w:rsid w:val="493D5FFC"/>
    <w:rsid w:val="49472122"/>
    <w:rsid w:val="49536F51"/>
    <w:rsid w:val="49556DCF"/>
    <w:rsid w:val="4956250B"/>
    <w:rsid w:val="495970C6"/>
    <w:rsid w:val="495D3483"/>
    <w:rsid w:val="496720EE"/>
    <w:rsid w:val="496A6BBB"/>
    <w:rsid w:val="4975067E"/>
    <w:rsid w:val="497A320C"/>
    <w:rsid w:val="497C32E8"/>
    <w:rsid w:val="497D4D0C"/>
    <w:rsid w:val="49876536"/>
    <w:rsid w:val="499873DD"/>
    <w:rsid w:val="49AF6770"/>
    <w:rsid w:val="49B83816"/>
    <w:rsid w:val="49C32C65"/>
    <w:rsid w:val="49C51B23"/>
    <w:rsid w:val="49D327B8"/>
    <w:rsid w:val="49D428E8"/>
    <w:rsid w:val="49E552E1"/>
    <w:rsid w:val="49E859C9"/>
    <w:rsid w:val="49FA045B"/>
    <w:rsid w:val="49FB612E"/>
    <w:rsid w:val="4A023501"/>
    <w:rsid w:val="4A0F2B9B"/>
    <w:rsid w:val="4A2034D5"/>
    <w:rsid w:val="4A264E1C"/>
    <w:rsid w:val="4A295378"/>
    <w:rsid w:val="4A2A30F0"/>
    <w:rsid w:val="4A2B49D9"/>
    <w:rsid w:val="4A302D68"/>
    <w:rsid w:val="4A321CE9"/>
    <w:rsid w:val="4A35464A"/>
    <w:rsid w:val="4A387676"/>
    <w:rsid w:val="4A3F5AF8"/>
    <w:rsid w:val="4A4923C8"/>
    <w:rsid w:val="4A575DC1"/>
    <w:rsid w:val="4A5C7705"/>
    <w:rsid w:val="4A5E686B"/>
    <w:rsid w:val="4A630230"/>
    <w:rsid w:val="4A800E7A"/>
    <w:rsid w:val="4A83110F"/>
    <w:rsid w:val="4A912585"/>
    <w:rsid w:val="4A92792A"/>
    <w:rsid w:val="4AB024B8"/>
    <w:rsid w:val="4AB66A4C"/>
    <w:rsid w:val="4AB75733"/>
    <w:rsid w:val="4AB9313E"/>
    <w:rsid w:val="4ABA6452"/>
    <w:rsid w:val="4AC25222"/>
    <w:rsid w:val="4AD72ED9"/>
    <w:rsid w:val="4ADD7312"/>
    <w:rsid w:val="4ADE1575"/>
    <w:rsid w:val="4AE12545"/>
    <w:rsid w:val="4AE96741"/>
    <w:rsid w:val="4B270158"/>
    <w:rsid w:val="4B375222"/>
    <w:rsid w:val="4B5B5CF9"/>
    <w:rsid w:val="4B615BF5"/>
    <w:rsid w:val="4B7353FF"/>
    <w:rsid w:val="4B790EEC"/>
    <w:rsid w:val="4B7D0318"/>
    <w:rsid w:val="4B7E7D40"/>
    <w:rsid w:val="4B9D4A43"/>
    <w:rsid w:val="4BA67995"/>
    <w:rsid w:val="4BAB6751"/>
    <w:rsid w:val="4BB43D6C"/>
    <w:rsid w:val="4BB9451C"/>
    <w:rsid w:val="4BBB73D3"/>
    <w:rsid w:val="4BCA1A8C"/>
    <w:rsid w:val="4BCA6760"/>
    <w:rsid w:val="4BCA677B"/>
    <w:rsid w:val="4BCE5C60"/>
    <w:rsid w:val="4BD92273"/>
    <w:rsid w:val="4BDA370A"/>
    <w:rsid w:val="4BDB47B1"/>
    <w:rsid w:val="4BE11136"/>
    <w:rsid w:val="4BE130EF"/>
    <w:rsid w:val="4BE70CFD"/>
    <w:rsid w:val="4BE8101A"/>
    <w:rsid w:val="4BF114C5"/>
    <w:rsid w:val="4BF27FFE"/>
    <w:rsid w:val="4BF776C8"/>
    <w:rsid w:val="4BF817F0"/>
    <w:rsid w:val="4BFF1E9D"/>
    <w:rsid w:val="4C012E67"/>
    <w:rsid w:val="4C096104"/>
    <w:rsid w:val="4C107353"/>
    <w:rsid w:val="4C120A89"/>
    <w:rsid w:val="4C1272B6"/>
    <w:rsid w:val="4C1D3A50"/>
    <w:rsid w:val="4C206594"/>
    <w:rsid w:val="4C293A06"/>
    <w:rsid w:val="4C2B749E"/>
    <w:rsid w:val="4C3552E0"/>
    <w:rsid w:val="4C377271"/>
    <w:rsid w:val="4C5B24B7"/>
    <w:rsid w:val="4C753A2E"/>
    <w:rsid w:val="4C795929"/>
    <w:rsid w:val="4C83436B"/>
    <w:rsid w:val="4C9D0E77"/>
    <w:rsid w:val="4CA32589"/>
    <w:rsid w:val="4CA439C2"/>
    <w:rsid w:val="4CA86150"/>
    <w:rsid w:val="4CB26BC6"/>
    <w:rsid w:val="4CBA53C9"/>
    <w:rsid w:val="4CBA7A79"/>
    <w:rsid w:val="4CBE4656"/>
    <w:rsid w:val="4CCD4A8E"/>
    <w:rsid w:val="4CD01C1D"/>
    <w:rsid w:val="4CD23939"/>
    <w:rsid w:val="4CD479AE"/>
    <w:rsid w:val="4CDA3DF1"/>
    <w:rsid w:val="4CF31D01"/>
    <w:rsid w:val="4CF345E9"/>
    <w:rsid w:val="4CF37166"/>
    <w:rsid w:val="4D013554"/>
    <w:rsid w:val="4D172F4C"/>
    <w:rsid w:val="4D1976E9"/>
    <w:rsid w:val="4D206803"/>
    <w:rsid w:val="4D2A4597"/>
    <w:rsid w:val="4D3622EC"/>
    <w:rsid w:val="4D4D6157"/>
    <w:rsid w:val="4D4E2EF6"/>
    <w:rsid w:val="4D512B82"/>
    <w:rsid w:val="4D5E61B1"/>
    <w:rsid w:val="4D5F3250"/>
    <w:rsid w:val="4D624D0F"/>
    <w:rsid w:val="4D6524DF"/>
    <w:rsid w:val="4D81196F"/>
    <w:rsid w:val="4D917391"/>
    <w:rsid w:val="4DAA4533"/>
    <w:rsid w:val="4DAE7110"/>
    <w:rsid w:val="4DB273D0"/>
    <w:rsid w:val="4DB3574A"/>
    <w:rsid w:val="4DB47F5F"/>
    <w:rsid w:val="4DB60555"/>
    <w:rsid w:val="4DB9036C"/>
    <w:rsid w:val="4DBD29E5"/>
    <w:rsid w:val="4DD80944"/>
    <w:rsid w:val="4DDD132C"/>
    <w:rsid w:val="4DEC433D"/>
    <w:rsid w:val="4DF56882"/>
    <w:rsid w:val="4DFA202B"/>
    <w:rsid w:val="4DFB3826"/>
    <w:rsid w:val="4DFB404A"/>
    <w:rsid w:val="4DFF5FE1"/>
    <w:rsid w:val="4E004E11"/>
    <w:rsid w:val="4E02672D"/>
    <w:rsid w:val="4E0B35C6"/>
    <w:rsid w:val="4E101E5A"/>
    <w:rsid w:val="4E111D7D"/>
    <w:rsid w:val="4E11565A"/>
    <w:rsid w:val="4E141571"/>
    <w:rsid w:val="4E23634A"/>
    <w:rsid w:val="4E2E1B9A"/>
    <w:rsid w:val="4E397E73"/>
    <w:rsid w:val="4E3E7F1A"/>
    <w:rsid w:val="4E501EE8"/>
    <w:rsid w:val="4E507B8F"/>
    <w:rsid w:val="4E5E5CA9"/>
    <w:rsid w:val="4E6577D7"/>
    <w:rsid w:val="4E740323"/>
    <w:rsid w:val="4E7C592C"/>
    <w:rsid w:val="4E8C631B"/>
    <w:rsid w:val="4E901229"/>
    <w:rsid w:val="4E97097A"/>
    <w:rsid w:val="4EAE6108"/>
    <w:rsid w:val="4EB76402"/>
    <w:rsid w:val="4EBA7ADE"/>
    <w:rsid w:val="4EBB6425"/>
    <w:rsid w:val="4ECC0504"/>
    <w:rsid w:val="4EEA0E32"/>
    <w:rsid w:val="4EF02A78"/>
    <w:rsid w:val="4EF128E7"/>
    <w:rsid w:val="4EF3224D"/>
    <w:rsid w:val="4EF65D91"/>
    <w:rsid w:val="4F0B57B7"/>
    <w:rsid w:val="4F110258"/>
    <w:rsid w:val="4F242CFF"/>
    <w:rsid w:val="4F271FE0"/>
    <w:rsid w:val="4F28395D"/>
    <w:rsid w:val="4F3D12AF"/>
    <w:rsid w:val="4F435F75"/>
    <w:rsid w:val="4F462402"/>
    <w:rsid w:val="4F4B7163"/>
    <w:rsid w:val="4F4F5061"/>
    <w:rsid w:val="4F505B49"/>
    <w:rsid w:val="4F515127"/>
    <w:rsid w:val="4F64363A"/>
    <w:rsid w:val="4F664F45"/>
    <w:rsid w:val="4F683ABD"/>
    <w:rsid w:val="4F9C4C05"/>
    <w:rsid w:val="4F9F56D8"/>
    <w:rsid w:val="4FA1095C"/>
    <w:rsid w:val="4FAD0427"/>
    <w:rsid w:val="4FB31520"/>
    <w:rsid w:val="4FC17BEB"/>
    <w:rsid w:val="4FC54FC7"/>
    <w:rsid w:val="4FC8031C"/>
    <w:rsid w:val="4FC80CA0"/>
    <w:rsid w:val="4FE567F9"/>
    <w:rsid w:val="4FED597D"/>
    <w:rsid w:val="50132F14"/>
    <w:rsid w:val="5016100F"/>
    <w:rsid w:val="501C1C71"/>
    <w:rsid w:val="502D1F3E"/>
    <w:rsid w:val="50370E2F"/>
    <w:rsid w:val="50423185"/>
    <w:rsid w:val="50521611"/>
    <w:rsid w:val="50626581"/>
    <w:rsid w:val="50683DEE"/>
    <w:rsid w:val="5073617A"/>
    <w:rsid w:val="50851527"/>
    <w:rsid w:val="5085350C"/>
    <w:rsid w:val="508C5B97"/>
    <w:rsid w:val="508E1036"/>
    <w:rsid w:val="509222B5"/>
    <w:rsid w:val="5099511F"/>
    <w:rsid w:val="509958E8"/>
    <w:rsid w:val="509D6F1A"/>
    <w:rsid w:val="50A40878"/>
    <w:rsid w:val="50AD54A4"/>
    <w:rsid w:val="50B36982"/>
    <w:rsid w:val="50B64705"/>
    <w:rsid w:val="50BE7C53"/>
    <w:rsid w:val="50C23881"/>
    <w:rsid w:val="50CD2A71"/>
    <w:rsid w:val="50DB0FC8"/>
    <w:rsid w:val="50DB526B"/>
    <w:rsid w:val="50E271EB"/>
    <w:rsid w:val="50F52783"/>
    <w:rsid w:val="50F75A45"/>
    <w:rsid w:val="50FA090C"/>
    <w:rsid w:val="51033624"/>
    <w:rsid w:val="51045394"/>
    <w:rsid w:val="51070019"/>
    <w:rsid w:val="51083101"/>
    <w:rsid w:val="51201168"/>
    <w:rsid w:val="512201B1"/>
    <w:rsid w:val="51241DB4"/>
    <w:rsid w:val="5125768B"/>
    <w:rsid w:val="513B0B40"/>
    <w:rsid w:val="515046A0"/>
    <w:rsid w:val="51541678"/>
    <w:rsid w:val="516E7E74"/>
    <w:rsid w:val="51725EED"/>
    <w:rsid w:val="5181539A"/>
    <w:rsid w:val="518D42E9"/>
    <w:rsid w:val="518D48D8"/>
    <w:rsid w:val="51987499"/>
    <w:rsid w:val="519D435D"/>
    <w:rsid w:val="51A63F16"/>
    <w:rsid w:val="51AB658A"/>
    <w:rsid w:val="51AD0A9A"/>
    <w:rsid w:val="51B038D8"/>
    <w:rsid w:val="51B708C5"/>
    <w:rsid w:val="51D82331"/>
    <w:rsid w:val="51E21D4C"/>
    <w:rsid w:val="51E649E3"/>
    <w:rsid w:val="51F22B16"/>
    <w:rsid w:val="52035801"/>
    <w:rsid w:val="52054489"/>
    <w:rsid w:val="520E7A4E"/>
    <w:rsid w:val="52143FA1"/>
    <w:rsid w:val="521A2F58"/>
    <w:rsid w:val="521D7B5A"/>
    <w:rsid w:val="5227562F"/>
    <w:rsid w:val="52277372"/>
    <w:rsid w:val="524E3176"/>
    <w:rsid w:val="525A724E"/>
    <w:rsid w:val="526A773D"/>
    <w:rsid w:val="526B63C7"/>
    <w:rsid w:val="526F7388"/>
    <w:rsid w:val="527D64F4"/>
    <w:rsid w:val="527F1AD1"/>
    <w:rsid w:val="52835F46"/>
    <w:rsid w:val="52902B95"/>
    <w:rsid w:val="529058AA"/>
    <w:rsid w:val="52980C72"/>
    <w:rsid w:val="529879E5"/>
    <w:rsid w:val="52A914FA"/>
    <w:rsid w:val="52AC41D3"/>
    <w:rsid w:val="52BB6C18"/>
    <w:rsid w:val="52C16425"/>
    <w:rsid w:val="52C94053"/>
    <w:rsid w:val="52CA1202"/>
    <w:rsid w:val="52D5128F"/>
    <w:rsid w:val="52E0687E"/>
    <w:rsid w:val="52E51F2D"/>
    <w:rsid w:val="52F265A6"/>
    <w:rsid w:val="52F6660F"/>
    <w:rsid w:val="52F91536"/>
    <w:rsid w:val="52FA2775"/>
    <w:rsid w:val="53022FE9"/>
    <w:rsid w:val="530655F7"/>
    <w:rsid w:val="531B18F1"/>
    <w:rsid w:val="531D0942"/>
    <w:rsid w:val="532A1E84"/>
    <w:rsid w:val="533B3C5D"/>
    <w:rsid w:val="533D136C"/>
    <w:rsid w:val="53425AC2"/>
    <w:rsid w:val="53636CFC"/>
    <w:rsid w:val="53724BEC"/>
    <w:rsid w:val="537E4FEB"/>
    <w:rsid w:val="53821AEC"/>
    <w:rsid w:val="538453AD"/>
    <w:rsid w:val="5395599D"/>
    <w:rsid w:val="53961D66"/>
    <w:rsid w:val="539B1B44"/>
    <w:rsid w:val="53C51AB7"/>
    <w:rsid w:val="53D212D3"/>
    <w:rsid w:val="53D25034"/>
    <w:rsid w:val="53D52F54"/>
    <w:rsid w:val="53D71B5B"/>
    <w:rsid w:val="53E129BD"/>
    <w:rsid w:val="53E66EFC"/>
    <w:rsid w:val="53FA3329"/>
    <w:rsid w:val="54195E7F"/>
    <w:rsid w:val="541F7B5A"/>
    <w:rsid w:val="5421075C"/>
    <w:rsid w:val="5428145C"/>
    <w:rsid w:val="54496059"/>
    <w:rsid w:val="5450026E"/>
    <w:rsid w:val="54603A64"/>
    <w:rsid w:val="54624965"/>
    <w:rsid w:val="548F4CC8"/>
    <w:rsid w:val="549B62BA"/>
    <w:rsid w:val="549D3E62"/>
    <w:rsid w:val="549F3C12"/>
    <w:rsid w:val="54B84646"/>
    <w:rsid w:val="54B96367"/>
    <w:rsid w:val="54C3423A"/>
    <w:rsid w:val="54CA66E2"/>
    <w:rsid w:val="54D602A1"/>
    <w:rsid w:val="54D83E16"/>
    <w:rsid w:val="54E3736A"/>
    <w:rsid w:val="54E564E2"/>
    <w:rsid w:val="54ED5E0B"/>
    <w:rsid w:val="54F44FD7"/>
    <w:rsid w:val="54FC33FB"/>
    <w:rsid w:val="55130497"/>
    <w:rsid w:val="5543642D"/>
    <w:rsid w:val="55583375"/>
    <w:rsid w:val="55591ADC"/>
    <w:rsid w:val="55624FEC"/>
    <w:rsid w:val="558A1C37"/>
    <w:rsid w:val="559712AD"/>
    <w:rsid w:val="55A85901"/>
    <w:rsid w:val="55B25A06"/>
    <w:rsid w:val="55B341EA"/>
    <w:rsid w:val="55B67ADA"/>
    <w:rsid w:val="55B968C9"/>
    <w:rsid w:val="55DD07CB"/>
    <w:rsid w:val="55E36BDA"/>
    <w:rsid w:val="55E6600F"/>
    <w:rsid w:val="55F64073"/>
    <w:rsid w:val="55FA4577"/>
    <w:rsid w:val="55FE41D1"/>
    <w:rsid w:val="5603104A"/>
    <w:rsid w:val="56040010"/>
    <w:rsid w:val="560515D6"/>
    <w:rsid w:val="56127AF7"/>
    <w:rsid w:val="56143396"/>
    <w:rsid w:val="56165343"/>
    <w:rsid w:val="561C2BBC"/>
    <w:rsid w:val="561E405A"/>
    <w:rsid w:val="5624164E"/>
    <w:rsid w:val="56280FB4"/>
    <w:rsid w:val="56287D00"/>
    <w:rsid w:val="563108D7"/>
    <w:rsid w:val="56344689"/>
    <w:rsid w:val="564B12E2"/>
    <w:rsid w:val="565A5FAF"/>
    <w:rsid w:val="565D1B3A"/>
    <w:rsid w:val="567338FA"/>
    <w:rsid w:val="56741791"/>
    <w:rsid w:val="567720FB"/>
    <w:rsid w:val="56792B5A"/>
    <w:rsid w:val="568840C8"/>
    <w:rsid w:val="569C5CCF"/>
    <w:rsid w:val="569D558A"/>
    <w:rsid w:val="56C66E56"/>
    <w:rsid w:val="56D35216"/>
    <w:rsid w:val="56D80E22"/>
    <w:rsid w:val="56E609FE"/>
    <w:rsid w:val="56E849BD"/>
    <w:rsid w:val="56F55219"/>
    <w:rsid w:val="56FC32EE"/>
    <w:rsid w:val="57002171"/>
    <w:rsid w:val="57014B25"/>
    <w:rsid w:val="57082874"/>
    <w:rsid w:val="570F1816"/>
    <w:rsid w:val="571464BF"/>
    <w:rsid w:val="57154B99"/>
    <w:rsid w:val="57216719"/>
    <w:rsid w:val="574401FD"/>
    <w:rsid w:val="57460CDE"/>
    <w:rsid w:val="5747742B"/>
    <w:rsid w:val="574C61ED"/>
    <w:rsid w:val="57616B77"/>
    <w:rsid w:val="57783005"/>
    <w:rsid w:val="57820588"/>
    <w:rsid w:val="578872FE"/>
    <w:rsid w:val="578B0612"/>
    <w:rsid w:val="578E09C8"/>
    <w:rsid w:val="57984BFC"/>
    <w:rsid w:val="57B50E68"/>
    <w:rsid w:val="57C2699F"/>
    <w:rsid w:val="57D34B8F"/>
    <w:rsid w:val="580C22B0"/>
    <w:rsid w:val="580D489E"/>
    <w:rsid w:val="581273C4"/>
    <w:rsid w:val="581541AB"/>
    <w:rsid w:val="582B6DE7"/>
    <w:rsid w:val="582D17D1"/>
    <w:rsid w:val="58332048"/>
    <w:rsid w:val="583E68B6"/>
    <w:rsid w:val="584A3845"/>
    <w:rsid w:val="5854197C"/>
    <w:rsid w:val="5859055E"/>
    <w:rsid w:val="58592B6C"/>
    <w:rsid w:val="585C73DE"/>
    <w:rsid w:val="58671E27"/>
    <w:rsid w:val="5872456C"/>
    <w:rsid w:val="587E0E22"/>
    <w:rsid w:val="588C66CE"/>
    <w:rsid w:val="588E2F54"/>
    <w:rsid w:val="589012F4"/>
    <w:rsid w:val="58924CB6"/>
    <w:rsid w:val="58943051"/>
    <w:rsid w:val="589757DC"/>
    <w:rsid w:val="58B86235"/>
    <w:rsid w:val="58B92CD5"/>
    <w:rsid w:val="58D91630"/>
    <w:rsid w:val="58D924E8"/>
    <w:rsid w:val="58E04F18"/>
    <w:rsid w:val="58F24FD3"/>
    <w:rsid w:val="58F507FA"/>
    <w:rsid w:val="58FE010C"/>
    <w:rsid w:val="590537C7"/>
    <w:rsid w:val="59087A3B"/>
    <w:rsid w:val="590A6D0A"/>
    <w:rsid w:val="5918389B"/>
    <w:rsid w:val="59201D3F"/>
    <w:rsid w:val="59232CDF"/>
    <w:rsid w:val="5923662F"/>
    <w:rsid w:val="592A146D"/>
    <w:rsid w:val="592A3FD7"/>
    <w:rsid w:val="592C0F8C"/>
    <w:rsid w:val="593117C6"/>
    <w:rsid w:val="59326D97"/>
    <w:rsid w:val="593F5BFB"/>
    <w:rsid w:val="59510820"/>
    <w:rsid w:val="59631095"/>
    <w:rsid w:val="59642D25"/>
    <w:rsid w:val="596D622A"/>
    <w:rsid w:val="597039D8"/>
    <w:rsid w:val="59705710"/>
    <w:rsid w:val="5980599E"/>
    <w:rsid w:val="59830782"/>
    <w:rsid w:val="598B7BE3"/>
    <w:rsid w:val="598D2B3E"/>
    <w:rsid w:val="598F5DB6"/>
    <w:rsid w:val="59925104"/>
    <w:rsid w:val="599D1F10"/>
    <w:rsid w:val="59B53C0B"/>
    <w:rsid w:val="59BE54C7"/>
    <w:rsid w:val="59C32384"/>
    <w:rsid w:val="59C7047F"/>
    <w:rsid w:val="59C873A7"/>
    <w:rsid w:val="59C92887"/>
    <w:rsid w:val="59D53F86"/>
    <w:rsid w:val="59D618F0"/>
    <w:rsid w:val="59D834D0"/>
    <w:rsid w:val="5A074961"/>
    <w:rsid w:val="5A081175"/>
    <w:rsid w:val="5A0904E7"/>
    <w:rsid w:val="5A0F6A24"/>
    <w:rsid w:val="5A14018F"/>
    <w:rsid w:val="5A1931CB"/>
    <w:rsid w:val="5A2230FD"/>
    <w:rsid w:val="5A244DA8"/>
    <w:rsid w:val="5A275A3E"/>
    <w:rsid w:val="5A323F2E"/>
    <w:rsid w:val="5A3466A7"/>
    <w:rsid w:val="5A3B2038"/>
    <w:rsid w:val="5A3C0022"/>
    <w:rsid w:val="5A457154"/>
    <w:rsid w:val="5A577865"/>
    <w:rsid w:val="5A5A0DC0"/>
    <w:rsid w:val="5A5F7BB7"/>
    <w:rsid w:val="5A6A684F"/>
    <w:rsid w:val="5A7016A3"/>
    <w:rsid w:val="5A7C6146"/>
    <w:rsid w:val="5A814B6A"/>
    <w:rsid w:val="5A861579"/>
    <w:rsid w:val="5A932139"/>
    <w:rsid w:val="5AB04B7C"/>
    <w:rsid w:val="5ABB26BD"/>
    <w:rsid w:val="5ABB78FD"/>
    <w:rsid w:val="5AC513E6"/>
    <w:rsid w:val="5AD11F8A"/>
    <w:rsid w:val="5AD75B1E"/>
    <w:rsid w:val="5ADD1B77"/>
    <w:rsid w:val="5AE36E29"/>
    <w:rsid w:val="5AE47F6B"/>
    <w:rsid w:val="5AF86E1D"/>
    <w:rsid w:val="5B0B453A"/>
    <w:rsid w:val="5B0E568D"/>
    <w:rsid w:val="5B0E79CB"/>
    <w:rsid w:val="5B145147"/>
    <w:rsid w:val="5B1675EC"/>
    <w:rsid w:val="5B182EB4"/>
    <w:rsid w:val="5B1F2397"/>
    <w:rsid w:val="5B2A5C58"/>
    <w:rsid w:val="5B4E4149"/>
    <w:rsid w:val="5B5126DF"/>
    <w:rsid w:val="5B575FC1"/>
    <w:rsid w:val="5B587003"/>
    <w:rsid w:val="5B6112BC"/>
    <w:rsid w:val="5B721270"/>
    <w:rsid w:val="5B747021"/>
    <w:rsid w:val="5B79724E"/>
    <w:rsid w:val="5B9D35CE"/>
    <w:rsid w:val="5BA82576"/>
    <w:rsid w:val="5BB12746"/>
    <w:rsid w:val="5BBB2338"/>
    <w:rsid w:val="5BBD3F5E"/>
    <w:rsid w:val="5BC465F5"/>
    <w:rsid w:val="5BCD5094"/>
    <w:rsid w:val="5BE7177C"/>
    <w:rsid w:val="5C00398E"/>
    <w:rsid w:val="5C1073BD"/>
    <w:rsid w:val="5C145886"/>
    <w:rsid w:val="5C2A3CC5"/>
    <w:rsid w:val="5C2C738A"/>
    <w:rsid w:val="5C322CBC"/>
    <w:rsid w:val="5C3315E5"/>
    <w:rsid w:val="5C3E280A"/>
    <w:rsid w:val="5C4A7B15"/>
    <w:rsid w:val="5C4D6B87"/>
    <w:rsid w:val="5C533220"/>
    <w:rsid w:val="5C5B77B0"/>
    <w:rsid w:val="5C627F15"/>
    <w:rsid w:val="5C681C4C"/>
    <w:rsid w:val="5C767EBB"/>
    <w:rsid w:val="5C845F78"/>
    <w:rsid w:val="5C8D2E57"/>
    <w:rsid w:val="5C8F760F"/>
    <w:rsid w:val="5CA42512"/>
    <w:rsid w:val="5CA97A85"/>
    <w:rsid w:val="5CBD7355"/>
    <w:rsid w:val="5CD51A0B"/>
    <w:rsid w:val="5CE51A06"/>
    <w:rsid w:val="5CE72FD0"/>
    <w:rsid w:val="5CEF687A"/>
    <w:rsid w:val="5CF20163"/>
    <w:rsid w:val="5CF8199E"/>
    <w:rsid w:val="5CFA5416"/>
    <w:rsid w:val="5D0C7EA8"/>
    <w:rsid w:val="5D0F6082"/>
    <w:rsid w:val="5D2A6834"/>
    <w:rsid w:val="5D2C4EA8"/>
    <w:rsid w:val="5D2E3A93"/>
    <w:rsid w:val="5D327B68"/>
    <w:rsid w:val="5D3B0B7E"/>
    <w:rsid w:val="5D3D2AB3"/>
    <w:rsid w:val="5D42117D"/>
    <w:rsid w:val="5D45247D"/>
    <w:rsid w:val="5D4D7E91"/>
    <w:rsid w:val="5D5023AE"/>
    <w:rsid w:val="5D594A51"/>
    <w:rsid w:val="5D5D48EB"/>
    <w:rsid w:val="5D613A29"/>
    <w:rsid w:val="5D6E3ADD"/>
    <w:rsid w:val="5D71111B"/>
    <w:rsid w:val="5D711735"/>
    <w:rsid w:val="5D753D5B"/>
    <w:rsid w:val="5D782697"/>
    <w:rsid w:val="5D837D19"/>
    <w:rsid w:val="5D93024C"/>
    <w:rsid w:val="5D955500"/>
    <w:rsid w:val="5D9D7568"/>
    <w:rsid w:val="5DA23E51"/>
    <w:rsid w:val="5DA7249B"/>
    <w:rsid w:val="5DAE4C2A"/>
    <w:rsid w:val="5DBB1D66"/>
    <w:rsid w:val="5DCA4BD3"/>
    <w:rsid w:val="5DCA69C8"/>
    <w:rsid w:val="5DD85AA6"/>
    <w:rsid w:val="5DDA7CB9"/>
    <w:rsid w:val="5DE54EF9"/>
    <w:rsid w:val="5DE91B68"/>
    <w:rsid w:val="5DF55061"/>
    <w:rsid w:val="5DFE68D7"/>
    <w:rsid w:val="5E09513B"/>
    <w:rsid w:val="5E0D5A0E"/>
    <w:rsid w:val="5E17009F"/>
    <w:rsid w:val="5E190E78"/>
    <w:rsid w:val="5E1F2BED"/>
    <w:rsid w:val="5E2856E8"/>
    <w:rsid w:val="5E326D9B"/>
    <w:rsid w:val="5E345CE2"/>
    <w:rsid w:val="5E391196"/>
    <w:rsid w:val="5E4203C8"/>
    <w:rsid w:val="5E4742D2"/>
    <w:rsid w:val="5E4930CB"/>
    <w:rsid w:val="5E521B6E"/>
    <w:rsid w:val="5E59164F"/>
    <w:rsid w:val="5E611783"/>
    <w:rsid w:val="5E694472"/>
    <w:rsid w:val="5E856D7A"/>
    <w:rsid w:val="5E9C0186"/>
    <w:rsid w:val="5EA9277F"/>
    <w:rsid w:val="5EB47A30"/>
    <w:rsid w:val="5ECA70E1"/>
    <w:rsid w:val="5ECB2C2A"/>
    <w:rsid w:val="5ECC04CF"/>
    <w:rsid w:val="5ED755DA"/>
    <w:rsid w:val="5ED959A3"/>
    <w:rsid w:val="5EDA6695"/>
    <w:rsid w:val="5EE31B0E"/>
    <w:rsid w:val="5EE32938"/>
    <w:rsid w:val="5EE601B9"/>
    <w:rsid w:val="5EE60AD0"/>
    <w:rsid w:val="5EE90214"/>
    <w:rsid w:val="5EEF4EA4"/>
    <w:rsid w:val="5EF36B9F"/>
    <w:rsid w:val="5EF50977"/>
    <w:rsid w:val="5EF75BB0"/>
    <w:rsid w:val="5EF93841"/>
    <w:rsid w:val="5EFE2B12"/>
    <w:rsid w:val="5F0F5E5E"/>
    <w:rsid w:val="5F1151FC"/>
    <w:rsid w:val="5F1A3140"/>
    <w:rsid w:val="5F1B7C84"/>
    <w:rsid w:val="5F2B721D"/>
    <w:rsid w:val="5F2D1DCE"/>
    <w:rsid w:val="5F5678FB"/>
    <w:rsid w:val="5F600E8B"/>
    <w:rsid w:val="5F644322"/>
    <w:rsid w:val="5F7710FC"/>
    <w:rsid w:val="5F9B29CB"/>
    <w:rsid w:val="5F9C0470"/>
    <w:rsid w:val="5F9D5D1C"/>
    <w:rsid w:val="5FA20BB1"/>
    <w:rsid w:val="5FD45ACD"/>
    <w:rsid w:val="5FD45D98"/>
    <w:rsid w:val="5FE12A3F"/>
    <w:rsid w:val="5FE156CC"/>
    <w:rsid w:val="5FE224B7"/>
    <w:rsid w:val="5FED55A7"/>
    <w:rsid w:val="5FF33B3B"/>
    <w:rsid w:val="5FF4550A"/>
    <w:rsid w:val="5FF477F7"/>
    <w:rsid w:val="5FFA6E1D"/>
    <w:rsid w:val="5FFB1880"/>
    <w:rsid w:val="60002657"/>
    <w:rsid w:val="60043213"/>
    <w:rsid w:val="600C73D8"/>
    <w:rsid w:val="60193B00"/>
    <w:rsid w:val="601B02B8"/>
    <w:rsid w:val="604B6626"/>
    <w:rsid w:val="604E2513"/>
    <w:rsid w:val="60503BB2"/>
    <w:rsid w:val="60515D8A"/>
    <w:rsid w:val="605745D1"/>
    <w:rsid w:val="605B578F"/>
    <w:rsid w:val="607420F4"/>
    <w:rsid w:val="607C686C"/>
    <w:rsid w:val="607F2013"/>
    <w:rsid w:val="60837059"/>
    <w:rsid w:val="60895F4B"/>
    <w:rsid w:val="608A2918"/>
    <w:rsid w:val="60AA39A6"/>
    <w:rsid w:val="60AC412E"/>
    <w:rsid w:val="60B84E91"/>
    <w:rsid w:val="60B97CF6"/>
    <w:rsid w:val="60BB025F"/>
    <w:rsid w:val="60BF2E8A"/>
    <w:rsid w:val="60C3283C"/>
    <w:rsid w:val="60D0357B"/>
    <w:rsid w:val="60D524A3"/>
    <w:rsid w:val="60D86B46"/>
    <w:rsid w:val="60D96240"/>
    <w:rsid w:val="60DA5EFE"/>
    <w:rsid w:val="60E01F36"/>
    <w:rsid w:val="60F0394C"/>
    <w:rsid w:val="60F31FD4"/>
    <w:rsid w:val="60FE083D"/>
    <w:rsid w:val="60FE5440"/>
    <w:rsid w:val="610709DC"/>
    <w:rsid w:val="610A7C7C"/>
    <w:rsid w:val="610F6D17"/>
    <w:rsid w:val="61213344"/>
    <w:rsid w:val="61223919"/>
    <w:rsid w:val="61414F20"/>
    <w:rsid w:val="61454D60"/>
    <w:rsid w:val="61492AE6"/>
    <w:rsid w:val="61543DD9"/>
    <w:rsid w:val="616D6250"/>
    <w:rsid w:val="617A31AF"/>
    <w:rsid w:val="617B24D4"/>
    <w:rsid w:val="619511C7"/>
    <w:rsid w:val="619824C7"/>
    <w:rsid w:val="619D2D92"/>
    <w:rsid w:val="619E4A04"/>
    <w:rsid w:val="61A84D90"/>
    <w:rsid w:val="61CA6D5D"/>
    <w:rsid w:val="61D77403"/>
    <w:rsid w:val="61DC41FF"/>
    <w:rsid w:val="61DD4E07"/>
    <w:rsid w:val="61DF5026"/>
    <w:rsid w:val="61E83C8E"/>
    <w:rsid w:val="61E90FA2"/>
    <w:rsid w:val="61ED3C5D"/>
    <w:rsid w:val="61F375FB"/>
    <w:rsid w:val="61F73999"/>
    <w:rsid w:val="620A1347"/>
    <w:rsid w:val="62222D32"/>
    <w:rsid w:val="62295191"/>
    <w:rsid w:val="622B7118"/>
    <w:rsid w:val="62465FB6"/>
    <w:rsid w:val="624936A1"/>
    <w:rsid w:val="624F044C"/>
    <w:rsid w:val="625606F7"/>
    <w:rsid w:val="62572B66"/>
    <w:rsid w:val="62591B1B"/>
    <w:rsid w:val="62594521"/>
    <w:rsid w:val="625B7626"/>
    <w:rsid w:val="626627A8"/>
    <w:rsid w:val="628D1349"/>
    <w:rsid w:val="62916EE4"/>
    <w:rsid w:val="62937072"/>
    <w:rsid w:val="62A17CFD"/>
    <w:rsid w:val="62A82C2E"/>
    <w:rsid w:val="62AB3C3A"/>
    <w:rsid w:val="62AE0314"/>
    <w:rsid w:val="62AE77CB"/>
    <w:rsid w:val="62B521F8"/>
    <w:rsid w:val="62BA799F"/>
    <w:rsid w:val="62CE4EF9"/>
    <w:rsid w:val="62DB533B"/>
    <w:rsid w:val="62E14FD4"/>
    <w:rsid w:val="62E443F1"/>
    <w:rsid w:val="63034B01"/>
    <w:rsid w:val="632349A7"/>
    <w:rsid w:val="632546F1"/>
    <w:rsid w:val="632B705B"/>
    <w:rsid w:val="633A7F19"/>
    <w:rsid w:val="633B2F7B"/>
    <w:rsid w:val="63416D4D"/>
    <w:rsid w:val="63430AB2"/>
    <w:rsid w:val="634C2526"/>
    <w:rsid w:val="63530946"/>
    <w:rsid w:val="63623C2D"/>
    <w:rsid w:val="63711DBB"/>
    <w:rsid w:val="63747CDA"/>
    <w:rsid w:val="6377748E"/>
    <w:rsid w:val="638270BC"/>
    <w:rsid w:val="63880AC5"/>
    <w:rsid w:val="63893244"/>
    <w:rsid w:val="63997531"/>
    <w:rsid w:val="63B0575C"/>
    <w:rsid w:val="63B31BA7"/>
    <w:rsid w:val="63B4523F"/>
    <w:rsid w:val="63B61265"/>
    <w:rsid w:val="63C63BA2"/>
    <w:rsid w:val="63D05F98"/>
    <w:rsid w:val="63DE414E"/>
    <w:rsid w:val="63E36F96"/>
    <w:rsid w:val="63E439C8"/>
    <w:rsid w:val="63E4550A"/>
    <w:rsid w:val="63F022F8"/>
    <w:rsid w:val="64106257"/>
    <w:rsid w:val="64182BB0"/>
    <w:rsid w:val="64183860"/>
    <w:rsid w:val="642A70CC"/>
    <w:rsid w:val="6437450E"/>
    <w:rsid w:val="643F7987"/>
    <w:rsid w:val="64447296"/>
    <w:rsid w:val="6449047F"/>
    <w:rsid w:val="64493549"/>
    <w:rsid w:val="644F7126"/>
    <w:rsid w:val="64502AB0"/>
    <w:rsid w:val="6452297C"/>
    <w:rsid w:val="645635A4"/>
    <w:rsid w:val="645F3296"/>
    <w:rsid w:val="64645DAF"/>
    <w:rsid w:val="646820E2"/>
    <w:rsid w:val="646E2612"/>
    <w:rsid w:val="64771180"/>
    <w:rsid w:val="64772340"/>
    <w:rsid w:val="647B51A5"/>
    <w:rsid w:val="647B6ABE"/>
    <w:rsid w:val="64872742"/>
    <w:rsid w:val="6488483C"/>
    <w:rsid w:val="648A3632"/>
    <w:rsid w:val="648C71C0"/>
    <w:rsid w:val="648E66A8"/>
    <w:rsid w:val="64900E8F"/>
    <w:rsid w:val="64907FFD"/>
    <w:rsid w:val="64952C52"/>
    <w:rsid w:val="64B97C8A"/>
    <w:rsid w:val="64BF1F49"/>
    <w:rsid w:val="64BF4E16"/>
    <w:rsid w:val="64C84A10"/>
    <w:rsid w:val="64C93081"/>
    <w:rsid w:val="64D810B3"/>
    <w:rsid w:val="64D90FC0"/>
    <w:rsid w:val="64FE1374"/>
    <w:rsid w:val="650564CD"/>
    <w:rsid w:val="650716F5"/>
    <w:rsid w:val="65081CBC"/>
    <w:rsid w:val="650D70C4"/>
    <w:rsid w:val="65123919"/>
    <w:rsid w:val="65163696"/>
    <w:rsid w:val="651F4688"/>
    <w:rsid w:val="653E6AA8"/>
    <w:rsid w:val="65467906"/>
    <w:rsid w:val="654845A6"/>
    <w:rsid w:val="654C1B06"/>
    <w:rsid w:val="654C60FA"/>
    <w:rsid w:val="655B190D"/>
    <w:rsid w:val="65640854"/>
    <w:rsid w:val="656A7C14"/>
    <w:rsid w:val="656F11CB"/>
    <w:rsid w:val="65753979"/>
    <w:rsid w:val="658D07A7"/>
    <w:rsid w:val="658E0FD1"/>
    <w:rsid w:val="658F6A6D"/>
    <w:rsid w:val="659143BC"/>
    <w:rsid w:val="659E2F58"/>
    <w:rsid w:val="659E6A5B"/>
    <w:rsid w:val="65A64886"/>
    <w:rsid w:val="65AA7DF0"/>
    <w:rsid w:val="65AF1295"/>
    <w:rsid w:val="65C27FAC"/>
    <w:rsid w:val="65D95BE9"/>
    <w:rsid w:val="65DB0D7B"/>
    <w:rsid w:val="65E236E0"/>
    <w:rsid w:val="65E636C5"/>
    <w:rsid w:val="65E642B0"/>
    <w:rsid w:val="65ED7764"/>
    <w:rsid w:val="65EF3F0F"/>
    <w:rsid w:val="66125A18"/>
    <w:rsid w:val="66225D8A"/>
    <w:rsid w:val="6629324E"/>
    <w:rsid w:val="66326B5D"/>
    <w:rsid w:val="6632762E"/>
    <w:rsid w:val="664C3BC1"/>
    <w:rsid w:val="664E72AD"/>
    <w:rsid w:val="6651226D"/>
    <w:rsid w:val="66514866"/>
    <w:rsid w:val="66531A1D"/>
    <w:rsid w:val="66545ED1"/>
    <w:rsid w:val="665B55F7"/>
    <w:rsid w:val="66682BD2"/>
    <w:rsid w:val="666A1BB8"/>
    <w:rsid w:val="667112D9"/>
    <w:rsid w:val="66780153"/>
    <w:rsid w:val="6678454B"/>
    <w:rsid w:val="6681668F"/>
    <w:rsid w:val="66894663"/>
    <w:rsid w:val="668B0FF9"/>
    <w:rsid w:val="66E730CC"/>
    <w:rsid w:val="66E82591"/>
    <w:rsid w:val="66EB53F4"/>
    <w:rsid w:val="66EC1AB6"/>
    <w:rsid w:val="66F11982"/>
    <w:rsid w:val="66F747C4"/>
    <w:rsid w:val="66FB4DAC"/>
    <w:rsid w:val="66FD49CA"/>
    <w:rsid w:val="670216A8"/>
    <w:rsid w:val="67105358"/>
    <w:rsid w:val="672218B0"/>
    <w:rsid w:val="672C7B0A"/>
    <w:rsid w:val="672E7899"/>
    <w:rsid w:val="67306D75"/>
    <w:rsid w:val="67353E17"/>
    <w:rsid w:val="673726BB"/>
    <w:rsid w:val="673A43D0"/>
    <w:rsid w:val="67452F18"/>
    <w:rsid w:val="67474F72"/>
    <w:rsid w:val="674E3DDA"/>
    <w:rsid w:val="67564D50"/>
    <w:rsid w:val="67605C73"/>
    <w:rsid w:val="676072AC"/>
    <w:rsid w:val="67641409"/>
    <w:rsid w:val="67774EAE"/>
    <w:rsid w:val="678021AC"/>
    <w:rsid w:val="67806685"/>
    <w:rsid w:val="67820A0C"/>
    <w:rsid w:val="678A28D1"/>
    <w:rsid w:val="678A65B6"/>
    <w:rsid w:val="67A54757"/>
    <w:rsid w:val="67AC2833"/>
    <w:rsid w:val="67CB6CC3"/>
    <w:rsid w:val="67CD1AD5"/>
    <w:rsid w:val="67D24528"/>
    <w:rsid w:val="67D63D40"/>
    <w:rsid w:val="67E10A79"/>
    <w:rsid w:val="67E15B0B"/>
    <w:rsid w:val="67E758FB"/>
    <w:rsid w:val="67E87897"/>
    <w:rsid w:val="67E95798"/>
    <w:rsid w:val="67EC0B16"/>
    <w:rsid w:val="67EE5CB6"/>
    <w:rsid w:val="67F25E36"/>
    <w:rsid w:val="67F858C6"/>
    <w:rsid w:val="680007E0"/>
    <w:rsid w:val="68001865"/>
    <w:rsid w:val="680723AC"/>
    <w:rsid w:val="6818439A"/>
    <w:rsid w:val="682B17FF"/>
    <w:rsid w:val="68353F3C"/>
    <w:rsid w:val="6837131A"/>
    <w:rsid w:val="683A4B1A"/>
    <w:rsid w:val="685135E5"/>
    <w:rsid w:val="68573BD3"/>
    <w:rsid w:val="685E47C2"/>
    <w:rsid w:val="68617DA4"/>
    <w:rsid w:val="68647EE3"/>
    <w:rsid w:val="687317B0"/>
    <w:rsid w:val="6883346C"/>
    <w:rsid w:val="689A2D70"/>
    <w:rsid w:val="689D10F3"/>
    <w:rsid w:val="68A46DFC"/>
    <w:rsid w:val="68B01B8F"/>
    <w:rsid w:val="68B51914"/>
    <w:rsid w:val="68BC46C1"/>
    <w:rsid w:val="68C31653"/>
    <w:rsid w:val="68D126BD"/>
    <w:rsid w:val="68D34F1F"/>
    <w:rsid w:val="68DA3F03"/>
    <w:rsid w:val="6912352E"/>
    <w:rsid w:val="69175941"/>
    <w:rsid w:val="691B6B8A"/>
    <w:rsid w:val="692405C9"/>
    <w:rsid w:val="69283FE2"/>
    <w:rsid w:val="692B7EB6"/>
    <w:rsid w:val="6934681D"/>
    <w:rsid w:val="693E7506"/>
    <w:rsid w:val="694627F4"/>
    <w:rsid w:val="694D6594"/>
    <w:rsid w:val="695949AE"/>
    <w:rsid w:val="69777E58"/>
    <w:rsid w:val="69790D34"/>
    <w:rsid w:val="697A17A8"/>
    <w:rsid w:val="697B221F"/>
    <w:rsid w:val="6980260E"/>
    <w:rsid w:val="69821A30"/>
    <w:rsid w:val="69977F52"/>
    <w:rsid w:val="699F5955"/>
    <w:rsid w:val="69A669A4"/>
    <w:rsid w:val="69C24919"/>
    <w:rsid w:val="69DA40AE"/>
    <w:rsid w:val="69DC5AB7"/>
    <w:rsid w:val="69FE4F32"/>
    <w:rsid w:val="6A0C31FA"/>
    <w:rsid w:val="6A122F4B"/>
    <w:rsid w:val="6A1B489D"/>
    <w:rsid w:val="6A1D095A"/>
    <w:rsid w:val="6A1D4CFD"/>
    <w:rsid w:val="6A2225D2"/>
    <w:rsid w:val="6A2C6F26"/>
    <w:rsid w:val="6A4A0EC7"/>
    <w:rsid w:val="6A52396B"/>
    <w:rsid w:val="6A593E73"/>
    <w:rsid w:val="6A76433F"/>
    <w:rsid w:val="6A786793"/>
    <w:rsid w:val="6A803C99"/>
    <w:rsid w:val="6A8313CE"/>
    <w:rsid w:val="6A870BBB"/>
    <w:rsid w:val="6A8A1784"/>
    <w:rsid w:val="6A976C91"/>
    <w:rsid w:val="6A98644D"/>
    <w:rsid w:val="6AA22412"/>
    <w:rsid w:val="6AA43385"/>
    <w:rsid w:val="6AB04225"/>
    <w:rsid w:val="6AB630EA"/>
    <w:rsid w:val="6AB81146"/>
    <w:rsid w:val="6ABD1F7E"/>
    <w:rsid w:val="6ABD355D"/>
    <w:rsid w:val="6ABE072D"/>
    <w:rsid w:val="6AD51558"/>
    <w:rsid w:val="6AD60E11"/>
    <w:rsid w:val="6ADF3E50"/>
    <w:rsid w:val="6AE144F9"/>
    <w:rsid w:val="6AE61B62"/>
    <w:rsid w:val="6AF01200"/>
    <w:rsid w:val="6AFC6468"/>
    <w:rsid w:val="6AFE0420"/>
    <w:rsid w:val="6B040732"/>
    <w:rsid w:val="6B056B7C"/>
    <w:rsid w:val="6B1777DF"/>
    <w:rsid w:val="6B177D5B"/>
    <w:rsid w:val="6B1E3235"/>
    <w:rsid w:val="6B214334"/>
    <w:rsid w:val="6B264CB7"/>
    <w:rsid w:val="6B344101"/>
    <w:rsid w:val="6B3A4746"/>
    <w:rsid w:val="6B3B5ABA"/>
    <w:rsid w:val="6B3C1CC4"/>
    <w:rsid w:val="6B4009FE"/>
    <w:rsid w:val="6B421866"/>
    <w:rsid w:val="6B587A21"/>
    <w:rsid w:val="6B5F299A"/>
    <w:rsid w:val="6B667B8A"/>
    <w:rsid w:val="6B6B3245"/>
    <w:rsid w:val="6B6C3F20"/>
    <w:rsid w:val="6B73426F"/>
    <w:rsid w:val="6B870FB1"/>
    <w:rsid w:val="6B8A11E6"/>
    <w:rsid w:val="6B8A7E84"/>
    <w:rsid w:val="6B8B04AD"/>
    <w:rsid w:val="6B8B157D"/>
    <w:rsid w:val="6BB43BFE"/>
    <w:rsid w:val="6BB661AD"/>
    <w:rsid w:val="6BC24BA7"/>
    <w:rsid w:val="6BEB00DD"/>
    <w:rsid w:val="6BF72284"/>
    <w:rsid w:val="6BFB3D65"/>
    <w:rsid w:val="6BFB5132"/>
    <w:rsid w:val="6C0058ED"/>
    <w:rsid w:val="6C0102E3"/>
    <w:rsid w:val="6C0B50C0"/>
    <w:rsid w:val="6C0C3FC5"/>
    <w:rsid w:val="6C132060"/>
    <w:rsid w:val="6C26253C"/>
    <w:rsid w:val="6C2B2A32"/>
    <w:rsid w:val="6C3329A0"/>
    <w:rsid w:val="6C354942"/>
    <w:rsid w:val="6C360F4F"/>
    <w:rsid w:val="6C3B1886"/>
    <w:rsid w:val="6C3D7362"/>
    <w:rsid w:val="6C3E79DB"/>
    <w:rsid w:val="6C603FEA"/>
    <w:rsid w:val="6C7320D1"/>
    <w:rsid w:val="6C7911C0"/>
    <w:rsid w:val="6C8301F8"/>
    <w:rsid w:val="6C93528A"/>
    <w:rsid w:val="6CAB1FD1"/>
    <w:rsid w:val="6CAD6567"/>
    <w:rsid w:val="6CBB6F66"/>
    <w:rsid w:val="6CC24BE1"/>
    <w:rsid w:val="6CC71C53"/>
    <w:rsid w:val="6CCA7A87"/>
    <w:rsid w:val="6CDC0380"/>
    <w:rsid w:val="6CE524B1"/>
    <w:rsid w:val="6CE66999"/>
    <w:rsid w:val="6CEF69BB"/>
    <w:rsid w:val="6D037032"/>
    <w:rsid w:val="6D0A35E5"/>
    <w:rsid w:val="6D1A1869"/>
    <w:rsid w:val="6D1C08E5"/>
    <w:rsid w:val="6D1C3987"/>
    <w:rsid w:val="6D22074E"/>
    <w:rsid w:val="6D330E85"/>
    <w:rsid w:val="6D3562A1"/>
    <w:rsid w:val="6D5A3A90"/>
    <w:rsid w:val="6D5F3C22"/>
    <w:rsid w:val="6D61688A"/>
    <w:rsid w:val="6D7A6BF3"/>
    <w:rsid w:val="6D7E16DD"/>
    <w:rsid w:val="6D882FDF"/>
    <w:rsid w:val="6D9403D3"/>
    <w:rsid w:val="6D9431CC"/>
    <w:rsid w:val="6DA964DC"/>
    <w:rsid w:val="6DAC1E40"/>
    <w:rsid w:val="6DB131C3"/>
    <w:rsid w:val="6DB27403"/>
    <w:rsid w:val="6DBD697B"/>
    <w:rsid w:val="6DC12ADB"/>
    <w:rsid w:val="6DCC5442"/>
    <w:rsid w:val="6DD265C1"/>
    <w:rsid w:val="6DD80E7A"/>
    <w:rsid w:val="6DEC66B8"/>
    <w:rsid w:val="6DF8344B"/>
    <w:rsid w:val="6DFB391F"/>
    <w:rsid w:val="6E010176"/>
    <w:rsid w:val="6E075E11"/>
    <w:rsid w:val="6E0E4795"/>
    <w:rsid w:val="6E0F7E3B"/>
    <w:rsid w:val="6E15036F"/>
    <w:rsid w:val="6E1E3926"/>
    <w:rsid w:val="6E244D75"/>
    <w:rsid w:val="6E277663"/>
    <w:rsid w:val="6E290FB4"/>
    <w:rsid w:val="6E3C6734"/>
    <w:rsid w:val="6E4B116D"/>
    <w:rsid w:val="6E55082E"/>
    <w:rsid w:val="6E563BDF"/>
    <w:rsid w:val="6E5E290E"/>
    <w:rsid w:val="6E5F5C29"/>
    <w:rsid w:val="6E646719"/>
    <w:rsid w:val="6E771B54"/>
    <w:rsid w:val="6E7F17EB"/>
    <w:rsid w:val="6E806888"/>
    <w:rsid w:val="6E8B5C2D"/>
    <w:rsid w:val="6E906EE0"/>
    <w:rsid w:val="6E99075D"/>
    <w:rsid w:val="6E994E17"/>
    <w:rsid w:val="6E9A69F6"/>
    <w:rsid w:val="6EA66F48"/>
    <w:rsid w:val="6EB622A8"/>
    <w:rsid w:val="6EB80A18"/>
    <w:rsid w:val="6EC9768E"/>
    <w:rsid w:val="6ECA2488"/>
    <w:rsid w:val="6ED00A5A"/>
    <w:rsid w:val="6ED3513B"/>
    <w:rsid w:val="6EDA0086"/>
    <w:rsid w:val="6EF22255"/>
    <w:rsid w:val="6F0416A3"/>
    <w:rsid w:val="6F055D0D"/>
    <w:rsid w:val="6F097F91"/>
    <w:rsid w:val="6F1009F8"/>
    <w:rsid w:val="6F10688B"/>
    <w:rsid w:val="6F1D5661"/>
    <w:rsid w:val="6F1D7CF8"/>
    <w:rsid w:val="6F3362C1"/>
    <w:rsid w:val="6F350DAF"/>
    <w:rsid w:val="6F353BB1"/>
    <w:rsid w:val="6F3B365E"/>
    <w:rsid w:val="6F4B562E"/>
    <w:rsid w:val="6F4B6296"/>
    <w:rsid w:val="6F4C04A9"/>
    <w:rsid w:val="6F5350EC"/>
    <w:rsid w:val="6F5635A7"/>
    <w:rsid w:val="6F5B4E21"/>
    <w:rsid w:val="6F6B2496"/>
    <w:rsid w:val="6F6D31E3"/>
    <w:rsid w:val="6F6E38F0"/>
    <w:rsid w:val="6F7170C8"/>
    <w:rsid w:val="6F7756F1"/>
    <w:rsid w:val="6F7841AC"/>
    <w:rsid w:val="6F7A3319"/>
    <w:rsid w:val="6F7D1A20"/>
    <w:rsid w:val="6F8C08FE"/>
    <w:rsid w:val="6FAA0E50"/>
    <w:rsid w:val="6FAB28CA"/>
    <w:rsid w:val="6FAE3385"/>
    <w:rsid w:val="6FB37D8B"/>
    <w:rsid w:val="6FBB033C"/>
    <w:rsid w:val="6FC16F5A"/>
    <w:rsid w:val="6FC1799F"/>
    <w:rsid w:val="6FCA71E7"/>
    <w:rsid w:val="6FCF0B31"/>
    <w:rsid w:val="6FD148A1"/>
    <w:rsid w:val="6FD316FE"/>
    <w:rsid w:val="6FD31BD1"/>
    <w:rsid w:val="6FDD20C2"/>
    <w:rsid w:val="700B3837"/>
    <w:rsid w:val="701F6D0F"/>
    <w:rsid w:val="702B3E2E"/>
    <w:rsid w:val="702C7E2E"/>
    <w:rsid w:val="7059503C"/>
    <w:rsid w:val="705A4C40"/>
    <w:rsid w:val="705B2D18"/>
    <w:rsid w:val="70603146"/>
    <w:rsid w:val="70735D5A"/>
    <w:rsid w:val="70815A46"/>
    <w:rsid w:val="70866647"/>
    <w:rsid w:val="70883D9F"/>
    <w:rsid w:val="70886A1D"/>
    <w:rsid w:val="708E113E"/>
    <w:rsid w:val="70A6349A"/>
    <w:rsid w:val="70AC1451"/>
    <w:rsid w:val="70AE3CDD"/>
    <w:rsid w:val="70AF6B98"/>
    <w:rsid w:val="70D42F12"/>
    <w:rsid w:val="70D4738C"/>
    <w:rsid w:val="70D66AF7"/>
    <w:rsid w:val="70DD10B5"/>
    <w:rsid w:val="70E10AFA"/>
    <w:rsid w:val="70F2613E"/>
    <w:rsid w:val="70F309B8"/>
    <w:rsid w:val="70FF40C6"/>
    <w:rsid w:val="7107153E"/>
    <w:rsid w:val="711302A9"/>
    <w:rsid w:val="71131191"/>
    <w:rsid w:val="71153C78"/>
    <w:rsid w:val="71223E9A"/>
    <w:rsid w:val="713051B7"/>
    <w:rsid w:val="71306CFA"/>
    <w:rsid w:val="713F49F1"/>
    <w:rsid w:val="71446098"/>
    <w:rsid w:val="71473AE7"/>
    <w:rsid w:val="71484C9C"/>
    <w:rsid w:val="71581034"/>
    <w:rsid w:val="71644828"/>
    <w:rsid w:val="717542F5"/>
    <w:rsid w:val="718970CC"/>
    <w:rsid w:val="71987C81"/>
    <w:rsid w:val="71AA2AFF"/>
    <w:rsid w:val="71AA514B"/>
    <w:rsid w:val="71B376A0"/>
    <w:rsid w:val="71B44C6B"/>
    <w:rsid w:val="71BC3351"/>
    <w:rsid w:val="71C318B1"/>
    <w:rsid w:val="71CF123D"/>
    <w:rsid w:val="71D3601B"/>
    <w:rsid w:val="71DB7FE3"/>
    <w:rsid w:val="71E10C2C"/>
    <w:rsid w:val="71E177F1"/>
    <w:rsid w:val="71E72B99"/>
    <w:rsid w:val="71F731F1"/>
    <w:rsid w:val="71F75076"/>
    <w:rsid w:val="72085A34"/>
    <w:rsid w:val="720924CA"/>
    <w:rsid w:val="72247F32"/>
    <w:rsid w:val="72274CD0"/>
    <w:rsid w:val="722C073A"/>
    <w:rsid w:val="723A5758"/>
    <w:rsid w:val="723C5DA2"/>
    <w:rsid w:val="724A068B"/>
    <w:rsid w:val="724F751F"/>
    <w:rsid w:val="726D7E93"/>
    <w:rsid w:val="727D7AD5"/>
    <w:rsid w:val="728664E0"/>
    <w:rsid w:val="729061C8"/>
    <w:rsid w:val="729D5C6B"/>
    <w:rsid w:val="72AD168F"/>
    <w:rsid w:val="72BC5D06"/>
    <w:rsid w:val="72C15AAA"/>
    <w:rsid w:val="72CE0606"/>
    <w:rsid w:val="72D97F9A"/>
    <w:rsid w:val="72DC6FF9"/>
    <w:rsid w:val="72E16461"/>
    <w:rsid w:val="72EA66CD"/>
    <w:rsid w:val="72EB2104"/>
    <w:rsid w:val="72F17F1A"/>
    <w:rsid w:val="72F54B86"/>
    <w:rsid w:val="72F9430D"/>
    <w:rsid w:val="73011968"/>
    <w:rsid w:val="73034824"/>
    <w:rsid w:val="73075CA3"/>
    <w:rsid w:val="730968D5"/>
    <w:rsid w:val="73183772"/>
    <w:rsid w:val="732276F8"/>
    <w:rsid w:val="732A3693"/>
    <w:rsid w:val="732B7133"/>
    <w:rsid w:val="73343A95"/>
    <w:rsid w:val="73375983"/>
    <w:rsid w:val="733A6FCE"/>
    <w:rsid w:val="733B47A9"/>
    <w:rsid w:val="734A6ED4"/>
    <w:rsid w:val="734C751D"/>
    <w:rsid w:val="734D065A"/>
    <w:rsid w:val="73546E9E"/>
    <w:rsid w:val="7369243F"/>
    <w:rsid w:val="736D7A46"/>
    <w:rsid w:val="7378569E"/>
    <w:rsid w:val="737F5CEA"/>
    <w:rsid w:val="73872AB5"/>
    <w:rsid w:val="738D3CF5"/>
    <w:rsid w:val="73944A5B"/>
    <w:rsid w:val="73A44BE2"/>
    <w:rsid w:val="73A849A9"/>
    <w:rsid w:val="73AA7283"/>
    <w:rsid w:val="73AC5FF6"/>
    <w:rsid w:val="73C80822"/>
    <w:rsid w:val="73CF6E6F"/>
    <w:rsid w:val="73D078F9"/>
    <w:rsid w:val="73D30D8F"/>
    <w:rsid w:val="73DE2C46"/>
    <w:rsid w:val="73EB055A"/>
    <w:rsid w:val="73ED5155"/>
    <w:rsid w:val="73F65C90"/>
    <w:rsid w:val="73FE41B7"/>
    <w:rsid w:val="74030266"/>
    <w:rsid w:val="74102FAD"/>
    <w:rsid w:val="74125FD8"/>
    <w:rsid w:val="74205D1B"/>
    <w:rsid w:val="742716B9"/>
    <w:rsid w:val="742E436C"/>
    <w:rsid w:val="742E64C4"/>
    <w:rsid w:val="743008BD"/>
    <w:rsid w:val="74306E97"/>
    <w:rsid w:val="743077D0"/>
    <w:rsid w:val="7461022D"/>
    <w:rsid w:val="7464659D"/>
    <w:rsid w:val="74695533"/>
    <w:rsid w:val="747621D4"/>
    <w:rsid w:val="747F7E81"/>
    <w:rsid w:val="748F6BE0"/>
    <w:rsid w:val="74973FFD"/>
    <w:rsid w:val="74A376B8"/>
    <w:rsid w:val="74A444E1"/>
    <w:rsid w:val="74B34838"/>
    <w:rsid w:val="74B8519A"/>
    <w:rsid w:val="74BB0EE5"/>
    <w:rsid w:val="74DC74FB"/>
    <w:rsid w:val="74DD0189"/>
    <w:rsid w:val="74DF18DD"/>
    <w:rsid w:val="74E04B57"/>
    <w:rsid w:val="74EE46BA"/>
    <w:rsid w:val="74F40C38"/>
    <w:rsid w:val="74F7134C"/>
    <w:rsid w:val="74FD54A0"/>
    <w:rsid w:val="74FE0923"/>
    <w:rsid w:val="75037E98"/>
    <w:rsid w:val="751276CC"/>
    <w:rsid w:val="751D31AE"/>
    <w:rsid w:val="752D7963"/>
    <w:rsid w:val="75317469"/>
    <w:rsid w:val="753B2B01"/>
    <w:rsid w:val="754A0B09"/>
    <w:rsid w:val="75543072"/>
    <w:rsid w:val="755569A7"/>
    <w:rsid w:val="75573234"/>
    <w:rsid w:val="75612FCC"/>
    <w:rsid w:val="75627B4F"/>
    <w:rsid w:val="75767C89"/>
    <w:rsid w:val="75871695"/>
    <w:rsid w:val="75974E68"/>
    <w:rsid w:val="75A97BE3"/>
    <w:rsid w:val="75AC796E"/>
    <w:rsid w:val="75AF3210"/>
    <w:rsid w:val="75B03ED4"/>
    <w:rsid w:val="75B72A5F"/>
    <w:rsid w:val="75C513EF"/>
    <w:rsid w:val="75C571D0"/>
    <w:rsid w:val="75C874DF"/>
    <w:rsid w:val="75D170CA"/>
    <w:rsid w:val="75D31D73"/>
    <w:rsid w:val="75FB07F1"/>
    <w:rsid w:val="75FD589A"/>
    <w:rsid w:val="75FE5064"/>
    <w:rsid w:val="760528C7"/>
    <w:rsid w:val="76063CE4"/>
    <w:rsid w:val="76177F16"/>
    <w:rsid w:val="761C4ADB"/>
    <w:rsid w:val="76223EE7"/>
    <w:rsid w:val="76233041"/>
    <w:rsid w:val="7635345D"/>
    <w:rsid w:val="76394789"/>
    <w:rsid w:val="765351F4"/>
    <w:rsid w:val="76646286"/>
    <w:rsid w:val="76656792"/>
    <w:rsid w:val="7666227A"/>
    <w:rsid w:val="766F7265"/>
    <w:rsid w:val="767165D0"/>
    <w:rsid w:val="7676447B"/>
    <w:rsid w:val="767B52F7"/>
    <w:rsid w:val="7680466A"/>
    <w:rsid w:val="76877151"/>
    <w:rsid w:val="76887908"/>
    <w:rsid w:val="769257DB"/>
    <w:rsid w:val="76B16A75"/>
    <w:rsid w:val="76B521B9"/>
    <w:rsid w:val="76C37EEC"/>
    <w:rsid w:val="76CC3310"/>
    <w:rsid w:val="76DC1A73"/>
    <w:rsid w:val="76E34039"/>
    <w:rsid w:val="76EA2FB0"/>
    <w:rsid w:val="76EE56A5"/>
    <w:rsid w:val="76F543CF"/>
    <w:rsid w:val="76FF136F"/>
    <w:rsid w:val="77010DB9"/>
    <w:rsid w:val="77021343"/>
    <w:rsid w:val="7714411E"/>
    <w:rsid w:val="771475CE"/>
    <w:rsid w:val="771B62E4"/>
    <w:rsid w:val="77240153"/>
    <w:rsid w:val="772719BC"/>
    <w:rsid w:val="772A0737"/>
    <w:rsid w:val="772B0B79"/>
    <w:rsid w:val="772F6427"/>
    <w:rsid w:val="7739116C"/>
    <w:rsid w:val="77393D3E"/>
    <w:rsid w:val="773B737F"/>
    <w:rsid w:val="773C4938"/>
    <w:rsid w:val="7747180A"/>
    <w:rsid w:val="7751753B"/>
    <w:rsid w:val="77582BC9"/>
    <w:rsid w:val="775D478B"/>
    <w:rsid w:val="77605182"/>
    <w:rsid w:val="77650644"/>
    <w:rsid w:val="776A1B3D"/>
    <w:rsid w:val="776D456E"/>
    <w:rsid w:val="7771115B"/>
    <w:rsid w:val="77714D7B"/>
    <w:rsid w:val="77720603"/>
    <w:rsid w:val="77753E43"/>
    <w:rsid w:val="778250DC"/>
    <w:rsid w:val="778A619D"/>
    <w:rsid w:val="778A7948"/>
    <w:rsid w:val="778B7296"/>
    <w:rsid w:val="778F38C4"/>
    <w:rsid w:val="779300AD"/>
    <w:rsid w:val="77964D22"/>
    <w:rsid w:val="7798446D"/>
    <w:rsid w:val="77AC1E54"/>
    <w:rsid w:val="77B12D95"/>
    <w:rsid w:val="77B90E78"/>
    <w:rsid w:val="77BB1CCA"/>
    <w:rsid w:val="77C165B2"/>
    <w:rsid w:val="77C504EC"/>
    <w:rsid w:val="77C76578"/>
    <w:rsid w:val="77C91632"/>
    <w:rsid w:val="77CB6984"/>
    <w:rsid w:val="77CF46B3"/>
    <w:rsid w:val="77D90564"/>
    <w:rsid w:val="77E03206"/>
    <w:rsid w:val="77E05485"/>
    <w:rsid w:val="77F00986"/>
    <w:rsid w:val="77F644C1"/>
    <w:rsid w:val="77F76A1E"/>
    <w:rsid w:val="77FB0CA5"/>
    <w:rsid w:val="780221E3"/>
    <w:rsid w:val="78076FA1"/>
    <w:rsid w:val="78285917"/>
    <w:rsid w:val="782A4995"/>
    <w:rsid w:val="78402010"/>
    <w:rsid w:val="784E749C"/>
    <w:rsid w:val="785374D7"/>
    <w:rsid w:val="785E0DBF"/>
    <w:rsid w:val="78731160"/>
    <w:rsid w:val="78863782"/>
    <w:rsid w:val="788A206A"/>
    <w:rsid w:val="7893158A"/>
    <w:rsid w:val="789A6BDC"/>
    <w:rsid w:val="78A45C88"/>
    <w:rsid w:val="78BD1E77"/>
    <w:rsid w:val="78C3024B"/>
    <w:rsid w:val="78C62BD6"/>
    <w:rsid w:val="78D82A51"/>
    <w:rsid w:val="78F62274"/>
    <w:rsid w:val="78F72843"/>
    <w:rsid w:val="78F73372"/>
    <w:rsid w:val="790118EB"/>
    <w:rsid w:val="790C72D2"/>
    <w:rsid w:val="79142B6D"/>
    <w:rsid w:val="792A7EB8"/>
    <w:rsid w:val="7938397A"/>
    <w:rsid w:val="793C174B"/>
    <w:rsid w:val="7948672B"/>
    <w:rsid w:val="794F271F"/>
    <w:rsid w:val="79521F31"/>
    <w:rsid w:val="79584FF1"/>
    <w:rsid w:val="79661C4F"/>
    <w:rsid w:val="79692B77"/>
    <w:rsid w:val="79733C57"/>
    <w:rsid w:val="79755811"/>
    <w:rsid w:val="79840915"/>
    <w:rsid w:val="79890410"/>
    <w:rsid w:val="798D3319"/>
    <w:rsid w:val="79917A4A"/>
    <w:rsid w:val="79942C9E"/>
    <w:rsid w:val="799F5E91"/>
    <w:rsid w:val="79A96D76"/>
    <w:rsid w:val="79B11A3D"/>
    <w:rsid w:val="79B359F9"/>
    <w:rsid w:val="79B549C2"/>
    <w:rsid w:val="79C10E34"/>
    <w:rsid w:val="79C144C9"/>
    <w:rsid w:val="79C92AED"/>
    <w:rsid w:val="79D02373"/>
    <w:rsid w:val="79D13966"/>
    <w:rsid w:val="79D652E1"/>
    <w:rsid w:val="79DF2541"/>
    <w:rsid w:val="79E05F1D"/>
    <w:rsid w:val="79F2593D"/>
    <w:rsid w:val="7A14468D"/>
    <w:rsid w:val="7A164D9A"/>
    <w:rsid w:val="7A1B0D10"/>
    <w:rsid w:val="7A1C04C5"/>
    <w:rsid w:val="7A1C291D"/>
    <w:rsid w:val="7A1E156E"/>
    <w:rsid w:val="7A45494A"/>
    <w:rsid w:val="7A46717B"/>
    <w:rsid w:val="7A4C594D"/>
    <w:rsid w:val="7A4E5746"/>
    <w:rsid w:val="7A5752C1"/>
    <w:rsid w:val="7A5B705A"/>
    <w:rsid w:val="7A63112C"/>
    <w:rsid w:val="7A6533D6"/>
    <w:rsid w:val="7A707370"/>
    <w:rsid w:val="7A801C11"/>
    <w:rsid w:val="7A837691"/>
    <w:rsid w:val="7A8E7284"/>
    <w:rsid w:val="7A9E7DAA"/>
    <w:rsid w:val="7AA531B6"/>
    <w:rsid w:val="7AB24210"/>
    <w:rsid w:val="7AB40358"/>
    <w:rsid w:val="7AC977E3"/>
    <w:rsid w:val="7AD82F18"/>
    <w:rsid w:val="7AD9196D"/>
    <w:rsid w:val="7AE41106"/>
    <w:rsid w:val="7AE7199A"/>
    <w:rsid w:val="7AF93F3A"/>
    <w:rsid w:val="7AFF2EF4"/>
    <w:rsid w:val="7AFF477C"/>
    <w:rsid w:val="7B017D19"/>
    <w:rsid w:val="7B142D20"/>
    <w:rsid w:val="7B166596"/>
    <w:rsid w:val="7B1E6EE1"/>
    <w:rsid w:val="7B2213CC"/>
    <w:rsid w:val="7B2D3998"/>
    <w:rsid w:val="7B453DA6"/>
    <w:rsid w:val="7B503F00"/>
    <w:rsid w:val="7B53076D"/>
    <w:rsid w:val="7B5E6CB0"/>
    <w:rsid w:val="7B665DA3"/>
    <w:rsid w:val="7B733B1A"/>
    <w:rsid w:val="7B775D0A"/>
    <w:rsid w:val="7B7C77B4"/>
    <w:rsid w:val="7B7E2CB2"/>
    <w:rsid w:val="7B8924A3"/>
    <w:rsid w:val="7B981F12"/>
    <w:rsid w:val="7BAE2B1F"/>
    <w:rsid w:val="7BC46AA9"/>
    <w:rsid w:val="7BC54A9E"/>
    <w:rsid w:val="7BCC4526"/>
    <w:rsid w:val="7BCF3F39"/>
    <w:rsid w:val="7BE05BA7"/>
    <w:rsid w:val="7BE07846"/>
    <w:rsid w:val="7BE7356D"/>
    <w:rsid w:val="7BEF4AE3"/>
    <w:rsid w:val="7BF008DD"/>
    <w:rsid w:val="7BF97A2A"/>
    <w:rsid w:val="7BFB7A10"/>
    <w:rsid w:val="7C080A3C"/>
    <w:rsid w:val="7C0F07BA"/>
    <w:rsid w:val="7C1172D8"/>
    <w:rsid w:val="7C155BDD"/>
    <w:rsid w:val="7C223F56"/>
    <w:rsid w:val="7C2C42F5"/>
    <w:rsid w:val="7C340532"/>
    <w:rsid w:val="7C374343"/>
    <w:rsid w:val="7C3C1205"/>
    <w:rsid w:val="7C3F0AB4"/>
    <w:rsid w:val="7C3F6716"/>
    <w:rsid w:val="7C43527F"/>
    <w:rsid w:val="7C4D27FD"/>
    <w:rsid w:val="7C4F536F"/>
    <w:rsid w:val="7C676BD7"/>
    <w:rsid w:val="7C680126"/>
    <w:rsid w:val="7C682693"/>
    <w:rsid w:val="7C6A7E79"/>
    <w:rsid w:val="7C75142F"/>
    <w:rsid w:val="7C7B19BF"/>
    <w:rsid w:val="7C835751"/>
    <w:rsid w:val="7C8B28BD"/>
    <w:rsid w:val="7C8E4082"/>
    <w:rsid w:val="7C91193E"/>
    <w:rsid w:val="7C913EAA"/>
    <w:rsid w:val="7C9E172B"/>
    <w:rsid w:val="7CA407DF"/>
    <w:rsid w:val="7CA80717"/>
    <w:rsid w:val="7CAA5D6A"/>
    <w:rsid w:val="7CB143C3"/>
    <w:rsid w:val="7CB7551C"/>
    <w:rsid w:val="7CB94C94"/>
    <w:rsid w:val="7CBF0F36"/>
    <w:rsid w:val="7CC5610F"/>
    <w:rsid w:val="7CCE3F8F"/>
    <w:rsid w:val="7CD36B36"/>
    <w:rsid w:val="7CD47EF9"/>
    <w:rsid w:val="7CDA68F4"/>
    <w:rsid w:val="7CDA713D"/>
    <w:rsid w:val="7CDD1A3C"/>
    <w:rsid w:val="7CDE4821"/>
    <w:rsid w:val="7CE42ADD"/>
    <w:rsid w:val="7CED3388"/>
    <w:rsid w:val="7CED5C42"/>
    <w:rsid w:val="7D08063B"/>
    <w:rsid w:val="7D095EBA"/>
    <w:rsid w:val="7D1163B6"/>
    <w:rsid w:val="7D255992"/>
    <w:rsid w:val="7D2D48AD"/>
    <w:rsid w:val="7D334F97"/>
    <w:rsid w:val="7D370CBC"/>
    <w:rsid w:val="7D392A02"/>
    <w:rsid w:val="7D3D00F2"/>
    <w:rsid w:val="7D3F737C"/>
    <w:rsid w:val="7D4500A5"/>
    <w:rsid w:val="7D496588"/>
    <w:rsid w:val="7D526057"/>
    <w:rsid w:val="7D557BDC"/>
    <w:rsid w:val="7D615F66"/>
    <w:rsid w:val="7D6C489E"/>
    <w:rsid w:val="7D750C35"/>
    <w:rsid w:val="7D7A68AA"/>
    <w:rsid w:val="7D7E2CEB"/>
    <w:rsid w:val="7D7F7E12"/>
    <w:rsid w:val="7D9461DD"/>
    <w:rsid w:val="7D9C0C96"/>
    <w:rsid w:val="7D9C7CA7"/>
    <w:rsid w:val="7DC53173"/>
    <w:rsid w:val="7DC71F7C"/>
    <w:rsid w:val="7DCB3358"/>
    <w:rsid w:val="7DD166A2"/>
    <w:rsid w:val="7DDC0325"/>
    <w:rsid w:val="7DE139C2"/>
    <w:rsid w:val="7DE80AA6"/>
    <w:rsid w:val="7DEE61B0"/>
    <w:rsid w:val="7DFE3569"/>
    <w:rsid w:val="7E094F39"/>
    <w:rsid w:val="7E0B14E9"/>
    <w:rsid w:val="7E0B1F23"/>
    <w:rsid w:val="7E1021C1"/>
    <w:rsid w:val="7E13590B"/>
    <w:rsid w:val="7E2016B8"/>
    <w:rsid w:val="7E285FD1"/>
    <w:rsid w:val="7E4803AA"/>
    <w:rsid w:val="7E4E40C6"/>
    <w:rsid w:val="7E57266B"/>
    <w:rsid w:val="7E5B18B2"/>
    <w:rsid w:val="7E694571"/>
    <w:rsid w:val="7E6C20D0"/>
    <w:rsid w:val="7E71524C"/>
    <w:rsid w:val="7E750E0D"/>
    <w:rsid w:val="7EA3159E"/>
    <w:rsid w:val="7EBB33E1"/>
    <w:rsid w:val="7EBD6D8E"/>
    <w:rsid w:val="7EC075B7"/>
    <w:rsid w:val="7EC57E78"/>
    <w:rsid w:val="7ECE446B"/>
    <w:rsid w:val="7ED86C15"/>
    <w:rsid w:val="7EE22DDD"/>
    <w:rsid w:val="7EE45B4F"/>
    <w:rsid w:val="7EEB3310"/>
    <w:rsid w:val="7EF07EDD"/>
    <w:rsid w:val="7EF851B2"/>
    <w:rsid w:val="7F055C14"/>
    <w:rsid w:val="7F0801DA"/>
    <w:rsid w:val="7F0B531E"/>
    <w:rsid w:val="7F0D52A5"/>
    <w:rsid w:val="7F1E71CE"/>
    <w:rsid w:val="7F2652FD"/>
    <w:rsid w:val="7F29048E"/>
    <w:rsid w:val="7F310A91"/>
    <w:rsid w:val="7F4F345B"/>
    <w:rsid w:val="7F533B21"/>
    <w:rsid w:val="7F536CE5"/>
    <w:rsid w:val="7F5A6421"/>
    <w:rsid w:val="7F5F4E5A"/>
    <w:rsid w:val="7F653C50"/>
    <w:rsid w:val="7F700CD8"/>
    <w:rsid w:val="7F77495B"/>
    <w:rsid w:val="7F8B781D"/>
    <w:rsid w:val="7F92197D"/>
    <w:rsid w:val="7F964081"/>
    <w:rsid w:val="7F997BD5"/>
    <w:rsid w:val="7F9A46CF"/>
    <w:rsid w:val="7FA92885"/>
    <w:rsid w:val="7FAF36F4"/>
    <w:rsid w:val="7FB10F86"/>
    <w:rsid w:val="7FB55869"/>
    <w:rsid w:val="7FB92012"/>
    <w:rsid w:val="7FC60099"/>
    <w:rsid w:val="7FCC3BF8"/>
    <w:rsid w:val="7FE742DD"/>
    <w:rsid w:val="7FF31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3"/>
    <w:basedOn w:val="1"/>
    <w:next w:val="1"/>
    <w:qFormat/>
    <w:uiPriority w:val="0"/>
    <w:pPr>
      <w:keepNext/>
      <w:spacing w:line="360" w:lineRule="auto"/>
      <w:jc w:val="left"/>
      <w:outlineLvl w:val="2"/>
    </w:pPr>
    <w:rPr>
      <w:b/>
      <w:sz w:val="24"/>
      <w:szCs w:val="20"/>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link w:val="75"/>
    <w:qFormat/>
    <w:uiPriority w:val="0"/>
    <w:pPr>
      <w:spacing w:line="400" w:lineRule="exact"/>
      <w:ind w:firstLine="493"/>
    </w:pPr>
    <w:rPr>
      <w:rFonts w:ascii="楷体_GB2312"/>
      <w:spacing w:val="8"/>
      <w:kern w:val="24"/>
      <w:sz w:val="24"/>
    </w:rPr>
  </w:style>
  <w:style w:type="paragraph" w:styleId="3">
    <w:name w:val="Body Text"/>
    <w:basedOn w:val="1"/>
    <w:next w:val="4"/>
    <w:qFormat/>
    <w:uiPriority w:val="0"/>
    <w:rPr>
      <w:rFonts w:eastAsia="楷体_GB2312"/>
      <w:sz w:val="32"/>
      <w:szCs w:val="20"/>
    </w:rPr>
  </w:style>
  <w:style w:type="paragraph" w:styleId="4">
    <w:name w:val="List Bullet 5"/>
    <w:basedOn w:val="1"/>
    <w:qFormat/>
    <w:uiPriority w:val="0"/>
    <w:pPr>
      <w:tabs>
        <w:tab w:val="left" w:pos="1494"/>
        <w:tab w:val="left" w:pos="2040"/>
      </w:tabs>
      <w:ind w:left="1494" w:hanging="360"/>
    </w:pPr>
  </w:style>
  <w:style w:type="paragraph" w:styleId="6">
    <w:name w:val="Normal Indent"/>
    <w:basedOn w:val="1"/>
    <w:link w:val="35"/>
    <w:qFormat/>
    <w:uiPriority w:val="0"/>
    <w:pPr>
      <w:ind w:firstLine="420"/>
    </w:pPr>
  </w:style>
  <w:style w:type="paragraph" w:styleId="7">
    <w:name w:val="caption"/>
    <w:basedOn w:val="1"/>
    <w:next w:val="1"/>
    <w:link w:val="41"/>
    <w:qFormat/>
    <w:uiPriority w:val="0"/>
    <w:rPr>
      <w:rFonts w:ascii="Arial" w:hAnsi="Arial" w:eastAsia="黑体"/>
      <w:sz w:val="20"/>
      <w:szCs w:val="20"/>
    </w:rPr>
  </w:style>
  <w:style w:type="paragraph" w:styleId="8">
    <w:name w:val="Document Map"/>
    <w:basedOn w:val="1"/>
    <w:link w:val="38"/>
    <w:qFormat/>
    <w:uiPriority w:val="0"/>
    <w:rPr>
      <w:rFonts w:ascii="宋体"/>
      <w:sz w:val="18"/>
      <w:szCs w:val="18"/>
    </w:rPr>
  </w:style>
  <w:style w:type="paragraph" w:styleId="9">
    <w:name w:val="annotation text"/>
    <w:basedOn w:val="1"/>
    <w:link w:val="46"/>
    <w:qFormat/>
    <w:uiPriority w:val="0"/>
    <w:pPr>
      <w:jc w:val="left"/>
    </w:pPr>
  </w:style>
  <w:style w:type="paragraph" w:styleId="10">
    <w:name w:val="Body Text 3"/>
    <w:basedOn w:val="1"/>
    <w:qFormat/>
    <w:uiPriority w:val="0"/>
    <w:rPr>
      <w:rFonts w:ascii="仿宋_GB2312" w:eastAsia="仿宋_GB2312"/>
      <w:sz w:val="24"/>
    </w:rPr>
  </w:style>
  <w:style w:type="paragraph" w:styleId="11">
    <w:name w:val="Body Text Indent"/>
    <w:basedOn w:val="1"/>
    <w:next w:val="12"/>
    <w:qFormat/>
    <w:uiPriority w:val="0"/>
    <w:pPr>
      <w:spacing w:line="360" w:lineRule="auto"/>
      <w:ind w:firstLine="420"/>
    </w:pPr>
  </w:style>
  <w:style w:type="paragraph" w:customStyle="1" w:styleId="12">
    <w:name w:val="样式 正文文本缩进 + 行距: 1.5 倍行距"/>
    <w:basedOn w:val="11"/>
    <w:qFormat/>
    <w:uiPriority w:val="0"/>
    <w:pPr>
      <w:spacing w:after="120"/>
      <w:ind w:left="90" w:leftChars="32" w:firstLine="560" w:firstLineChars="200"/>
    </w:pPr>
    <w:rPr>
      <w:rFonts w:cs="宋体"/>
      <w:sz w:val="24"/>
      <w:szCs w:val="20"/>
    </w:rPr>
  </w:style>
  <w:style w:type="paragraph" w:styleId="13">
    <w:name w:val="Block Text"/>
    <w:basedOn w:val="1"/>
    <w:qFormat/>
    <w:uiPriority w:val="0"/>
    <w:pPr>
      <w:ind w:left="210" w:leftChars="100" w:right="210" w:rightChars="100" w:firstLine="560" w:firstLineChars="200"/>
    </w:pPr>
    <w:rPr>
      <w:rFonts w:ascii="宋体" w:hAnsi="宋体"/>
      <w:sz w:val="28"/>
    </w:rPr>
  </w:style>
  <w:style w:type="paragraph" w:styleId="14">
    <w:name w:val="Plain Text"/>
    <w:basedOn w:val="1"/>
    <w:link w:val="34"/>
    <w:qFormat/>
    <w:uiPriority w:val="0"/>
    <w:rPr>
      <w:rFonts w:ascii="宋体" w:hAnsi="Courier New"/>
      <w:szCs w:val="20"/>
    </w:rPr>
  </w:style>
  <w:style w:type="paragraph" w:styleId="15">
    <w:name w:val="Body Text Indent 2"/>
    <w:basedOn w:val="1"/>
    <w:qFormat/>
    <w:uiPriority w:val="0"/>
    <w:pPr>
      <w:spacing w:line="360" w:lineRule="auto"/>
      <w:ind w:firstLine="737"/>
    </w:pPr>
    <w:rPr>
      <w:rFonts w:ascii="宋体" w:hAnsi="宋体"/>
    </w:rPr>
  </w:style>
  <w:style w:type="paragraph" w:styleId="16">
    <w:name w:val="Balloon Text"/>
    <w:basedOn w:val="1"/>
    <w:link w:val="39"/>
    <w:qFormat/>
    <w:uiPriority w:val="0"/>
    <w:rPr>
      <w:sz w:val="18"/>
      <w:szCs w:val="18"/>
    </w:rPr>
  </w:style>
  <w:style w:type="paragraph" w:styleId="17">
    <w:name w:val="footer"/>
    <w:basedOn w:val="1"/>
    <w:qFormat/>
    <w:uiPriority w:val="99"/>
    <w:pPr>
      <w:tabs>
        <w:tab w:val="center" w:pos="4153"/>
        <w:tab w:val="right" w:pos="8306"/>
      </w:tabs>
      <w:snapToGrid w:val="0"/>
      <w:jc w:val="left"/>
    </w:pPr>
    <w:rPr>
      <w:sz w:val="18"/>
      <w:szCs w:val="20"/>
    </w:rPr>
  </w:style>
  <w:style w:type="paragraph" w:styleId="18">
    <w:name w:val="header"/>
    <w:basedOn w:val="1"/>
    <w:next w:val="19"/>
    <w:qFormat/>
    <w:uiPriority w:val="0"/>
    <w:pPr>
      <w:pBdr>
        <w:bottom w:val="single" w:color="auto" w:sz="6" w:space="1"/>
      </w:pBdr>
      <w:tabs>
        <w:tab w:val="center" w:pos="4153"/>
        <w:tab w:val="right" w:pos="8306"/>
      </w:tabs>
      <w:snapToGrid w:val="0"/>
      <w:jc w:val="center"/>
    </w:pPr>
    <w:rPr>
      <w:sz w:val="18"/>
      <w:szCs w:val="18"/>
    </w:rPr>
  </w:style>
  <w:style w:type="paragraph" w:customStyle="1" w:styleId="19">
    <w:name w:val="样式5"/>
    <w:basedOn w:val="20"/>
    <w:qFormat/>
    <w:uiPriority w:val="0"/>
    <w:pPr>
      <w:tabs>
        <w:tab w:val="left" w:pos="420"/>
        <w:tab w:val="left" w:pos="1589"/>
      </w:tabs>
      <w:adjustRightInd w:val="0"/>
      <w:snapToGrid w:val="0"/>
      <w:spacing w:line="480" w:lineRule="exact"/>
      <w:ind w:firstLine="480" w:firstLineChars="200"/>
      <w:jc w:val="left"/>
    </w:pPr>
    <w:rPr>
      <w:b/>
      <w:snapToGrid w:val="0"/>
      <w:sz w:val="24"/>
    </w:rPr>
  </w:style>
  <w:style w:type="paragraph" w:customStyle="1" w:styleId="20">
    <w:name w:val="正文1"/>
    <w:basedOn w:val="1"/>
    <w:next w:val="1"/>
    <w:qFormat/>
    <w:uiPriority w:val="0"/>
    <w:pPr>
      <w:jc w:val="center"/>
    </w:pPr>
    <w:rPr>
      <w:rFonts w:ascii="宋体" w:hAnsi="宋体"/>
      <w:kern w:val="36"/>
    </w:rPr>
  </w:style>
  <w:style w:type="paragraph" w:styleId="21">
    <w:name w:val="List"/>
    <w:basedOn w:val="1"/>
    <w:unhideWhenUsed/>
    <w:qFormat/>
    <w:uiPriority w:val="99"/>
    <w:pPr>
      <w:ind w:left="200" w:hanging="200" w:hangingChars="200"/>
      <w:contextualSpacing/>
    </w:pPr>
  </w:style>
  <w:style w:type="paragraph" w:styleId="22">
    <w:name w:val="table of figures"/>
    <w:basedOn w:val="1"/>
    <w:next w:val="1"/>
    <w:unhideWhenUsed/>
    <w:qFormat/>
    <w:uiPriority w:val="99"/>
    <w:pPr>
      <w:ind w:left="200" w:leftChars="200" w:hanging="200" w:hangingChars="200"/>
    </w:pPr>
  </w:style>
  <w:style w:type="paragraph" w:styleId="23">
    <w:name w:val="Normal (Web)"/>
    <w:basedOn w:val="1"/>
    <w:qFormat/>
    <w:uiPriority w:val="99"/>
    <w:pPr>
      <w:widowControl/>
      <w:spacing w:before="100" w:beforeAutospacing="1" w:after="100" w:afterAutospacing="1"/>
      <w:jc w:val="left"/>
    </w:pPr>
    <w:rPr>
      <w:rFonts w:ascii="宋体" w:hAnsi="宋体"/>
      <w:kern w:val="0"/>
      <w:sz w:val="24"/>
    </w:rPr>
  </w:style>
  <w:style w:type="paragraph" w:styleId="24">
    <w:name w:val="annotation subject"/>
    <w:basedOn w:val="9"/>
    <w:next w:val="9"/>
    <w:link w:val="42"/>
    <w:qFormat/>
    <w:uiPriority w:val="0"/>
    <w:rPr>
      <w:b/>
      <w:bCs/>
    </w:rPr>
  </w:style>
  <w:style w:type="paragraph" w:styleId="25">
    <w:name w:val="Body Text First Indent 2"/>
    <w:basedOn w:val="11"/>
    <w:next w:val="1"/>
    <w:unhideWhenUsed/>
    <w:qFormat/>
    <w:uiPriority w:val="99"/>
    <w:pPr>
      <w:spacing w:after="120" w:line="240" w:lineRule="auto"/>
      <w:ind w:left="420" w:leftChars="200" w:firstLine="200" w:firstLineChars="200"/>
    </w:p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Hyperlink"/>
    <w:unhideWhenUsed/>
    <w:qFormat/>
    <w:uiPriority w:val="99"/>
    <w:rPr>
      <w:color w:val="0000FF"/>
      <w:u w:val="single"/>
    </w:rPr>
  </w:style>
  <w:style w:type="character" w:styleId="31">
    <w:name w:val="annotation reference"/>
    <w:unhideWhenUsed/>
    <w:qFormat/>
    <w:uiPriority w:val="0"/>
    <w:rPr>
      <w:sz w:val="21"/>
      <w:szCs w:val="21"/>
    </w:rPr>
  </w:style>
  <w:style w:type="character" w:customStyle="1" w:styleId="32">
    <w:name w:val="+正文 Char1"/>
    <w:link w:val="33"/>
    <w:qFormat/>
    <w:locked/>
    <w:uiPriority w:val="0"/>
    <w:rPr>
      <w:kern w:val="2"/>
      <w:sz w:val="28"/>
      <w:szCs w:val="28"/>
    </w:rPr>
  </w:style>
  <w:style w:type="paragraph" w:customStyle="1" w:styleId="33">
    <w:name w:val="+正文"/>
    <w:basedOn w:val="1"/>
    <w:link w:val="32"/>
    <w:qFormat/>
    <w:uiPriority w:val="0"/>
    <w:pPr>
      <w:spacing w:line="360" w:lineRule="auto"/>
      <w:ind w:firstLine="200" w:firstLineChars="200"/>
    </w:pPr>
    <w:rPr>
      <w:sz w:val="28"/>
      <w:szCs w:val="28"/>
    </w:rPr>
  </w:style>
  <w:style w:type="character" w:customStyle="1" w:styleId="34">
    <w:name w:val="纯文本 Char"/>
    <w:link w:val="14"/>
    <w:qFormat/>
    <w:uiPriority w:val="0"/>
    <w:rPr>
      <w:rFonts w:ascii="宋体" w:hAnsi="Courier New"/>
      <w:kern w:val="2"/>
      <w:sz w:val="21"/>
    </w:rPr>
  </w:style>
  <w:style w:type="character" w:customStyle="1" w:styleId="35">
    <w:name w:val="正文缩进 Char"/>
    <w:link w:val="6"/>
    <w:qFormat/>
    <w:locked/>
    <w:uiPriority w:val="0"/>
    <w:rPr>
      <w:kern w:val="2"/>
      <w:sz w:val="21"/>
      <w:szCs w:val="24"/>
    </w:rPr>
  </w:style>
  <w:style w:type="character" w:customStyle="1" w:styleId="36">
    <w:name w:val="Default Char"/>
    <w:link w:val="37"/>
    <w:qFormat/>
    <w:locked/>
    <w:uiPriority w:val="0"/>
    <w:rPr>
      <w:rFonts w:ascii="宋体" w:hAnsi="Times New Roman"/>
      <w:color w:val="000000"/>
      <w:sz w:val="24"/>
      <w:szCs w:val="24"/>
      <w:lang w:val="en-US" w:eastAsia="zh-CN" w:bidi="ar-SA"/>
    </w:rPr>
  </w:style>
  <w:style w:type="paragraph" w:customStyle="1" w:styleId="37">
    <w:name w:val="Default"/>
    <w:link w:val="36"/>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8">
    <w:name w:val="文档结构图 Char"/>
    <w:basedOn w:val="28"/>
    <w:link w:val="8"/>
    <w:qFormat/>
    <w:uiPriority w:val="0"/>
    <w:rPr>
      <w:rFonts w:ascii="宋体"/>
      <w:kern w:val="2"/>
      <w:sz w:val="18"/>
      <w:szCs w:val="18"/>
    </w:rPr>
  </w:style>
  <w:style w:type="character" w:customStyle="1" w:styleId="39">
    <w:name w:val="批注框文本 Char"/>
    <w:link w:val="16"/>
    <w:qFormat/>
    <w:uiPriority w:val="0"/>
    <w:rPr>
      <w:kern w:val="2"/>
      <w:sz w:val="18"/>
      <w:szCs w:val="18"/>
    </w:rPr>
  </w:style>
  <w:style w:type="character" w:customStyle="1" w:styleId="40">
    <w:name w:val="font01"/>
    <w:basedOn w:val="28"/>
    <w:qFormat/>
    <w:uiPriority w:val="0"/>
    <w:rPr>
      <w:rFonts w:hint="default" w:ascii="Times New Roman" w:hAnsi="Times New Roman" w:cs="Times New Roman"/>
      <w:color w:val="000000"/>
      <w:sz w:val="24"/>
      <w:szCs w:val="24"/>
      <w:u w:val="none"/>
    </w:rPr>
  </w:style>
  <w:style w:type="character" w:customStyle="1" w:styleId="41">
    <w:name w:val="题注 Char"/>
    <w:link w:val="7"/>
    <w:qFormat/>
    <w:uiPriority w:val="0"/>
    <w:rPr>
      <w:rFonts w:ascii="Arial" w:hAnsi="Arial" w:eastAsia="黑体" w:cs="Arial"/>
      <w:kern w:val="2"/>
    </w:rPr>
  </w:style>
  <w:style w:type="character" w:customStyle="1" w:styleId="42">
    <w:name w:val="批注主题 Char"/>
    <w:link w:val="24"/>
    <w:qFormat/>
    <w:uiPriority w:val="0"/>
    <w:rPr>
      <w:b/>
      <w:bCs/>
      <w:kern w:val="2"/>
      <w:sz w:val="21"/>
      <w:szCs w:val="24"/>
    </w:rPr>
  </w:style>
  <w:style w:type="character" w:customStyle="1" w:styleId="43">
    <w:name w:val="表内容 Char"/>
    <w:link w:val="44"/>
    <w:qFormat/>
    <w:uiPriority w:val="0"/>
  </w:style>
  <w:style w:type="paragraph" w:customStyle="1" w:styleId="44">
    <w:name w:val="表内容"/>
    <w:basedOn w:val="1"/>
    <w:next w:val="1"/>
    <w:link w:val="43"/>
    <w:qFormat/>
    <w:uiPriority w:val="0"/>
    <w:pPr>
      <w:spacing w:line="320" w:lineRule="exact"/>
      <w:jc w:val="center"/>
    </w:pPr>
    <w:rPr>
      <w:kern w:val="0"/>
      <w:sz w:val="20"/>
      <w:szCs w:val="20"/>
    </w:rPr>
  </w:style>
  <w:style w:type="character" w:customStyle="1" w:styleId="45">
    <w:name w:val="font21"/>
    <w:basedOn w:val="28"/>
    <w:qFormat/>
    <w:uiPriority w:val="0"/>
    <w:rPr>
      <w:rFonts w:hint="eastAsia" w:ascii="宋体" w:hAnsi="宋体" w:eastAsia="宋体" w:cs="宋体"/>
      <w:color w:val="000000"/>
      <w:sz w:val="24"/>
      <w:szCs w:val="24"/>
      <w:u w:val="none"/>
    </w:rPr>
  </w:style>
  <w:style w:type="character" w:customStyle="1" w:styleId="46">
    <w:name w:val="批注文字 Char"/>
    <w:link w:val="9"/>
    <w:qFormat/>
    <w:uiPriority w:val="0"/>
    <w:rPr>
      <w:kern w:val="2"/>
      <w:sz w:val="21"/>
      <w:szCs w:val="24"/>
    </w:rPr>
  </w:style>
  <w:style w:type="paragraph" w:customStyle="1" w:styleId="47">
    <w:name w:val="5表文"/>
    <w:basedOn w:val="1"/>
    <w:qFormat/>
    <w:uiPriority w:val="0"/>
    <w:pPr>
      <w:snapToGrid w:val="0"/>
      <w:jc w:val="center"/>
    </w:pPr>
    <w:rPr>
      <w:rFonts w:ascii="Times New Roman" w:hAnsi="Times New Roman"/>
      <w:szCs w:val="21"/>
    </w:rPr>
  </w:style>
  <w:style w:type="paragraph" w:customStyle="1" w:styleId="48">
    <w:name w:val="表中文字"/>
    <w:basedOn w:val="1"/>
    <w:qFormat/>
    <w:uiPriority w:val="0"/>
    <w:pPr>
      <w:spacing w:line="360" w:lineRule="auto"/>
      <w:ind w:firstLine="200" w:firstLineChars="200"/>
      <w:jc w:val="center"/>
    </w:pPr>
    <w:rPr>
      <w:rFonts w:ascii="Times New Roman" w:hAnsi="Times New Roman"/>
    </w:rPr>
  </w:style>
  <w:style w:type="paragraph" w:customStyle="1" w:styleId="49">
    <w:name w:val="hhcwt表头"/>
    <w:basedOn w:val="1"/>
    <w:qFormat/>
    <w:uiPriority w:val="0"/>
    <w:pPr>
      <w:widowControl/>
      <w:spacing w:after="120" w:line="500" w:lineRule="exact"/>
      <w:jc w:val="center"/>
    </w:pPr>
    <w:rPr>
      <w:rFonts w:ascii="楷体_GB2312" w:eastAsia="楷体_GB2312" w:cs="宋体"/>
      <w:b/>
      <w:bCs/>
      <w:kern w:val="0"/>
      <w:sz w:val="22"/>
      <w:szCs w:val="22"/>
      <w:lang w:eastAsia="en-US" w:bidi="en-US"/>
    </w:rPr>
  </w:style>
  <w:style w:type="paragraph" w:customStyle="1" w:styleId="50">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51">
    <w:name w:val="li_正文"/>
    <w:basedOn w:val="1"/>
    <w:qFormat/>
    <w:uiPriority w:val="0"/>
    <w:pPr>
      <w:tabs>
        <w:tab w:val="left" w:pos="2340"/>
        <w:tab w:val="left" w:pos="4320"/>
      </w:tabs>
      <w:ind w:firstLine="530" w:firstLineChars="200"/>
      <w:jc w:val="left"/>
    </w:pPr>
    <w:rPr>
      <w:sz w:val="28"/>
      <w:szCs w:val="28"/>
    </w:rPr>
  </w:style>
  <w:style w:type="paragraph" w:customStyle="1" w:styleId="52">
    <w:name w:val="表格文字"/>
    <w:qFormat/>
    <w:uiPriority w:val="0"/>
    <w:pPr>
      <w:spacing w:beforeLines="10" w:afterLines="10" w:line="0" w:lineRule="atLeast"/>
      <w:jc w:val="center"/>
    </w:pPr>
    <w:rPr>
      <w:rFonts w:ascii="Times New Roman" w:hAnsi="Times New Roman" w:eastAsia="宋体" w:cs="Times New Roman"/>
      <w:kern w:val="2"/>
      <w:sz w:val="18"/>
      <w:szCs w:val="21"/>
      <w:lang w:val="en-US" w:eastAsia="zh-CN" w:bidi="ar-SA"/>
    </w:rPr>
  </w:style>
  <w:style w:type="paragraph" w:customStyle="1" w:styleId="53">
    <w:name w:val="正文 New New New New New New New New New New New New New New New New New New New New New New New New New New New New New New New New New New New New New New New New New New New New New New New New New New New New New New New New New New New New New New 2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4">
    <w:name w:val="！正文"/>
    <w:basedOn w:val="1"/>
    <w:qFormat/>
    <w:uiPriority w:val="0"/>
    <w:pPr>
      <w:spacing w:line="360" w:lineRule="auto"/>
      <w:ind w:firstLine="200" w:firstLineChars="200"/>
    </w:pPr>
    <w:rPr>
      <w:rFonts w:ascii="Times New Roman" w:hAnsi="Times New Roman"/>
      <w:kern w:val="0"/>
      <w:sz w:val="24"/>
    </w:rPr>
  </w:style>
  <w:style w:type="paragraph" w:customStyle="1" w:styleId="55">
    <w:name w:val="报告表正文"/>
    <w:basedOn w:val="1"/>
    <w:qFormat/>
    <w:uiPriority w:val="0"/>
    <w:pPr>
      <w:spacing w:line="360" w:lineRule="auto"/>
      <w:ind w:firstLine="200" w:firstLineChars="200"/>
    </w:pPr>
    <w:rPr>
      <w:color w:val="000000"/>
      <w:sz w:val="24"/>
    </w:rPr>
  </w:style>
  <w:style w:type="paragraph" w:customStyle="1" w:styleId="56">
    <w:name w:val="List Paragraph"/>
    <w:basedOn w:val="1"/>
    <w:qFormat/>
    <w:uiPriority w:val="34"/>
    <w:pPr>
      <w:ind w:firstLine="420" w:firstLineChars="200"/>
    </w:pPr>
    <w:rPr>
      <w:szCs w:val="22"/>
    </w:rPr>
  </w:style>
  <w:style w:type="paragraph" w:customStyle="1" w:styleId="57">
    <w:name w:val="正文（自定义）"/>
    <w:basedOn w:val="1"/>
    <w:qFormat/>
    <w:uiPriority w:val="0"/>
    <w:pPr>
      <w:spacing w:line="360" w:lineRule="auto"/>
      <w:ind w:firstLine="480" w:firstLineChars="200"/>
    </w:pPr>
    <w:rPr>
      <w:rFonts w:ascii="Times New Roman" w:hAnsi="Times New Roman"/>
      <w:sz w:val="24"/>
    </w:rPr>
  </w:style>
  <w:style w:type="paragraph" w:customStyle="1" w:styleId="58">
    <w:name w:val="表格"/>
    <w:basedOn w:val="1"/>
    <w:qFormat/>
    <w:uiPriority w:val="0"/>
    <w:pPr>
      <w:jc w:val="center"/>
    </w:pPr>
    <w:rPr>
      <w:sz w:val="24"/>
      <w:szCs w:val="20"/>
    </w:rPr>
  </w:style>
  <w:style w:type="paragraph" w:customStyle="1" w:styleId="59">
    <w:name w:val="样式 正文缩进正文缩进2正文缩进 Char Char正文缩进 Char Char Char Char正文缩进 Char ..."/>
    <w:basedOn w:val="6"/>
    <w:qFormat/>
    <w:uiPriority w:val="0"/>
    <w:pPr>
      <w:spacing w:line="360" w:lineRule="auto"/>
      <w:ind w:firstLine="200" w:firstLineChars="200"/>
    </w:pPr>
    <w:rPr>
      <w:rFonts w:ascii="Times New Roman" w:hAnsi="Times New Roman" w:cs="宋体"/>
      <w:sz w:val="24"/>
    </w:rPr>
  </w:style>
  <w:style w:type="paragraph" w:customStyle="1" w:styleId="60">
    <w:name w:val="列出段落3"/>
    <w:basedOn w:val="1"/>
    <w:qFormat/>
    <w:uiPriority w:val="0"/>
    <w:pPr>
      <w:spacing w:line="360" w:lineRule="auto"/>
      <w:ind w:firstLine="420" w:firstLineChars="200"/>
    </w:pPr>
    <w:rPr>
      <w:szCs w:val="21"/>
    </w:rPr>
  </w:style>
  <w:style w:type="paragraph" w:customStyle="1" w:styleId="6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报告表格"/>
    <w:basedOn w:val="1"/>
    <w:qFormat/>
    <w:uiPriority w:val="0"/>
    <w:pPr>
      <w:autoSpaceDE w:val="0"/>
      <w:autoSpaceDN w:val="0"/>
      <w:adjustRightInd w:val="0"/>
      <w:snapToGrid w:val="0"/>
      <w:spacing w:before="40" w:after="40"/>
      <w:jc w:val="center"/>
    </w:pPr>
    <w:rPr>
      <w:rFonts w:ascii="Times New Roman" w:hAnsi="Times New Roman"/>
      <w:kern w:val="0"/>
      <w:szCs w:val="20"/>
    </w:rPr>
  </w:style>
  <w:style w:type="paragraph" w:customStyle="1" w:styleId="63">
    <w:name w:val="2"/>
    <w:basedOn w:val="1"/>
    <w:next w:val="1"/>
    <w:qFormat/>
    <w:uiPriority w:val="0"/>
    <w:pPr>
      <w:snapToGrid w:val="0"/>
      <w:spacing w:line="360" w:lineRule="auto"/>
      <w:ind w:firstLine="420" w:firstLineChars="200"/>
    </w:pPr>
    <w:rPr>
      <w:rFonts w:ascii="Times New Roman" w:hAnsi="Times New Roman"/>
      <w:sz w:val="24"/>
    </w:rPr>
  </w:style>
  <w:style w:type="paragraph" w:customStyle="1" w:styleId="64">
    <w:name w:val="表头0"/>
    <w:qFormat/>
    <w:uiPriority w:val="0"/>
    <w:pPr>
      <w:adjustRightInd w:val="0"/>
      <w:snapToGrid w:val="0"/>
      <w:spacing w:beforeLines="10" w:afterLines="10" w:line="360" w:lineRule="auto"/>
      <w:jc w:val="center"/>
    </w:pPr>
    <w:rPr>
      <w:rFonts w:ascii="Calibri" w:hAnsi="Calibri" w:eastAsia="宋体" w:cs="Times New Roman"/>
      <w:b/>
      <w:sz w:val="21"/>
      <w:lang w:val="en-US" w:eastAsia="zh-CN" w:bidi="ar-SA"/>
    </w:rPr>
  </w:style>
  <w:style w:type="paragraph" w:customStyle="1" w:styleId="65">
    <w:name w:val="环小四表内容"/>
    <w:basedOn w:val="1"/>
    <w:qFormat/>
    <w:uiPriority w:val="0"/>
    <w:pPr>
      <w:wordWrap w:val="0"/>
      <w:spacing w:line="240" w:lineRule="exact"/>
      <w:jc w:val="center"/>
    </w:pPr>
    <w:rPr>
      <w:rFonts w:ascii="宋体" w:hAnsi="宋体"/>
      <w:sz w:val="18"/>
      <w:szCs w:val="21"/>
    </w:rPr>
  </w:style>
  <w:style w:type="paragraph" w:customStyle="1" w:styleId="66">
    <w:name w:val="正文2"/>
    <w:next w:val="1"/>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7">
    <w:name w:val="Heading 5"/>
    <w:basedOn w:val="1"/>
    <w:qFormat/>
    <w:uiPriority w:val="1"/>
    <w:pPr>
      <w:ind w:left="770"/>
      <w:jc w:val="left"/>
      <w:outlineLvl w:val="5"/>
    </w:pPr>
    <w:rPr>
      <w:rFonts w:ascii="宋体" w:hAnsi="宋体"/>
      <w:b/>
      <w:bCs/>
      <w:kern w:val="0"/>
      <w:sz w:val="24"/>
      <w:lang w:eastAsia="en-US"/>
    </w:rPr>
  </w:style>
  <w:style w:type="paragraph" w:customStyle="1" w:styleId="68">
    <w:name w:val="样式8"/>
    <w:basedOn w:val="1"/>
    <w:qFormat/>
    <w:uiPriority w:val="0"/>
    <w:pPr>
      <w:spacing w:line="360" w:lineRule="auto"/>
      <w:ind w:firstLine="420" w:firstLineChars="200"/>
    </w:pPr>
    <w:rPr>
      <w:rFonts w:ascii="Times New Roman" w:hAnsi="Times New Roman"/>
      <w:sz w:val="24"/>
    </w:rPr>
  </w:style>
  <w:style w:type="paragraph" w:customStyle="1" w:styleId="69">
    <w:name w:val="报告正文"/>
    <w:basedOn w:val="1"/>
    <w:qFormat/>
    <w:uiPriority w:val="0"/>
    <w:pPr>
      <w:spacing w:line="360" w:lineRule="auto"/>
      <w:ind w:firstLine="200" w:firstLineChars="200"/>
    </w:pPr>
    <w:rPr>
      <w:color w:val="000000"/>
      <w:sz w:val="24"/>
    </w:rPr>
  </w:style>
  <w:style w:type="paragraph" w:customStyle="1" w:styleId="70">
    <w:name w:val="表 内容"/>
    <w:basedOn w:val="21"/>
    <w:qFormat/>
    <w:uiPriority w:val="0"/>
    <w:pPr>
      <w:jc w:val="center"/>
    </w:pPr>
    <w:rPr>
      <w:kern w:val="0"/>
      <w:szCs w:val="21"/>
    </w:rPr>
  </w:style>
  <w:style w:type="paragraph" w:customStyle="1" w:styleId="71">
    <w:name w:val="Table Paragraph"/>
    <w:basedOn w:val="1"/>
    <w:qFormat/>
    <w:uiPriority w:val="1"/>
    <w:pPr>
      <w:jc w:val="left"/>
    </w:pPr>
    <w:rPr>
      <w:kern w:val="0"/>
      <w:sz w:val="22"/>
      <w:szCs w:val="22"/>
      <w:lang w:eastAsia="en-US"/>
    </w:rPr>
  </w:style>
  <w:style w:type="paragraph" w:customStyle="1" w:styleId="72">
    <w:name w:val="表格样式"/>
    <w:basedOn w:val="1"/>
    <w:qFormat/>
    <w:uiPriority w:val="0"/>
    <w:pPr>
      <w:autoSpaceDE w:val="0"/>
      <w:autoSpaceDN w:val="0"/>
      <w:spacing w:line="360" w:lineRule="exact"/>
      <w:jc w:val="center"/>
    </w:pPr>
    <w:rPr>
      <w:snapToGrid w:val="0"/>
      <w:kern w:val="0"/>
      <w:szCs w:val="21"/>
    </w:rPr>
  </w:style>
  <w:style w:type="table" w:customStyle="1" w:styleId="73">
    <w:name w:val="网格型1"/>
    <w:basedOn w:val="2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
    <w:name w:val="Table Normal"/>
    <w:semiHidden/>
    <w:qFormat/>
    <w:uiPriority w:val="2"/>
    <w:pPr>
      <w:widowControl w:val="0"/>
    </w:pPr>
    <w:rPr>
      <w:rFonts w:eastAsia="Times New Roman"/>
      <w:sz w:val="22"/>
      <w:szCs w:val="22"/>
      <w:lang w:eastAsia="en-US"/>
    </w:rPr>
    <w:tblPr>
      <w:tblCellMar>
        <w:top w:w="0" w:type="dxa"/>
        <w:left w:w="0" w:type="dxa"/>
        <w:bottom w:w="0" w:type="dxa"/>
        <w:right w:w="0" w:type="dxa"/>
      </w:tblCellMar>
    </w:tblPr>
  </w:style>
  <w:style w:type="character" w:customStyle="1" w:styleId="75">
    <w:name w:val="正文首行缩进 Char"/>
    <w:basedOn w:val="28"/>
    <w:link w:val="2"/>
    <w:qFormat/>
    <w:uiPriority w:val="0"/>
    <w:rPr>
      <w:rFonts w:ascii="楷体_GB2312" w:eastAsia="楷体_GB2312"/>
      <w:spacing w:val="8"/>
      <w:kern w:val="24"/>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2.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oleObject" Target="embeddings/oleObject12.bin"/><Relationship Id="rId40" Type="http://schemas.openxmlformats.org/officeDocument/2006/relationships/image" Target="media/image21.wmf"/><Relationship Id="rId4" Type="http://schemas.openxmlformats.org/officeDocument/2006/relationships/footer" Target="footer1.xml"/><Relationship Id="rId39" Type="http://schemas.openxmlformats.org/officeDocument/2006/relationships/oleObject" Target="embeddings/oleObject11.bin"/><Relationship Id="rId38" Type="http://schemas.openxmlformats.org/officeDocument/2006/relationships/image" Target="media/image20.wmf"/><Relationship Id="rId37" Type="http://schemas.openxmlformats.org/officeDocument/2006/relationships/oleObject" Target="embeddings/oleObject10.bin"/><Relationship Id="rId36" Type="http://schemas.openxmlformats.org/officeDocument/2006/relationships/image" Target="media/image19.wmf"/><Relationship Id="rId35" Type="http://schemas.openxmlformats.org/officeDocument/2006/relationships/oleObject" Target="embeddings/oleObject9.bin"/><Relationship Id="rId34" Type="http://schemas.openxmlformats.org/officeDocument/2006/relationships/oleObject" Target="embeddings/oleObject8.bin"/><Relationship Id="rId33" Type="http://schemas.openxmlformats.org/officeDocument/2006/relationships/image" Target="media/image18.wmf"/><Relationship Id="rId32" Type="http://schemas.openxmlformats.org/officeDocument/2006/relationships/oleObject" Target="embeddings/oleObject7.bin"/><Relationship Id="rId31" Type="http://schemas.openxmlformats.org/officeDocument/2006/relationships/image" Target="media/image17.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5.bin"/><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wmf"/><Relationship Id="rId15" Type="http://schemas.openxmlformats.org/officeDocument/2006/relationships/oleObject" Target="embeddings/oleObject2.bin"/><Relationship Id="rId14" Type="http://schemas.openxmlformats.org/officeDocument/2006/relationships/image" Target="media/image5.e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4"/>
    <customShpInfo spid="_x0000_s3075"/>
    <customShpInfo spid="_x0000_s2615"/>
    <customShpInfo spid="_x0000_s2614"/>
    <customShpInfo spid="_x0000_s2600"/>
    <customShpInfo spid="_x0000_s2601"/>
    <customShpInfo spid="_x0000_s2621"/>
    <customShpInfo spid="_x0000_s260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F4205F-DC6F-4743-B26D-CE9D68CD6342}">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76</Pages>
  <Words>45914</Words>
  <Characters>54725</Characters>
  <Lines>437</Lines>
  <Paragraphs>123</Paragraphs>
  <TotalTime>6</TotalTime>
  <ScaleCrop>false</ScaleCrop>
  <LinksUpToDate>false</LinksUpToDate>
  <CharactersWithSpaces>55042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2020-05-07T11:07:00Z</dcterms:created>
  <dc:creator>Administrator</dc:creator>
  <cp:lastModifiedBy>WPS_1660046246</cp:lastModifiedBy>
  <cp:lastPrinted>2020-04-18T07:20:00Z</cp:lastPrinted>
  <dcterms:modified xsi:type="dcterms:W3CDTF">2024-07-03T03:44:03Z</dcterms:modified>
  <dc:title>审批编号:</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D5B65C73192F486B925CD19C503D8153_12</vt:lpwstr>
  </property>
</Properties>
</file>